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CD" w:rsidRPr="001975F0" w:rsidRDefault="001D55CD" w:rsidP="001975F0">
      <w:pPr>
        <w:pStyle w:val="BodyTextIndent2"/>
        <w:tabs>
          <w:tab w:val="left" w:pos="1701"/>
        </w:tabs>
        <w:rPr>
          <w:lang w:val="fr-FR"/>
        </w:rPr>
      </w:pPr>
    </w:p>
    <w:p w:rsidR="001975F0" w:rsidRPr="00A80025" w:rsidRDefault="001975F0" w:rsidP="001975F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Feuille de route pour la Décennie pour la mise en œuvre de la</w:t>
      </w:r>
      <w:r w:rsidRPr="00A80025">
        <w:rPr>
          <w:rFonts w:ascii="Arial" w:hAnsi="Arial" w:cs="Arial"/>
          <w:b/>
        </w:rPr>
        <w:t xml:space="preserve"> S-100 (2020 – 2030)</w:t>
      </w:r>
    </w:p>
    <w:p w:rsidR="001975F0" w:rsidRDefault="001975F0" w:rsidP="001975F0">
      <w:pPr>
        <w:pStyle w:val="Heading1"/>
      </w:pPr>
      <w:r>
        <w:t xml:space="preserve">Version 1.0 </w:t>
      </w:r>
      <w:proofErr w:type="spellStart"/>
      <w:r>
        <w:t>Ré</w:t>
      </w:r>
      <w:r w:rsidRPr="00A80025">
        <w:t>v</w:t>
      </w:r>
      <w:proofErr w:type="spellEnd"/>
      <w:r>
        <w:t>.</w:t>
      </w:r>
      <w:r w:rsidRPr="00A80025">
        <w:t xml:space="preserve"> 1</w:t>
      </w:r>
    </w:p>
    <w:p w:rsidR="00792674" w:rsidRDefault="00792674" w:rsidP="00792674"/>
    <w:p w:rsidR="00792674" w:rsidRPr="00792674" w:rsidRDefault="00792674" w:rsidP="00792674">
      <w:pPr>
        <w:ind w:left="1416" w:hanging="1416"/>
        <w:rPr>
          <w:rFonts w:ascii="Arial" w:hAnsi="Arial" w:cs="Arial"/>
        </w:rPr>
      </w:pPr>
      <w:r w:rsidRPr="00792674">
        <w:rPr>
          <w:rFonts w:ascii="Arial" w:hAnsi="Arial" w:cs="Arial"/>
          <w:u w:val="single"/>
        </w:rPr>
        <w:t>R</w:t>
      </w:r>
      <w:r w:rsidRPr="00792674">
        <w:rPr>
          <w:rFonts w:ascii="Arial" w:hAnsi="Arial" w:cs="Arial"/>
          <w:u w:val="single"/>
        </w:rPr>
        <w:t>éfér</w:t>
      </w:r>
      <w:r w:rsidRPr="00792674">
        <w:rPr>
          <w:rFonts w:ascii="Arial" w:hAnsi="Arial" w:cs="Arial"/>
          <w:u w:val="single"/>
        </w:rPr>
        <w:t>ences</w:t>
      </w:r>
      <w:r w:rsidRPr="00792674">
        <w:rPr>
          <w:rFonts w:ascii="Arial" w:hAnsi="Arial" w:cs="Arial"/>
        </w:rPr>
        <w:t>:</w:t>
      </w:r>
      <w:r w:rsidRPr="00792674">
        <w:rPr>
          <w:rFonts w:ascii="Arial" w:hAnsi="Arial" w:cs="Arial"/>
        </w:rPr>
        <w:tab/>
        <w:t>a) D</w:t>
      </w:r>
      <w:r w:rsidRPr="00792674">
        <w:rPr>
          <w:rFonts w:ascii="Arial" w:hAnsi="Arial" w:cs="Arial"/>
        </w:rPr>
        <w:t>é</w:t>
      </w:r>
      <w:r w:rsidRPr="00792674">
        <w:rPr>
          <w:rFonts w:ascii="Arial" w:hAnsi="Arial" w:cs="Arial"/>
        </w:rPr>
        <w:t xml:space="preserve">cision A2/29: </w:t>
      </w:r>
      <w:r w:rsidRPr="00792674">
        <w:rPr>
          <w:rFonts w:ascii="Arial" w:hAnsi="Arial" w:cs="Arial"/>
        </w:rPr>
        <w:t>approbation par l’Assemblée de la version 1.0 Rév.</w:t>
      </w:r>
      <w:r>
        <w:rPr>
          <w:rFonts w:ascii="Arial" w:hAnsi="Arial" w:cs="Arial"/>
        </w:rPr>
        <w:t>1 suite à la Proposition A2/2.1.</w:t>
      </w:r>
      <w:bookmarkStart w:id="0" w:name="_GoBack"/>
      <w:bookmarkEnd w:id="0"/>
    </w:p>
    <w:p w:rsidR="00792674" w:rsidRPr="00792674" w:rsidRDefault="00792674" w:rsidP="00792674"/>
    <w:p w:rsidR="001975F0" w:rsidRPr="00A80025" w:rsidRDefault="001975F0" w:rsidP="001975F0">
      <w:pPr>
        <w:pStyle w:val="Heading2"/>
        <w:spacing w:before="360"/>
        <w:rPr>
          <w:color w:val="000000" w:themeColor="text1"/>
          <w:lang w:val="fr-FR"/>
        </w:rPr>
      </w:pPr>
      <w:r w:rsidRPr="00A80025">
        <w:rPr>
          <w:color w:val="000000" w:themeColor="text1"/>
          <w:lang w:val="fr-FR"/>
        </w:rPr>
        <w:t>Introduction</w:t>
      </w:r>
    </w:p>
    <w:p w:rsidR="001975F0" w:rsidRPr="00A80025" w:rsidRDefault="001975F0" w:rsidP="00197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A80025">
        <w:rPr>
          <w:rFonts w:ascii="Arial" w:hAnsi="Arial" w:cs="Arial"/>
        </w:rPr>
        <w:t>2</w:t>
      </w:r>
      <w:r w:rsidRPr="0079668C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réunion du Conseil de l’OHI a chargé les Présidents du Conseil</w:t>
      </w:r>
      <w:r w:rsidRPr="00A800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du </w:t>
      </w:r>
      <w:r w:rsidRPr="00A80025">
        <w:rPr>
          <w:rFonts w:ascii="Arial" w:hAnsi="Arial" w:cs="Arial"/>
        </w:rPr>
        <w:t xml:space="preserve">HSSC, </w:t>
      </w:r>
      <w:r>
        <w:rPr>
          <w:rFonts w:ascii="Arial" w:hAnsi="Arial" w:cs="Arial"/>
        </w:rPr>
        <w:t>de l’</w:t>
      </w:r>
      <w:r w:rsidRPr="00A80025">
        <w:rPr>
          <w:rFonts w:ascii="Arial" w:hAnsi="Arial" w:cs="Arial"/>
        </w:rPr>
        <w:t xml:space="preserve">IRCC </w:t>
      </w:r>
      <w:r>
        <w:rPr>
          <w:rFonts w:ascii="Arial" w:hAnsi="Arial" w:cs="Arial"/>
        </w:rPr>
        <w:t xml:space="preserve">et le Secrétaire général de rédiger un projet de stratégie/feuille de route de mise en œuvre en vue de la </w:t>
      </w:r>
      <w:r w:rsidRPr="00A80025">
        <w:rPr>
          <w:rFonts w:ascii="Arial" w:hAnsi="Arial" w:cs="Arial"/>
        </w:rPr>
        <w:t xml:space="preserve">transition </w:t>
      </w:r>
      <w:r>
        <w:rPr>
          <w:rFonts w:ascii="Arial" w:hAnsi="Arial" w:cs="Arial"/>
        </w:rPr>
        <w:t xml:space="preserve">vers une production et une diffusion régulières et harmonisées des produits basés sur la </w:t>
      </w:r>
      <w:r w:rsidRPr="00A80025">
        <w:rPr>
          <w:rFonts w:ascii="Arial" w:hAnsi="Arial" w:cs="Arial"/>
        </w:rPr>
        <w:t>S-100</w:t>
      </w:r>
      <w:r>
        <w:rPr>
          <w:rFonts w:ascii="Arial" w:hAnsi="Arial" w:cs="Arial"/>
        </w:rPr>
        <w:t>,</w:t>
      </w:r>
      <w:r w:rsidRPr="00A80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aux fins de </w:t>
      </w:r>
      <w:r w:rsidRPr="00A80025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>plus avant lors de l’</w:t>
      </w:r>
      <w:r w:rsidRPr="00A80025">
        <w:rPr>
          <w:rFonts w:ascii="Arial" w:hAnsi="Arial" w:cs="Arial"/>
        </w:rPr>
        <w:t xml:space="preserve">A-2 </w:t>
      </w:r>
      <w:r>
        <w:rPr>
          <w:rFonts w:ascii="Arial" w:hAnsi="Arial" w:cs="Arial"/>
        </w:rPr>
        <w:t>et en vue de la préparation du Programme de travail de l’OHI</w:t>
      </w:r>
      <w:r w:rsidRPr="00A80025">
        <w:rPr>
          <w:rFonts w:ascii="Arial" w:hAnsi="Arial" w:cs="Arial"/>
        </w:rPr>
        <w:t xml:space="preserve"> 2021-2023 (</w:t>
      </w:r>
      <w:r>
        <w:rPr>
          <w:rFonts w:ascii="Arial" w:hAnsi="Arial" w:cs="Arial"/>
        </w:rPr>
        <w:t>cf. référence</w:t>
      </w:r>
      <w:r w:rsidRPr="00A8002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,</w:t>
      </w:r>
      <w:r w:rsidRPr="00A80025">
        <w:rPr>
          <w:rFonts w:ascii="Arial" w:hAnsi="Arial" w:cs="Arial"/>
        </w:rPr>
        <w:t xml:space="preserve"> Action C2/31). </w:t>
      </w:r>
    </w:p>
    <w:p w:rsidR="001975F0" w:rsidRPr="00A80025" w:rsidRDefault="001975F0" w:rsidP="00197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outre, le Secrétaire général a été chargé de commencer à collaborer avec l’OMI afin d’informer l’Organisation de l’état actuel du cadre de la </w:t>
      </w:r>
      <w:r w:rsidRPr="00A80025">
        <w:rPr>
          <w:rFonts w:ascii="Arial" w:hAnsi="Arial" w:cs="Arial"/>
        </w:rPr>
        <w:t xml:space="preserve">S-100 </w:t>
      </w:r>
      <w:r>
        <w:rPr>
          <w:rFonts w:ascii="Arial" w:hAnsi="Arial" w:cs="Arial"/>
        </w:rPr>
        <w:t xml:space="preserve">et des futurs impacts potentiels sur les </w:t>
      </w:r>
      <w:r w:rsidRPr="00A80025">
        <w:rPr>
          <w:rFonts w:ascii="Arial" w:hAnsi="Arial" w:cs="Arial"/>
        </w:rPr>
        <w:t xml:space="preserve">instruments </w:t>
      </w:r>
      <w:r>
        <w:rPr>
          <w:rFonts w:ascii="Arial" w:hAnsi="Arial" w:cs="Arial"/>
        </w:rPr>
        <w:t xml:space="preserve">de l’OMI </w:t>
      </w:r>
      <w:r w:rsidRPr="00A80025">
        <w:rPr>
          <w:rFonts w:ascii="Arial" w:hAnsi="Arial" w:cs="Arial"/>
        </w:rPr>
        <w:t>(</w:t>
      </w:r>
      <w:r>
        <w:rPr>
          <w:rFonts w:ascii="Arial" w:hAnsi="Arial" w:cs="Arial"/>
        </w:rPr>
        <w:t>cf. référence</w:t>
      </w:r>
      <w:r w:rsidRPr="00A8002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,</w:t>
      </w:r>
      <w:r w:rsidRPr="00A80025">
        <w:rPr>
          <w:rFonts w:ascii="Arial" w:hAnsi="Arial" w:cs="Arial"/>
        </w:rPr>
        <w:t xml:space="preserve"> Action C2/32). </w:t>
      </w:r>
    </w:p>
    <w:p w:rsidR="001975F0" w:rsidRPr="00A80025" w:rsidRDefault="001975F0" w:rsidP="00197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groupe de responsables susmentionnés a, après réflexion, identifié les domaines de collaboration stratégiques suivants afin de développer une feuille de route approuvée pour la </w:t>
      </w:r>
      <w:r>
        <w:rPr>
          <w:rFonts w:ascii="Arial" w:hAnsi="Arial" w:cs="Arial"/>
          <w:i/>
        </w:rPr>
        <w:t xml:space="preserve">Décennie pour la mise en œuvre de la </w:t>
      </w:r>
      <w:r w:rsidRPr="00A80025">
        <w:rPr>
          <w:rFonts w:ascii="Arial" w:hAnsi="Arial" w:cs="Arial"/>
          <w:i/>
        </w:rPr>
        <w:t>S-100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</w:rPr>
        <w:t xml:space="preserve">: 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</w:t>
      </w:r>
      <w:r w:rsidRPr="00A80025">
        <w:rPr>
          <w:rFonts w:ascii="Arial" w:hAnsi="Arial" w:cs="Arial"/>
          <w:sz w:val="22"/>
          <w:szCs w:val="22"/>
          <w:lang w:val="fr-FR"/>
        </w:rPr>
        <w:t>nfrastructure</w:t>
      </w:r>
      <w:r>
        <w:rPr>
          <w:rFonts w:ascii="Arial" w:hAnsi="Arial" w:cs="Arial"/>
          <w:sz w:val="22"/>
          <w:szCs w:val="22"/>
          <w:lang w:val="fr-FR"/>
        </w:rPr>
        <w:t xml:space="preserve"> opérationnelle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Normalisation technique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Mise en œuvre coordonnée des </w:t>
      </w:r>
      <w:r w:rsidRPr="00A80025">
        <w:rPr>
          <w:rFonts w:ascii="Arial" w:hAnsi="Arial" w:cs="Arial"/>
          <w:sz w:val="22"/>
          <w:szCs w:val="22"/>
          <w:lang w:val="fr-FR"/>
        </w:rPr>
        <w:t>services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>Synchroni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ation </w:t>
      </w:r>
      <w:r>
        <w:rPr>
          <w:rFonts w:ascii="Arial" w:hAnsi="Arial" w:cs="Arial"/>
          <w:sz w:val="22"/>
          <w:szCs w:val="22"/>
          <w:lang w:val="fr-FR"/>
        </w:rPr>
        <w:t>avec l’OMI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 xml:space="preserve">Collaboration </w:t>
      </w:r>
      <w:r>
        <w:rPr>
          <w:rFonts w:ascii="Arial" w:hAnsi="Arial" w:cs="Arial"/>
          <w:sz w:val="22"/>
          <w:szCs w:val="22"/>
          <w:lang w:val="fr-FR"/>
        </w:rPr>
        <w:t>avec l’industrie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Renforcement des capacités des services hydrographiques</w:t>
      </w:r>
    </w:p>
    <w:p w:rsidR="001975F0" w:rsidRPr="00A80025" w:rsidRDefault="001975F0" w:rsidP="001975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>Développe</w:t>
      </w:r>
      <w:r>
        <w:rPr>
          <w:rFonts w:ascii="Arial" w:hAnsi="Arial" w:cs="Arial"/>
          <w:sz w:val="22"/>
          <w:szCs w:val="22"/>
          <w:lang w:val="fr-FR"/>
        </w:rPr>
        <w:t>me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nt </w:t>
      </w:r>
      <w:r>
        <w:rPr>
          <w:rFonts w:ascii="Arial" w:hAnsi="Arial" w:cs="Arial"/>
          <w:sz w:val="22"/>
          <w:szCs w:val="22"/>
          <w:lang w:val="fr-FR"/>
        </w:rPr>
        <w:t>de la capacité de diffusion mondiale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975F0" w:rsidRPr="00A80025" w:rsidRDefault="001975F0" w:rsidP="00197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Ces sept sujets ont été examinés en détail afin de permettre aux Etats membres de l’OHI</w:t>
      </w:r>
      <w:r w:rsidRPr="00A800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à l’OMI</w:t>
      </w:r>
      <w:r w:rsidRPr="00A80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ainsi qu’à toutes les autres parties prenantes concernées, y compris aux partenaires de l’industrie</w:t>
      </w:r>
      <w:r w:rsidRPr="00A800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d’ajuster leurs dispositions juridiques et techniques en vue de contribuer à l’établissement des produits et services basés sur la</w:t>
      </w:r>
      <w:r w:rsidRPr="00A80025">
        <w:rPr>
          <w:rFonts w:ascii="Arial" w:hAnsi="Arial" w:cs="Arial"/>
        </w:rPr>
        <w:t xml:space="preserve"> S-100. </w:t>
      </w:r>
      <w:r>
        <w:rPr>
          <w:rFonts w:ascii="Arial" w:hAnsi="Arial" w:cs="Arial"/>
        </w:rPr>
        <w:t xml:space="preserve">Le présent document propose un calendrier de base ainsi que les </w:t>
      </w:r>
      <w:r w:rsidRPr="00A80025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>à mener de</w:t>
      </w:r>
      <w:r w:rsidRPr="00A80025">
        <w:rPr>
          <w:rFonts w:ascii="Arial" w:hAnsi="Arial" w:cs="Arial"/>
        </w:rPr>
        <w:t xml:space="preserve"> concert </w:t>
      </w:r>
      <w:r>
        <w:rPr>
          <w:rFonts w:ascii="Arial" w:hAnsi="Arial" w:cs="Arial"/>
        </w:rPr>
        <w:t>avec les partenaires de l’OHI concernés</w:t>
      </w:r>
      <w:r w:rsidRPr="00A80025">
        <w:rPr>
          <w:rFonts w:ascii="Arial" w:hAnsi="Arial" w:cs="Arial"/>
        </w:rPr>
        <w:t>.</w:t>
      </w:r>
    </w:p>
    <w:p w:rsidR="001975F0" w:rsidRPr="00A80025" w:rsidRDefault="001975F0" w:rsidP="001975F0">
      <w:pPr>
        <w:pStyle w:val="Heading2"/>
        <w:spacing w:before="360"/>
        <w:jc w:val="both"/>
        <w:rPr>
          <w:color w:val="000000" w:themeColor="text1"/>
          <w:lang w:val="fr-FR"/>
        </w:rPr>
      </w:pPr>
      <w:r w:rsidRPr="00A80025">
        <w:rPr>
          <w:color w:val="000000" w:themeColor="text1"/>
          <w:lang w:val="fr-FR"/>
        </w:rPr>
        <w:t>Analys</w:t>
      </w:r>
      <w:r>
        <w:rPr>
          <w:color w:val="000000" w:themeColor="text1"/>
          <w:lang w:val="fr-FR"/>
        </w:rPr>
        <w:t>e</w:t>
      </w:r>
      <w:r w:rsidRPr="00A80025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et d</w:t>
      </w:r>
      <w:r w:rsidRPr="00A80025">
        <w:rPr>
          <w:color w:val="000000" w:themeColor="text1"/>
          <w:lang w:val="fr-FR"/>
        </w:rPr>
        <w:t>iscussion</w:t>
      </w:r>
    </w:p>
    <w:p w:rsidR="001975F0" w:rsidRPr="00A80025" w:rsidRDefault="001975F0" w:rsidP="001975F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fr-FR"/>
        </w:rPr>
      </w:pP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I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nfrastructure </w:t>
      </w:r>
      <w:r>
        <w:rPr>
          <w:rFonts w:ascii="Arial" w:hAnsi="Arial" w:cs="Arial"/>
          <w:b/>
          <w:sz w:val="22"/>
          <w:szCs w:val="22"/>
          <w:lang w:val="fr-FR"/>
        </w:rPr>
        <w:t>opérationnelle</w:t>
      </w:r>
    </w:p>
    <w:p w:rsidR="001975F0" w:rsidRPr="00A80025" w:rsidRDefault="001975F0" w:rsidP="001975F0">
      <w:pPr>
        <w:ind w:left="708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A80025">
        <w:rPr>
          <w:rFonts w:ascii="Arial" w:hAnsi="Arial" w:cs="Arial"/>
        </w:rPr>
        <w:t xml:space="preserve">infrastructure </w:t>
      </w:r>
      <w:r>
        <w:rPr>
          <w:rFonts w:ascii="Arial" w:hAnsi="Arial" w:cs="Arial"/>
        </w:rPr>
        <w:t>opérationnelle, comprenant par exemple la base de registres et les outils permettant de créer des spécifications de produit, sera prête en vue de la tenue à jour continue des spécifications de produit</w:t>
      </w:r>
      <w:r w:rsidRPr="00A80025">
        <w:rPr>
          <w:rFonts w:ascii="Arial" w:hAnsi="Arial" w:cs="Arial"/>
        </w:rPr>
        <w:t xml:space="preserve"> S-1xx </w:t>
      </w:r>
      <w:r>
        <w:rPr>
          <w:rFonts w:ascii="Arial" w:hAnsi="Arial" w:cs="Arial"/>
          <w:b/>
        </w:rPr>
        <w:t>d’ici</w:t>
      </w:r>
      <w:r w:rsidRPr="00A80025">
        <w:rPr>
          <w:rFonts w:ascii="Arial" w:hAnsi="Arial" w:cs="Arial"/>
          <w:b/>
        </w:rPr>
        <w:t xml:space="preserve"> 2020 (SEC </w:t>
      </w:r>
      <w:r>
        <w:rPr>
          <w:rFonts w:ascii="Arial" w:hAnsi="Arial" w:cs="Arial"/>
          <w:b/>
        </w:rPr>
        <w:t xml:space="preserve">OHI </w:t>
      </w:r>
      <w:r w:rsidRPr="00A80025">
        <w:rPr>
          <w:rFonts w:ascii="Arial" w:hAnsi="Arial" w:cs="Arial"/>
          <w:b/>
        </w:rPr>
        <w:t>– HSSC)</w:t>
      </w:r>
      <w:r w:rsidRPr="00A80025">
        <w:rPr>
          <w:rFonts w:ascii="Arial" w:hAnsi="Arial" w:cs="Arial"/>
        </w:rPr>
        <w:t>.</w:t>
      </w:r>
    </w:p>
    <w:p w:rsidR="001975F0" w:rsidRPr="00A80025" w:rsidRDefault="001975F0" w:rsidP="001975F0">
      <w:pPr>
        <w:ind w:hanging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Normalisation technique</w:t>
      </w:r>
    </w:p>
    <w:p w:rsidR="001975F0" w:rsidRPr="00A80025" w:rsidRDefault="001975F0" w:rsidP="001975F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Deux principaux domaines pour les spécifications de produit basées sur la </w:t>
      </w:r>
      <w:r w:rsidRPr="00A80025">
        <w:rPr>
          <w:rFonts w:ascii="Arial" w:hAnsi="Arial" w:cs="Arial"/>
        </w:rPr>
        <w:t>S-100</w:t>
      </w:r>
      <w:r>
        <w:rPr>
          <w:rFonts w:ascii="Arial" w:hAnsi="Arial" w:cs="Arial"/>
        </w:rPr>
        <w:t> </w:t>
      </w:r>
      <w:r w:rsidRPr="00A80025">
        <w:rPr>
          <w:rFonts w:ascii="Arial" w:hAnsi="Arial" w:cs="Arial"/>
        </w:rPr>
        <w:t>:</w:t>
      </w:r>
    </w:p>
    <w:p w:rsidR="001975F0" w:rsidRPr="00A80025" w:rsidRDefault="001975F0" w:rsidP="001975F0">
      <w:pPr>
        <w:ind w:hanging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ind w:left="708" w:hanging="141"/>
        <w:jc w:val="both"/>
        <w:rPr>
          <w:rFonts w:ascii="Arial" w:hAnsi="Arial" w:cs="Arial"/>
          <w:i/>
        </w:rPr>
      </w:pPr>
      <w:r w:rsidRPr="00A80025">
        <w:rPr>
          <w:rFonts w:ascii="Arial" w:hAnsi="Arial" w:cs="Arial"/>
          <w:i/>
        </w:rPr>
        <w:t xml:space="preserve">S-101 </w:t>
      </w:r>
      <w:r>
        <w:rPr>
          <w:rFonts w:ascii="Arial" w:hAnsi="Arial" w:cs="Arial"/>
          <w:i/>
        </w:rPr>
        <w:t xml:space="preserve">- </w:t>
      </w:r>
      <w:r w:rsidRPr="00A80025">
        <w:rPr>
          <w:rFonts w:ascii="Arial" w:hAnsi="Arial" w:cs="Arial"/>
          <w:i/>
        </w:rPr>
        <w:t>ENC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Conformément à la feuille de route du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HSSC, </w:t>
      </w:r>
      <w:r>
        <w:rPr>
          <w:rFonts w:ascii="Arial" w:hAnsi="Arial" w:cs="Arial"/>
          <w:sz w:val="22"/>
          <w:szCs w:val="22"/>
          <w:lang w:val="fr-FR"/>
        </w:rPr>
        <w:t>la spécification de produit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(PS)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>sera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 w:rsidRPr="00A80025">
        <w:rPr>
          <w:rFonts w:ascii="Arial" w:hAnsi="Arial" w:cs="Arial"/>
          <w:b/>
          <w:sz w:val="22"/>
          <w:szCs w:val="22"/>
          <w:lang w:val="fr-FR"/>
        </w:rPr>
        <w:t>techni</w:t>
      </w:r>
      <w:r>
        <w:rPr>
          <w:rFonts w:ascii="Arial" w:hAnsi="Arial" w:cs="Arial"/>
          <w:b/>
          <w:sz w:val="22"/>
          <w:szCs w:val="22"/>
          <w:lang w:val="fr-FR"/>
        </w:rPr>
        <w:t xml:space="preserve">quement prête en vue d’une 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production </w:t>
      </w:r>
      <w:r>
        <w:rPr>
          <w:rFonts w:ascii="Arial" w:hAnsi="Arial" w:cs="Arial"/>
          <w:b/>
          <w:sz w:val="22"/>
          <w:szCs w:val="22"/>
          <w:lang w:val="fr-FR"/>
        </w:rPr>
        <w:t>régulière des ENC de la S­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101 </w:t>
      </w:r>
      <w:r>
        <w:rPr>
          <w:rFonts w:ascii="Arial" w:hAnsi="Arial" w:cs="Arial"/>
          <w:b/>
          <w:sz w:val="22"/>
          <w:szCs w:val="22"/>
          <w:lang w:val="fr-FR"/>
        </w:rPr>
        <w:t>d’ici fin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 2022</w:t>
      </w:r>
      <w:r w:rsidRPr="00A80025">
        <w:rPr>
          <w:rFonts w:ascii="Arial" w:hAnsi="Arial" w:cs="Arial"/>
          <w:sz w:val="22"/>
          <w:szCs w:val="22"/>
          <w:lang w:val="fr-FR"/>
        </w:rPr>
        <w:t>. (HSSC)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>I</w:t>
      </w:r>
      <w:r>
        <w:rPr>
          <w:rFonts w:ascii="Arial" w:hAnsi="Arial" w:cs="Arial"/>
          <w:sz w:val="22"/>
          <w:szCs w:val="22"/>
          <w:lang w:val="fr-FR"/>
        </w:rPr>
        <w:t xml:space="preserve">l peut être attendu à cette date que les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>et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S-57 </w:t>
      </w:r>
      <w:r>
        <w:rPr>
          <w:rFonts w:ascii="Arial" w:hAnsi="Arial" w:cs="Arial"/>
          <w:sz w:val="22"/>
          <w:szCs w:val="22"/>
          <w:lang w:val="fr-FR"/>
        </w:rPr>
        <w:t xml:space="preserve">puissent être produites via des exportations à partir de systèmes à jour de production d’ENC pilotés par une base de données, développés à des fins commerciales. (Industrie, en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collaboration </w:t>
      </w:r>
      <w:r>
        <w:rPr>
          <w:rFonts w:ascii="Arial" w:hAnsi="Arial" w:cs="Arial"/>
          <w:sz w:val="22"/>
          <w:szCs w:val="22"/>
          <w:lang w:val="fr-FR"/>
        </w:rPr>
        <w:t>avec le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HSSC)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Il convient de noter que puisque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 xml:space="preserve">contient des entités et attributs non disponibles dans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S-57, </w:t>
      </w:r>
      <w:r>
        <w:rPr>
          <w:rFonts w:ascii="Arial" w:hAnsi="Arial" w:cs="Arial"/>
          <w:sz w:val="22"/>
          <w:szCs w:val="22"/>
          <w:lang w:val="fr-FR"/>
        </w:rPr>
        <w:t xml:space="preserve">il n’est pas possible de créer des ENC présentant l’ensemble des entités de la S-101 par le biais d’un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simple </w:t>
      </w:r>
      <w:r>
        <w:rPr>
          <w:rFonts w:ascii="Arial" w:hAnsi="Arial" w:cs="Arial"/>
          <w:sz w:val="22"/>
          <w:szCs w:val="22"/>
          <w:lang w:val="fr-FR"/>
        </w:rPr>
        <w:t xml:space="preserve">processus de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conversion </w:t>
      </w:r>
      <w:r>
        <w:rPr>
          <w:rFonts w:ascii="Arial" w:hAnsi="Arial" w:cs="Arial"/>
          <w:sz w:val="22"/>
          <w:szCs w:val="22"/>
          <w:lang w:val="fr-FR"/>
        </w:rPr>
        <w:t>des ENC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S-57. </w:t>
      </w:r>
      <w:r>
        <w:rPr>
          <w:rFonts w:ascii="Arial" w:hAnsi="Arial" w:cs="Arial"/>
          <w:sz w:val="22"/>
          <w:szCs w:val="22"/>
          <w:lang w:val="fr-FR"/>
        </w:rPr>
        <w:t>Toutefois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les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 xml:space="preserve">créées par le biais d’une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conversion </w:t>
      </w:r>
      <w:r>
        <w:rPr>
          <w:rFonts w:ascii="Arial" w:hAnsi="Arial" w:cs="Arial"/>
          <w:sz w:val="22"/>
          <w:szCs w:val="22"/>
          <w:lang w:val="fr-FR"/>
        </w:rPr>
        <w:t xml:space="preserve">répondront à toutes les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conditions </w:t>
      </w:r>
      <w:r>
        <w:rPr>
          <w:rFonts w:ascii="Arial" w:hAnsi="Arial" w:cs="Arial"/>
          <w:sz w:val="22"/>
          <w:szCs w:val="22"/>
          <w:lang w:val="fr-FR"/>
        </w:rPr>
        <w:t xml:space="preserve">visant à maintenir la sécurité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navigation </w:t>
      </w:r>
      <w:r>
        <w:rPr>
          <w:rFonts w:ascii="Arial" w:hAnsi="Arial" w:cs="Arial"/>
          <w:sz w:val="22"/>
          <w:szCs w:val="22"/>
          <w:lang w:val="fr-FR"/>
        </w:rPr>
        <w:t>au même niveau que les ENC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S-57. </w:t>
      </w: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 w:rsidRPr="00A80025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utres spécifications de produit</w:t>
      </w:r>
      <w:r w:rsidRPr="00A80025">
        <w:rPr>
          <w:rFonts w:ascii="Arial" w:hAnsi="Arial" w:cs="Arial"/>
          <w:i/>
        </w:rPr>
        <w:t xml:space="preserve"> S-1xx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normalisation dans le cadre du domaine hydrographique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S-100 </w:t>
      </w:r>
      <w:r>
        <w:rPr>
          <w:rFonts w:ascii="Arial" w:hAnsi="Arial" w:cs="Arial"/>
          <w:sz w:val="22"/>
          <w:szCs w:val="22"/>
          <w:lang w:val="fr-FR"/>
        </w:rPr>
        <w:t>devrait se concentrer principalement sur les produits suivants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ind w:left="85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722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5573"/>
      </w:tblGrid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S-101</w:t>
            </w:r>
          </w:p>
        </w:tc>
        <w:tc>
          <w:tcPr>
            <w:tcW w:w="557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3E3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Cartes électroniques de navigation</w:t>
            </w: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 (ENC) </w:t>
            </w:r>
          </w:p>
        </w:tc>
      </w:tr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S-102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AF1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Surface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bathymétrique</w:t>
            </w:r>
          </w:p>
        </w:tc>
      </w:tr>
      <w:tr w:rsidR="001975F0" w:rsidRPr="00A80025" w:rsidTr="00690A1F">
        <w:trPr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S-104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3E3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Information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de hauteur d’eau pour la n</w:t>
            </w: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avigation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de s</w:t>
            </w: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>urface</w:t>
            </w:r>
          </w:p>
        </w:tc>
      </w:tr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S-111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AF1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Courants de s</w:t>
            </w: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urface </w:t>
            </w:r>
          </w:p>
        </w:tc>
      </w:tr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S-122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3E3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Aires marines protégées</w:t>
            </w: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S-123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AF1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>Services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radio</w:t>
            </w:r>
          </w:p>
        </w:tc>
      </w:tr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S-124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AF1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Avertissements de navigation</w:t>
            </w:r>
            <w:r w:rsidRPr="00A8002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1975F0" w:rsidRPr="00A80025" w:rsidTr="00690A1F">
        <w:trPr>
          <w:trHeight w:val="221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65AC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8002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S-129</w:t>
            </w:r>
          </w:p>
        </w:tc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AF1"/>
          </w:tcPr>
          <w:p w:rsidR="001975F0" w:rsidRPr="00A80025" w:rsidRDefault="001975F0" w:rsidP="00690A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Gestion de la profondeur d’eau sous quille</w:t>
            </w:r>
          </w:p>
        </w:tc>
      </w:tr>
    </w:tbl>
    <w:p w:rsidR="001975F0" w:rsidRPr="00A80025" w:rsidRDefault="001975F0" w:rsidP="001975F0">
      <w:pPr>
        <w:jc w:val="both"/>
        <w:rPr>
          <w:rFonts w:ascii="Arial" w:hAnsi="Arial" w:cs="Arial"/>
        </w:rPr>
      </w:pPr>
    </w:p>
    <w:p w:rsidR="001975F0" w:rsidRPr="00A80025" w:rsidRDefault="001975F0" w:rsidP="001975F0">
      <w:pPr>
        <w:ind w:hanging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1068" w:hanging="106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Aucun projet de normalisation autre que ceux qui sont déjà inscrits dans le domaine hydrographique n’est actuellement prévu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mais il est attendu que des propositions seront effectuées au cours de la prochaine décennie si un besoin impérieux est exprimé par les parties prenantes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(HSSC </w:t>
      </w:r>
      <w:r>
        <w:rPr>
          <w:rFonts w:ascii="Arial" w:hAnsi="Arial" w:cs="Arial"/>
          <w:sz w:val="22"/>
          <w:szCs w:val="22"/>
          <w:lang w:val="fr-FR"/>
        </w:rPr>
        <w:t>et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IRCC) </w:t>
      </w:r>
    </w:p>
    <w:p w:rsidR="001975F0" w:rsidRPr="00A80025" w:rsidRDefault="001975F0" w:rsidP="001975F0">
      <w:pPr>
        <w:ind w:hanging="1068"/>
        <w:rPr>
          <w:rFonts w:ascii="Arial" w:hAnsi="Arial" w:cs="Arial"/>
          <w:b/>
        </w:rPr>
      </w:pP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Mise en œuvre coordonnée des </w:t>
      </w:r>
      <w:r w:rsidRPr="00A80025">
        <w:rPr>
          <w:rFonts w:ascii="Arial" w:hAnsi="Arial" w:cs="Arial"/>
          <w:b/>
          <w:sz w:val="22"/>
          <w:szCs w:val="22"/>
          <w:lang w:val="fr-FR"/>
        </w:rPr>
        <w:t>services</w:t>
      </w:r>
    </w:p>
    <w:p w:rsidR="001975F0" w:rsidRPr="00A80025" w:rsidRDefault="001975F0" w:rsidP="001975F0">
      <w:pPr>
        <w:ind w:hanging="1068"/>
        <w:jc w:val="both"/>
        <w:rPr>
          <w:rFonts w:ascii="Arial" w:hAnsi="Arial" w:cs="Arial"/>
          <w:b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 w:rsidRPr="00A80025">
        <w:rPr>
          <w:rFonts w:ascii="Arial" w:hAnsi="Arial" w:cs="Arial"/>
          <w:i/>
        </w:rPr>
        <w:t>S-101</w:t>
      </w:r>
      <w:r>
        <w:rPr>
          <w:rFonts w:ascii="Arial" w:hAnsi="Arial" w:cs="Arial"/>
          <w:i/>
        </w:rPr>
        <w:t xml:space="preserve"> -</w:t>
      </w:r>
      <w:r w:rsidRPr="00A80025">
        <w:rPr>
          <w:rFonts w:ascii="Arial" w:hAnsi="Arial" w:cs="Arial"/>
          <w:i/>
        </w:rPr>
        <w:t xml:space="preserve"> ENC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  <w:r w:rsidRPr="00A80025">
        <w:rPr>
          <w:rFonts w:ascii="Arial" w:hAnsi="Arial" w:cs="Arial"/>
        </w:rPr>
        <w:tab/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couverture en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 xml:space="preserve">croîtra plus rapidement que la couverture en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ENC </w:t>
      </w:r>
      <w:r>
        <w:rPr>
          <w:rFonts w:ascii="Arial" w:hAnsi="Arial" w:cs="Arial"/>
          <w:sz w:val="22"/>
          <w:szCs w:val="22"/>
          <w:lang w:val="fr-FR"/>
        </w:rPr>
        <w:t xml:space="preserve">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 </w:t>
      </w:r>
      <w:r>
        <w:rPr>
          <w:rFonts w:ascii="Arial" w:hAnsi="Arial" w:cs="Arial"/>
          <w:sz w:val="22"/>
          <w:szCs w:val="22"/>
          <w:lang w:val="fr-FR"/>
        </w:rPr>
        <w:t xml:space="preserve">à ses débuts étant donné que le modèle de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concept </w:t>
      </w:r>
      <w:r>
        <w:rPr>
          <w:rFonts w:ascii="Arial" w:hAnsi="Arial" w:cs="Arial"/>
          <w:sz w:val="22"/>
          <w:szCs w:val="22"/>
          <w:lang w:val="fr-FR"/>
        </w:rPr>
        <w:t xml:space="preserve">concerné </w:t>
      </w:r>
      <w:r w:rsidRPr="00A80025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les entités représentées de manière géométrique et par des attributs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sont reliées à des règles de présentation spécifiques contenues dans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S-52, </w:t>
      </w:r>
      <w:r>
        <w:rPr>
          <w:rFonts w:ascii="Arial" w:hAnsi="Arial" w:cs="Arial"/>
          <w:sz w:val="22"/>
          <w:szCs w:val="22"/>
          <w:lang w:val="fr-FR"/>
        </w:rPr>
        <w:t xml:space="preserve">le codage reste conforme à la </w:t>
      </w:r>
      <w:r>
        <w:rPr>
          <w:rFonts w:ascii="Arial" w:hAnsi="Arial" w:cs="Arial"/>
          <w:sz w:val="22"/>
          <w:szCs w:val="22"/>
          <w:lang w:val="fr-FR"/>
        </w:rPr>
        <w:lastRenderedPageBreak/>
        <w:t xml:space="preserve">norme ISO/IEC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8211) </w:t>
      </w:r>
      <w:r>
        <w:rPr>
          <w:rFonts w:ascii="Arial" w:hAnsi="Arial" w:cs="Arial"/>
          <w:sz w:val="22"/>
          <w:szCs w:val="22"/>
          <w:lang w:val="fr-FR"/>
        </w:rPr>
        <w:t xml:space="preserve">est identique et que les concepts de diffusion pour les ENC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via </w:t>
      </w:r>
      <w:r>
        <w:rPr>
          <w:rFonts w:ascii="Arial" w:hAnsi="Arial" w:cs="Arial"/>
          <w:sz w:val="22"/>
          <w:szCs w:val="22"/>
          <w:lang w:val="fr-FR"/>
        </w:rPr>
        <w:t xml:space="preserve">les </w:t>
      </w:r>
      <w:r w:rsidRPr="00A80025">
        <w:rPr>
          <w:rFonts w:ascii="Arial" w:hAnsi="Arial" w:cs="Arial"/>
          <w:sz w:val="22"/>
          <w:szCs w:val="22"/>
          <w:lang w:val="fr-FR"/>
        </w:rPr>
        <w:t>RENC</w:t>
      </w:r>
      <w:r>
        <w:rPr>
          <w:rFonts w:ascii="Arial" w:hAnsi="Arial" w:cs="Arial"/>
          <w:sz w:val="22"/>
          <w:szCs w:val="22"/>
          <w:lang w:val="fr-FR"/>
        </w:rPr>
        <w:t xml:space="preserve"> et les services nationaux sont en place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la phase de démarrage,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conversion </w:t>
      </w:r>
      <w:r>
        <w:rPr>
          <w:rFonts w:ascii="Arial" w:hAnsi="Arial" w:cs="Arial"/>
          <w:sz w:val="22"/>
          <w:szCs w:val="22"/>
          <w:lang w:val="fr-FR"/>
        </w:rPr>
        <w:t xml:space="preserve">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 </w:t>
      </w:r>
      <w:r>
        <w:rPr>
          <w:rFonts w:ascii="Arial" w:hAnsi="Arial" w:cs="Arial"/>
          <w:sz w:val="22"/>
          <w:szCs w:val="22"/>
          <w:lang w:val="fr-FR"/>
        </w:rPr>
        <w:t xml:space="preserve">en </w:t>
      </w:r>
      <w:r w:rsidRPr="00A80025">
        <w:rPr>
          <w:rFonts w:ascii="Arial" w:hAnsi="Arial" w:cs="Arial"/>
          <w:sz w:val="22"/>
          <w:szCs w:val="22"/>
          <w:lang w:val="fr-FR"/>
        </w:rPr>
        <w:t>ENC</w:t>
      </w:r>
      <w:r>
        <w:rPr>
          <w:rFonts w:ascii="Arial" w:hAnsi="Arial" w:cs="Arial"/>
          <w:sz w:val="22"/>
          <w:szCs w:val="22"/>
          <w:lang w:val="fr-FR"/>
        </w:rPr>
        <w:t xml:space="preserve">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>peut aider à atteindre une couverture significative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en sachant que les cellules converties seront limitées en termes de détails cartographiques en comparaison avec la gamme complète d’entités des ENC natives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de la </w:t>
      </w:r>
      <w:r w:rsidRPr="00A80025">
        <w:rPr>
          <w:rFonts w:ascii="Arial" w:hAnsi="Arial" w:cs="Arial"/>
          <w:sz w:val="22"/>
          <w:szCs w:val="22"/>
          <w:lang w:val="fr-FR"/>
        </w:rPr>
        <w:t>S-101.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Afin de maintenir les dispositifs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ECDIS </w:t>
      </w:r>
      <w:r>
        <w:rPr>
          <w:rFonts w:ascii="Arial" w:hAnsi="Arial" w:cs="Arial"/>
          <w:sz w:val="22"/>
          <w:szCs w:val="22"/>
          <w:lang w:val="fr-FR"/>
        </w:rPr>
        <w:t xml:space="preserve">déjà installés sur les navires </w:t>
      </w:r>
      <w:r w:rsidRPr="00A80025">
        <w:rPr>
          <w:rFonts w:ascii="Arial" w:hAnsi="Arial" w:cs="Arial"/>
          <w:sz w:val="22"/>
          <w:szCs w:val="22"/>
          <w:lang w:val="fr-FR"/>
        </w:rPr>
        <w:t>SOLAS</w:t>
      </w:r>
      <w:r>
        <w:rPr>
          <w:rFonts w:ascii="Arial" w:hAnsi="Arial" w:cs="Arial"/>
          <w:sz w:val="22"/>
          <w:szCs w:val="22"/>
          <w:lang w:val="fr-FR"/>
        </w:rPr>
        <w:t xml:space="preserve">, qui ne sont techniquement pas prêts à passer aux capacités de traitement des ENC de la S-101 et qui n’y sont pas obligés, et afin de se conformer aux règlements applicables de l’OMI relatifs au matériel de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navigation </w:t>
      </w:r>
      <w:r>
        <w:rPr>
          <w:rFonts w:ascii="Arial" w:hAnsi="Arial" w:cs="Arial"/>
          <w:sz w:val="22"/>
          <w:szCs w:val="22"/>
          <w:lang w:val="fr-FR"/>
        </w:rPr>
        <w:t>existant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une couverture identique doit être fournie pour les ENC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S-57 </w:t>
      </w:r>
      <w:r>
        <w:rPr>
          <w:rFonts w:ascii="Arial" w:hAnsi="Arial" w:cs="Arial"/>
          <w:sz w:val="22"/>
          <w:szCs w:val="22"/>
          <w:lang w:val="fr-FR"/>
        </w:rPr>
        <w:t>et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S-101 </w:t>
      </w:r>
      <w:r>
        <w:rPr>
          <w:rFonts w:ascii="Arial" w:hAnsi="Arial" w:cs="Arial"/>
          <w:sz w:val="22"/>
          <w:szCs w:val="22"/>
          <w:lang w:val="fr-FR"/>
        </w:rPr>
        <w:t>pour une période de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transition </w:t>
      </w:r>
      <w:r>
        <w:rPr>
          <w:rFonts w:ascii="Arial" w:hAnsi="Arial" w:cs="Arial"/>
          <w:sz w:val="22"/>
          <w:szCs w:val="22"/>
          <w:lang w:val="fr-FR"/>
        </w:rPr>
        <w:t>qui prendra fin à l’issue de la Décennie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L’OHI évaluera les progrès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transition 18 </w:t>
      </w:r>
      <w:r>
        <w:rPr>
          <w:rFonts w:ascii="Arial" w:hAnsi="Arial" w:cs="Arial"/>
          <w:sz w:val="22"/>
          <w:szCs w:val="22"/>
          <w:lang w:val="fr-FR"/>
        </w:rPr>
        <w:t xml:space="preserve">mois avant la fin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collaboration </w:t>
      </w:r>
      <w:r>
        <w:rPr>
          <w:rFonts w:ascii="Arial" w:hAnsi="Arial" w:cs="Arial"/>
          <w:sz w:val="22"/>
          <w:szCs w:val="22"/>
          <w:lang w:val="fr-FR"/>
        </w:rPr>
        <w:t>avec l’OMI et les parties prenantes de l’industrie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Si les résultats montrent une dépendance résiduelle largement étendue et substantielle envers les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S-57, </w:t>
      </w:r>
      <w:r>
        <w:rPr>
          <w:rFonts w:ascii="Arial" w:hAnsi="Arial" w:cs="Arial"/>
          <w:sz w:val="22"/>
          <w:szCs w:val="22"/>
          <w:lang w:val="fr-FR"/>
        </w:rPr>
        <w:t xml:space="preserve">des dispositions limitées seront prises afin de prolonger la période en vue d’assurer une </w:t>
      </w:r>
      <w:r w:rsidRPr="00A80025">
        <w:rPr>
          <w:rFonts w:ascii="Arial" w:hAnsi="Arial" w:cs="Arial"/>
          <w:sz w:val="22"/>
          <w:szCs w:val="22"/>
          <w:lang w:val="fr-FR"/>
        </w:rPr>
        <w:t>transition</w:t>
      </w:r>
      <w:r>
        <w:rPr>
          <w:rFonts w:ascii="Arial" w:hAnsi="Arial" w:cs="Arial"/>
          <w:sz w:val="22"/>
          <w:szCs w:val="22"/>
          <w:lang w:val="fr-FR"/>
        </w:rPr>
        <w:t xml:space="preserve"> en ordre</w:t>
      </w:r>
      <w:r w:rsidRPr="00A80025">
        <w:rPr>
          <w:rFonts w:ascii="Arial" w:hAnsi="Arial" w:cs="Arial"/>
          <w:sz w:val="22"/>
          <w:szCs w:val="22"/>
          <w:lang w:val="fr-FR"/>
        </w:rPr>
        <w:t>.   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Par conséquent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les nouveaux systèmes d’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ECDIS </w:t>
      </w:r>
      <w:r>
        <w:rPr>
          <w:rFonts w:ascii="Arial" w:hAnsi="Arial" w:cs="Arial"/>
          <w:sz w:val="22"/>
          <w:szCs w:val="22"/>
          <w:lang w:val="fr-FR"/>
        </w:rPr>
        <w:t xml:space="preserve">qui devraient entrer sur le marché au moment où la couverture en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>débutera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(2024) </w:t>
      </w:r>
      <w:r>
        <w:rPr>
          <w:rFonts w:ascii="Arial" w:hAnsi="Arial" w:cs="Arial"/>
          <w:sz w:val="22"/>
          <w:szCs w:val="22"/>
          <w:lang w:val="fr-FR"/>
        </w:rPr>
        <w:t>doivent être en mesure de traiter les deux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formats</w:t>
      </w:r>
      <w:r>
        <w:rPr>
          <w:rFonts w:ascii="Arial" w:hAnsi="Arial" w:cs="Arial"/>
          <w:sz w:val="22"/>
          <w:szCs w:val="22"/>
          <w:lang w:val="fr-FR"/>
        </w:rPr>
        <w:t xml:space="preserve">, à savoir celui 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 </w:t>
      </w:r>
      <w:r>
        <w:rPr>
          <w:rFonts w:ascii="Arial" w:hAnsi="Arial" w:cs="Arial"/>
          <w:sz w:val="22"/>
          <w:szCs w:val="22"/>
          <w:lang w:val="fr-FR"/>
        </w:rPr>
        <w:t xml:space="preserve">et celui des </w:t>
      </w:r>
      <w:r w:rsidRPr="00A80025">
        <w:rPr>
          <w:rFonts w:ascii="Arial" w:hAnsi="Arial" w:cs="Arial"/>
          <w:sz w:val="22"/>
          <w:szCs w:val="22"/>
          <w:lang w:val="fr-FR"/>
        </w:rPr>
        <w:t>ENC</w:t>
      </w:r>
      <w:r>
        <w:rPr>
          <w:rFonts w:ascii="Arial" w:hAnsi="Arial" w:cs="Arial"/>
          <w:sz w:val="22"/>
          <w:szCs w:val="22"/>
          <w:lang w:val="fr-FR"/>
        </w:rPr>
        <w:t xml:space="preserve"> de la </w:t>
      </w:r>
      <w:r w:rsidRPr="00A80025">
        <w:rPr>
          <w:rFonts w:ascii="Arial" w:hAnsi="Arial" w:cs="Arial"/>
          <w:sz w:val="22"/>
          <w:szCs w:val="22"/>
          <w:lang w:val="fr-FR"/>
        </w:rPr>
        <w:t>S-101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en parallèle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Default="001975F0" w:rsidP="001975F0">
      <w:pPr>
        <w:pStyle w:val="ListParagraph"/>
        <w:numPr>
          <w:ilvl w:val="0"/>
          <w:numId w:val="2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 modèle « hybride » est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essentiel pour la période de transition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Du point de vue de l’utilisateur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la présentation des entités cartographiques pour répondre aux exigences de contenu de l’OMI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(ENC = </w:t>
      </w:r>
      <w:r>
        <w:rPr>
          <w:rFonts w:ascii="Arial" w:hAnsi="Arial" w:cs="Arial"/>
          <w:sz w:val="22"/>
          <w:szCs w:val="22"/>
          <w:lang w:val="fr-FR"/>
        </w:rPr>
        <w:t>carte marine officielle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) </w:t>
      </w:r>
      <w:r>
        <w:rPr>
          <w:rFonts w:ascii="Arial" w:hAnsi="Arial" w:cs="Arial"/>
          <w:sz w:val="22"/>
          <w:szCs w:val="22"/>
          <w:lang w:val="fr-FR"/>
        </w:rPr>
        <w:t>devrait être uniforme et représentée selon un régime de présentation identique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Ce point est facilité grâce à la conformité 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>avec les normes d’affichage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S-52.</w:t>
      </w:r>
    </w:p>
    <w:p w:rsidR="001975F0" w:rsidRPr="00A80025" w:rsidRDefault="001975F0" w:rsidP="001975F0">
      <w:pPr>
        <w:pStyle w:val="ListParagraph"/>
        <w:spacing w:before="120" w:after="120"/>
        <w:ind w:left="851"/>
        <w:jc w:val="both"/>
        <w:rPr>
          <w:rFonts w:ascii="Arial" w:hAnsi="Arial" w:cs="Arial"/>
          <w:sz w:val="22"/>
          <w:szCs w:val="22"/>
          <w:lang w:val="fr-FR"/>
        </w:rPr>
      </w:pP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Afin de mener à bien cette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phase </w:t>
      </w:r>
      <w:r>
        <w:rPr>
          <w:rFonts w:ascii="Arial" w:hAnsi="Arial" w:cs="Arial"/>
          <w:sz w:val="22"/>
          <w:szCs w:val="22"/>
          <w:lang w:val="fr-FR"/>
        </w:rPr>
        <w:t>de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transition </w:t>
      </w:r>
      <w:r>
        <w:rPr>
          <w:rFonts w:ascii="Arial" w:hAnsi="Arial" w:cs="Arial"/>
          <w:sz w:val="22"/>
          <w:szCs w:val="22"/>
          <w:lang w:val="fr-FR"/>
        </w:rPr>
        <w:t xml:space="preserve">du point de vue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production </w:t>
      </w:r>
      <w:r>
        <w:rPr>
          <w:rFonts w:ascii="Arial" w:hAnsi="Arial" w:cs="Arial"/>
          <w:sz w:val="22"/>
          <w:szCs w:val="22"/>
          <w:lang w:val="fr-FR"/>
        </w:rPr>
        <w:t>et de la diffusion de données </w:t>
      </w:r>
      <w:r w:rsidRPr="00A80025">
        <w:rPr>
          <w:rFonts w:ascii="Arial" w:hAnsi="Arial" w:cs="Arial"/>
          <w:sz w:val="22"/>
          <w:szCs w:val="22"/>
          <w:lang w:val="fr-FR"/>
        </w:rPr>
        <w:t>:</w:t>
      </w:r>
    </w:p>
    <w:p w:rsidR="001975F0" w:rsidRPr="00A80025" w:rsidRDefault="001975F0" w:rsidP="001975F0">
      <w:pPr>
        <w:pStyle w:val="ListParagraph"/>
        <w:ind w:left="851"/>
        <w:jc w:val="both"/>
        <w:rPr>
          <w:rFonts w:ascii="Arial" w:hAnsi="Arial" w:cs="Arial"/>
          <w:sz w:val="22"/>
          <w:szCs w:val="22"/>
          <w:lang w:val="fr-FR"/>
        </w:rPr>
      </w:pPr>
    </w:p>
    <w:p w:rsidR="001975F0" w:rsidRPr="00A80025" w:rsidRDefault="001975F0" w:rsidP="001975F0">
      <w:pPr>
        <w:pStyle w:val="ListParagraph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Il est proposé de solliciter l’implication du plus grand nombre possible d’EM de l’OHI afin d’entamer une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production </w:t>
      </w:r>
      <w:r>
        <w:rPr>
          <w:rFonts w:ascii="Arial" w:hAnsi="Arial" w:cs="Arial"/>
          <w:b/>
          <w:sz w:val="22"/>
          <w:szCs w:val="22"/>
          <w:lang w:val="fr-FR"/>
        </w:rPr>
        <w:t>native régulière des ENC de la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 S-101 </w:t>
      </w:r>
      <w:r>
        <w:rPr>
          <w:rFonts w:ascii="Arial" w:hAnsi="Arial" w:cs="Arial"/>
          <w:b/>
          <w:sz w:val="22"/>
          <w:szCs w:val="22"/>
          <w:lang w:val="fr-FR"/>
        </w:rPr>
        <w:t>e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n 2023 </w:t>
      </w:r>
      <w:r>
        <w:rPr>
          <w:rFonts w:ascii="Arial" w:hAnsi="Arial" w:cs="Arial"/>
          <w:b/>
          <w:sz w:val="22"/>
          <w:szCs w:val="22"/>
          <w:lang w:val="fr-FR"/>
        </w:rPr>
        <w:t>et une disponibilité régulière croissante pendant l’année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 2024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en parallèle à la production d’ENC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S-57. </w:t>
      </w:r>
    </w:p>
    <w:p w:rsidR="001975F0" w:rsidRPr="00A80025" w:rsidRDefault="001975F0" w:rsidP="001975F0">
      <w:pPr>
        <w:pStyle w:val="ListParagraph"/>
        <w:numPr>
          <w:ilvl w:val="1"/>
          <w:numId w:val="2"/>
        </w:numPr>
        <w:ind w:left="1418" w:hanging="56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RENC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 les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 w:rsidRPr="00DB1AB5">
        <w:rPr>
          <w:rFonts w:ascii="Arial" w:hAnsi="Arial" w:cs="Arial"/>
          <w:sz w:val="22"/>
          <w:szCs w:val="22"/>
          <w:lang w:val="fr-FR"/>
        </w:rPr>
        <w:t>VAR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doivent être capables d’alimenter le marché avec des ENC de la </w:t>
      </w:r>
      <w:r w:rsidRPr="00A80025">
        <w:rPr>
          <w:rFonts w:ascii="Arial" w:hAnsi="Arial" w:cs="Arial"/>
          <w:sz w:val="22"/>
          <w:szCs w:val="22"/>
          <w:lang w:val="fr-FR"/>
        </w:rPr>
        <w:t>S-101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– </w:t>
      </w:r>
      <w:r>
        <w:rPr>
          <w:rFonts w:ascii="Arial" w:hAnsi="Arial" w:cs="Arial"/>
          <w:sz w:val="22"/>
          <w:szCs w:val="22"/>
          <w:lang w:val="fr-FR"/>
        </w:rPr>
        <w:t>y compris des aspects de cryptage, et être préparés à un dispositif de diffusion mixte à l’appui du modèle « hybride »</w:t>
      </w:r>
      <w:r w:rsidRPr="00A80025">
        <w:rPr>
          <w:rFonts w:ascii="Arial" w:hAnsi="Arial" w:cs="Arial"/>
          <w:sz w:val="22"/>
          <w:szCs w:val="22"/>
          <w:lang w:val="fr-FR"/>
        </w:rPr>
        <w:t>.</w:t>
      </w:r>
    </w:p>
    <w:p w:rsidR="001975F0" w:rsidRPr="00A80025" w:rsidRDefault="001975F0" w:rsidP="001975F0">
      <w:pPr>
        <w:ind w:left="1995"/>
        <w:jc w:val="both"/>
        <w:rPr>
          <w:rFonts w:ascii="Arial" w:hAnsi="Arial" w:cs="Arial"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Autres spécifications de produit</w:t>
      </w:r>
      <w:r w:rsidRPr="00A80025">
        <w:rPr>
          <w:rFonts w:ascii="Arial" w:hAnsi="Arial" w:cs="Arial"/>
          <w:i/>
        </w:rPr>
        <w:t xml:space="preserve"> S-1xx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Il est prévu que ces services supplémentaires seront proposés à l’échelle mondiale à diverses échéances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afin que la couverture soit discontinue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Il n’est pas prévu que ces services soient imposés par l’OMI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mais ils seront en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option </w:t>
      </w:r>
      <w:r>
        <w:rPr>
          <w:rFonts w:ascii="Arial" w:hAnsi="Arial" w:cs="Arial"/>
          <w:sz w:val="22"/>
          <w:szCs w:val="22"/>
          <w:lang w:val="fr-FR"/>
        </w:rPr>
        <w:t>pour les utilisateurs via les systèmes compatibles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 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Toutefois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ces jeux de données sont attendus par l’industrie du transport maritime pour des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applications </w:t>
      </w:r>
      <w:r>
        <w:rPr>
          <w:rFonts w:ascii="Arial" w:hAnsi="Arial" w:cs="Arial"/>
          <w:sz w:val="22"/>
          <w:szCs w:val="22"/>
          <w:lang w:val="fr-FR"/>
        </w:rPr>
        <w:t>précises dans les eaux nationales et dans des régions</w:t>
      </w:r>
      <w:r w:rsidRPr="00420A6B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spécifiques</w:t>
      </w:r>
      <w:r w:rsidRPr="00A80025">
        <w:rPr>
          <w:rFonts w:ascii="Arial" w:hAnsi="Arial" w:cs="Arial"/>
          <w:sz w:val="22"/>
          <w:szCs w:val="22"/>
          <w:lang w:val="fr-FR"/>
        </w:rPr>
        <w:t>.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fabricants d’équipements de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navigation </w:t>
      </w:r>
      <w:r>
        <w:rPr>
          <w:rFonts w:ascii="Arial" w:hAnsi="Arial" w:cs="Arial"/>
          <w:sz w:val="22"/>
          <w:szCs w:val="22"/>
          <w:lang w:val="fr-FR"/>
        </w:rPr>
        <w:t>se tiennent prêts à utiliser ces produits dès que ces bases de données seront diffusées de manière régulière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pour des zones de taille et d’importance substantielles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Il n’est pas nécessaire que l’industrie attende la mise en œuvre finale d’ECDIS compatibles avec les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S-101. </w:t>
      </w:r>
      <w:r>
        <w:rPr>
          <w:rFonts w:ascii="Arial" w:hAnsi="Arial" w:cs="Arial"/>
          <w:sz w:val="22"/>
          <w:szCs w:val="22"/>
          <w:lang w:val="fr-FR"/>
        </w:rPr>
        <w:t xml:space="preserve">D’autres produits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S-1xx </w:t>
      </w:r>
      <w:r>
        <w:rPr>
          <w:rFonts w:ascii="Arial" w:hAnsi="Arial" w:cs="Arial"/>
          <w:sz w:val="22"/>
          <w:szCs w:val="22"/>
          <w:lang w:val="fr-FR"/>
        </w:rPr>
        <w:t>peuvent être utilisés dans des systèmes existants dont les logiciels sont à jour par les clients souhaitant les utiliser</w:t>
      </w:r>
      <w:r w:rsidRPr="00A80025">
        <w:rPr>
          <w:rFonts w:ascii="Arial" w:hAnsi="Arial" w:cs="Arial"/>
          <w:sz w:val="22"/>
          <w:szCs w:val="22"/>
          <w:lang w:val="fr-FR"/>
        </w:rPr>
        <w:t>.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 xml:space="preserve">L’OHI,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via </w:t>
      </w:r>
      <w:r>
        <w:rPr>
          <w:rFonts w:ascii="Arial" w:hAnsi="Arial" w:cs="Arial"/>
          <w:sz w:val="22"/>
          <w:szCs w:val="22"/>
          <w:lang w:val="fr-FR"/>
        </w:rPr>
        <w:t>l’</w:t>
      </w:r>
      <w:r w:rsidRPr="00A80025">
        <w:rPr>
          <w:rFonts w:ascii="Arial" w:hAnsi="Arial" w:cs="Arial"/>
          <w:sz w:val="22"/>
          <w:szCs w:val="22"/>
          <w:lang w:val="fr-FR"/>
        </w:rPr>
        <w:t>IRCC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créera et tiendra à jour un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catalogue </w:t>
      </w:r>
      <w:r>
        <w:rPr>
          <w:rFonts w:ascii="Arial" w:hAnsi="Arial" w:cs="Arial"/>
          <w:sz w:val="22"/>
          <w:szCs w:val="22"/>
          <w:lang w:val="fr-FR"/>
        </w:rPr>
        <w:t>mondial des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services</w:t>
      </w:r>
      <w:r>
        <w:rPr>
          <w:rFonts w:ascii="Arial" w:hAnsi="Arial" w:cs="Arial"/>
          <w:sz w:val="22"/>
          <w:szCs w:val="22"/>
          <w:lang w:val="fr-FR"/>
        </w:rPr>
        <w:t xml:space="preserve"> disponibles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services </w:t>
      </w:r>
      <w:r>
        <w:rPr>
          <w:rFonts w:ascii="Arial" w:hAnsi="Arial" w:cs="Arial"/>
          <w:sz w:val="22"/>
          <w:szCs w:val="22"/>
          <w:lang w:val="fr-FR"/>
        </w:rPr>
        <w:t xml:space="preserve">prévus de manière régulière et encouragera l’industrie à initier la fourniture des services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via </w:t>
      </w:r>
      <w:r>
        <w:rPr>
          <w:rFonts w:ascii="Arial" w:hAnsi="Arial" w:cs="Arial"/>
          <w:sz w:val="22"/>
          <w:szCs w:val="22"/>
          <w:lang w:val="fr-FR"/>
        </w:rPr>
        <w:t>les RENC ou des arrangements individuels</w:t>
      </w:r>
      <w:r w:rsidRPr="00A80025">
        <w:rPr>
          <w:rFonts w:ascii="Arial" w:hAnsi="Arial" w:cs="Arial"/>
          <w:sz w:val="22"/>
          <w:szCs w:val="22"/>
          <w:lang w:val="fr-FR"/>
        </w:rPr>
        <w:t>. (SEC</w:t>
      </w:r>
      <w:r>
        <w:rPr>
          <w:rFonts w:ascii="Arial" w:hAnsi="Arial" w:cs="Arial"/>
          <w:sz w:val="22"/>
          <w:szCs w:val="22"/>
          <w:lang w:val="fr-FR"/>
        </w:rPr>
        <w:t xml:space="preserve"> OHI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)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Certains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services </w:t>
      </w:r>
      <w:r>
        <w:rPr>
          <w:rFonts w:ascii="Arial" w:hAnsi="Arial" w:cs="Arial"/>
          <w:sz w:val="22"/>
          <w:szCs w:val="22"/>
          <w:lang w:val="fr-FR"/>
        </w:rPr>
        <w:t>sont susceptibles d’intéresser seulement les consommateurs pour des régions où la couverture régionale a été établie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La c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oordination </w:t>
      </w:r>
      <w:r>
        <w:rPr>
          <w:rFonts w:ascii="Arial" w:hAnsi="Arial" w:cs="Arial"/>
          <w:sz w:val="22"/>
          <w:szCs w:val="22"/>
          <w:lang w:val="fr-FR"/>
        </w:rPr>
        <w:t>des approches régionales via les CHR concernées est souhaitée</w:t>
      </w:r>
      <w:r w:rsidRPr="00A80025">
        <w:rPr>
          <w:rFonts w:ascii="Arial" w:hAnsi="Arial" w:cs="Arial"/>
          <w:sz w:val="22"/>
          <w:szCs w:val="22"/>
          <w:lang w:val="fr-FR"/>
        </w:rPr>
        <w:t>. (IRCC)</w:t>
      </w:r>
    </w:p>
    <w:p w:rsidR="001975F0" w:rsidRPr="00A80025" w:rsidRDefault="001975F0" w:rsidP="001975F0">
      <w:pPr>
        <w:pStyle w:val="ListParagraph"/>
        <w:ind w:left="1068" w:hanging="1068"/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0025">
        <w:rPr>
          <w:rFonts w:ascii="Arial" w:hAnsi="Arial" w:cs="Arial"/>
          <w:b/>
          <w:sz w:val="22"/>
          <w:szCs w:val="22"/>
          <w:lang w:val="fr-FR"/>
        </w:rPr>
        <w:t>Synchronisation</w:t>
      </w:r>
      <w:r>
        <w:rPr>
          <w:rFonts w:ascii="Arial" w:hAnsi="Arial" w:cs="Arial"/>
          <w:b/>
          <w:sz w:val="22"/>
          <w:szCs w:val="22"/>
          <w:lang w:val="fr-FR"/>
        </w:rPr>
        <w:t xml:space="preserve"> avec l’OMI</w:t>
      </w:r>
    </w:p>
    <w:p w:rsidR="001975F0" w:rsidRPr="00A80025" w:rsidRDefault="001975F0" w:rsidP="001975F0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 w:rsidRPr="00A80025">
        <w:rPr>
          <w:rFonts w:ascii="Arial" w:hAnsi="Arial" w:cs="Arial"/>
          <w:i/>
        </w:rPr>
        <w:t xml:space="preserve">S-101 </w:t>
      </w:r>
      <w:r>
        <w:rPr>
          <w:rFonts w:ascii="Arial" w:hAnsi="Arial" w:cs="Arial"/>
          <w:i/>
        </w:rPr>
        <w:t xml:space="preserve">- </w:t>
      </w:r>
      <w:r w:rsidRPr="00A80025">
        <w:rPr>
          <w:rFonts w:ascii="Arial" w:hAnsi="Arial" w:cs="Arial"/>
          <w:i/>
        </w:rPr>
        <w:t>ENC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Ayant défini une date cible pour la fourniture régulière 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 xml:space="preserve">avec une couverture significative pour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2024, </w:t>
      </w:r>
      <w:r>
        <w:rPr>
          <w:rFonts w:ascii="Arial" w:hAnsi="Arial" w:cs="Arial"/>
          <w:sz w:val="22"/>
          <w:szCs w:val="22"/>
          <w:lang w:val="fr-FR"/>
        </w:rPr>
        <w:t xml:space="preserve">l’OHI peut à présent s’occuper des </w:t>
      </w:r>
      <w:r w:rsidRPr="00A80025">
        <w:rPr>
          <w:rFonts w:ascii="Arial" w:hAnsi="Arial" w:cs="Arial"/>
          <w:sz w:val="22"/>
          <w:szCs w:val="22"/>
          <w:lang w:val="fr-FR"/>
        </w:rPr>
        <w:t>instruments</w:t>
      </w:r>
      <w:r>
        <w:rPr>
          <w:rFonts w:ascii="Arial" w:hAnsi="Arial" w:cs="Arial"/>
          <w:sz w:val="22"/>
          <w:szCs w:val="22"/>
          <w:lang w:val="fr-FR"/>
        </w:rPr>
        <w:t xml:space="preserve"> de l’OMI </w:t>
      </w:r>
      <w:r w:rsidRPr="00A80025">
        <w:rPr>
          <w:rFonts w:ascii="Arial" w:hAnsi="Arial" w:cs="Arial"/>
          <w:sz w:val="22"/>
          <w:szCs w:val="22"/>
          <w:lang w:val="fr-FR"/>
        </w:rPr>
        <w:t>: (SEC</w:t>
      </w:r>
      <w:r>
        <w:rPr>
          <w:rFonts w:ascii="Arial" w:hAnsi="Arial" w:cs="Arial"/>
          <w:sz w:val="22"/>
          <w:szCs w:val="22"/>
          <w:lang w:val="fr-FR"/>
        </w:rPr>
        <w:t xml:space="preserve"> OHI</w:t>
      </w:r>
      <w:r w:rsidRPr="00A80025">
        <w:rPr>
          <w:rFonts w:ascii="Arial" w:hAnsi="Arial" w:cs="Arial"/>
          <w:sz w:val="22"/>
          <w:szCs w:val="22"/>
          <w:lang w:val="fr-FR"/>
        </w:rPr>
        <w:t>)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>Amend</w:t>
      </w:r>
      <w:r>
        <w:rPr>
          <w:rFonts w:ascii="Arial" w:hAnsi="Arial" w:cs="Arial"/>
          <w:sz w:val="22"/>
          <w:szCs w:val="22"/>
          <w:lang w:val="fr-FR"/>
        </w:rPr>
        <w:t xml:space="preserve">er les normes de fonctionnement de l’OMI pour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ECDIS </w:t>
      </w:r>
      <w:r>
        <w:rPr>
          <w:rFonts w:ascii="Arial" w:hAnsi="Arial" w:cs="Arial"/>
          <w:sz w:val="22"/>
          <w:szCs w:val="22"/>
          <w:lang w:val="fr-FR"/>
        </w:rPr>
        <w:t xml:space="preserve">afin d’ajouter une référence au fait que les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 xml:space="preserve">sont composées de manière équivalente aux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 </w:t>
      </w:r>
      <w:r>
        <w:rPr>
          <w:rFonts w:ascii="Arial" w:hAnsi="Arial" w:cs="Arial"/>
          <w:sz w:val="22"/>
          <w:szCs w:val="22"/>
          <w:lang w:val="fr-FR"/>
        </w:rPr>
        <w:t xml:space="preserve">et conformément aux règles de présentation de la </w:t>
      </w:r>
      <w:r w:rsidRPr="00A80025">
        <w:rPr>
          <w:rFonts w:ascii="Arial" w:hAnsi="Arial" w:cs="Arial"/>
          <w:sz w:val="22"/>
          <w:szCs w:val="22"/>
          <w:lang w:val="fr-FR"/>
        </w:rPr>
        <w:t>S-52 (</w:t>
      </w:r>
      <w:r>
        <w:rPr>
          <w:rFonts w:ascii="Arial" w:hAnsi="Arial" w:cs="Arial"/>
          <w:sz w:val="22"/>
          <w:szCs w:val="22"/>
          <w:lang w:val="fr-FR"/>
        </w:rPr>
        <w:t>amendement mineur</w:t>
      </w:r>
      <w:r w:rsidRPr="00A80025">
        <w:rPr>
          <w:rFonts w:ascii="Arial" w:hAnsi="Arial" w:cs="Arial"/>
          <w:sz w:val="22"/>
          <w:szCs w:val="22"/>
          <w:lang w:val="fr-FR"/>
        </w:rPr>
        <w:t>).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>Sugg</w:t>
      </w:r>
      <w:r>
        <w:rPr>
          <w:rFonts w:ascii="Arial" w:hAnsi="Arial" w:cs="Arial"/>
          <w:sz w:val="22"/>
          <w:szCs w:val="22"/>
          <w:lang w:val="fr-FR"/>
        </w:rPr>
        <w:t>érer à l’OMI de synchroniser cet amendement avec les normes de fonctionnement amendées de l’OMI pour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Pr="00A80025">
        <w:rPr>
          <w:rFonts w:ascii="Arial" w:hAnsi="Arial" w:cs="Arial"/>
          <w:sz w:val="22"/>
          <w:szCs w:val="22"/>
          <w:lang w:val="fr-FR"/>
        </w:rPr>
        <w:t>pr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sentation </w:t>
      </w:r>
      <w:r>
        <w:rPr>
          <w:rFonts w:ascii="Arial" w:hAnsi="Arial" w:cs="Arial"/>
          <w:sz w:val="22"/>
          <w:szCs w:val="22"/>
          <w:lang w:val="fr-FR"/>
        </w:rPr>
        <w:t xml:space="preserve">des renseignements de navigation sur les écrans de </w:t>
      </w:r>
      <w:r w:rsidRPr="00A80025">
        <w:rPr>
          <w:rFonts w:ascii="Arial" w:hAnsi="Arial" w:cs="Arial"/>
          <w:sz w:val="22"/>
          <w:szCs w:val="22"/>
          <w:lang w:val="fr-FR"/>
        </w:rPr>
        <w:t>navigation</w:t>
      </w:r>
      <w:r>
        <w:rPr>
          <w:rFonts w:ascii="Arial" w:hAnsi="Arial" w:cs="Arial"/>
          <w:sz w:val="22"/>
          <w:szCs w:val="22"/>
          <w:lang w:val="fr-FR"/>
        </w:rPr>
        <w:t xml:space="preserve"> de bord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qui entreront en vigueur le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 w:rsidRPr="00A80025">
        <w:rPr>
          <w:rFonts w:ascii="Arial" w:hAnsi="Arial" w:cs="Arial"/>
          <w:b/>
          <w:sz w:val="22"/>
          <w:szCs w:val="22"/>
          <w:lang w:val="fr-FR"/>
        </w:rPr>
        <w:t>1</w:t>
      </w:r>
      <w:r w:rsidRPr="00DA1DBF">
        <w:rPr>
          <w:rFonts w:ascii="Arial" w:hAnsi="Arial" w:cs="Arial"/>
          <w:b/>
          <w:sz w:val="22"/>
          <w:szCs w:val="22"/>
          <w:vertAlign w:val="superscript"/>
          <w:lang w:val="fr-FR"/>
        </w:rPr>
        <w:t>er</w:t>
      </w:r>
      <w:r>
        <w:rPr>
          <w:rFonts w:ascii="Arial" w:hAnsi="Arial" w:cs="Arial"/>
          <w:b/>
          <w:sz w:val="22"/>
          <w:szCs w:val="22"/>
          <w:lang w:val="fr-FR"/>
        </w:rPr>
        <w:t xml:space="preserve"> janvier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 2024 </w:t>
      </w:r>
      <w:r>
        <w:rPr>
          <w:rFonts w:ascii="Arial" w:hAnsi="Arial" w:cs="Arial"/>
          <w:b/>
          <w:sz w:val="22"/>
          <w:szCs w:val="22"/>
          <w:lang w:val="fr-FR"/>
        </w:rPr>
        <w:t>pour les nouveaux équipements</w:t>
      </w:r>
      <w:r w:rsidRPr="00A80025">
        <w:rPr>
          <w:rFonts w:ascii="Arial" w:hAnsi="Arial" w:cs="Arial"/>
          <w:b/>
          <w:sz w:val="22"/>
          <w:szCs w:val="22"/>
          <w:lang w:val="fr-FR"/>
        </w:rPr>
        <w:t>.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>Assure</w:t>
      </w:r>
      <w:r>
        <w:rPr>
          <w:rFonts w:ascii="Arial" w:hAnsi="Arial" w:cs="Arial"/>
          <w:sz w:val="22"/>
          <w:szCs w:val="22"/>
          <w:lang w:val="fr-FR"/>
        </w:rPr>
        <w:t xml:space="preserve">r à l’OMI que la fourniture simultanée 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 </w:t>
      </w:r>
      <w:r>
        <w:rPr>
          <w:rFonts w:ascii="Arial" w:hAnsi="Arial" w:cs="Arial"/>
          <w:sz w:val="22"/>
          <w:szCs w:val="22"/>
          <w:lang w:val="fr-FR"/>
        </w:rPr>
        <w:t>et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S-101 </w:t>
      </w:r>
      <w:r>
        <w:rPr>
          <w:rFonts w:ascii="Arial" w:hAnsi="Arial" w:cs="Arial"/>
          <w:sz w:val="22"/>
          <w:szCs w:val="22"/>
          <w:lang w:val="fr-FR"/>
        </w:rPr>
        <w:t>sera maintenue tout a long de la période de transition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Informer l’OMI du fait que les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 </w:t>
      </w:r>
      <w:r>
        <w:rPr>
          <w:rFonts w:ascii="Arial" w:hAnsi="Arial" w:cs="Arial"/>
          <w:sz w:val="22"/>
          <w:szCs w:val="22"/>
          <w:lang w:val="fr-FR"/>
        </w:rPr>
        <w:t>et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S-101 </w:t>
      </w:r>
      <w:r>
        <w:rPr>
          <w:rFonts w:ascii="Arial" w:hAnsi="Arial" w:cs="Arial"/>
          <w:sz w:val="22"/>
          <w:szCs w:val="22"/>
          <w:lang w:val="fr-FR"/>
        </w:rPr>
        <w:t>répondent toutes aux exigences en matière d’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ENC </w:t>
      </w:r>
      <w:r>
        <w:rPr>
          <w:rFonts w:ascii="Arial" w:hAnsi="Arial" w:cs="Arial"/>
          <w:sz w:val="22"/>
          <w:szCs w:val="22"/>
          <w:lang w:val="fr-FR"/>
        </w:rPr>
        <w:t>telles que définies dans les recommandations de l’OMI pour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ECDIS </w:t>
      </w:r>
      <w:r>
        <w:rPr>
          <w:rFonts w:ascii="Arial" w:hAnsi="Arial" w:cs="Arial"/>
          <w:sz w:val="22"/>
          <w:szCs w:val="22"/>
          <w:lang w:val="fr-FR"/>
        </w:rPr>
        <w:t>et qu’elles peuvent chacune être utilisées pendant la période de transition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Informer l’OMI que les ENC de la </w:t>
      </w:r>
      <w:r w:rsidRPr="00A80025">
        <w:rPr>
          <w:rFonts w:ascii="Arial" w:hAnsi="Arial" w:cs="Arial"/>
          <w:sz w:val="22"/>
          <w:szCs w:val="22"/>
          <w:lang w:val="fr-FR"/>
        </w:rPr>
        <w:t>S-101 (</w:t>
      </w:r>
      <w:r>
        <w:rPr>
          <w:rFonts w:ascii="Arial" w:hAnsi="Arial" w:cs="Arial"/>
          <w:sz w:val="22"/>
          <w:szCs w:val="22"/>
          <w:lang w:val="fr-FR"/>
        </w:rPr>
        <w:t xml:space="preserve">contrairement aux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S-57) </w:t>
      </w:r>
      <w:r>
        <w:rPr>
          <w:rFonts w:ascii="Arial" w:hAnsi="Arial" w:cs="Arial"/>
          <w:sz w:val="22"/>
          <w:szCs w:val="22"/>
          <w:lang w:val="fr-FR"/>
        </w:rPr>
        <w:t>sont cyber-sécurisées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améliorent la clarté de l’affichage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et ouvrent la porte à la mise en œuvre du concept du service de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e-navigation (</w:t>
      </w: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S-100 </w:t>
      </w:r>
      <w:r>
        <w:rPr>
          <w:rFonts w:ascii="Arial" w:hAnsi="Arial" w:cs="Arial"/>
          <w:sz w:val="22"/>
          <w:szCs w:val="22"/>
          <w:lang w:val="fr-FR"/>
        </w:rPr>
        <w:t xml:space="preserve">est le modèle de données adopté pour la </w:t>
      </w:r>
      <w:r w:rsidRPr="00A80025">
        <w:rPr>
          <w:rFonts w:ascii="Arial" w:hAnsi="Arial" w:cs="Arial"/>
          <w:sz w:val="22"/>
          <w:szCs w:val="22"/>
          <w:lang w:val="fr-FR"/>
        </w:rPr>
        <w:t>e-navigation).</w:t>
      </w:r>
    </w:p>
    <w:p w:rsidR="001975F0" w:rsidRPr="00A80025" w:rsidRDefault="001975F0" w:rsidP="001975F0">
      <w:pPr>
        <w:ind w:hanging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Autres spécifications de produit</w:t>
      </w:r>
      <w:r w:rsidRPr="00A80025">
        <w:rPr>
          <w:rFonts w:ascii="Arial" w:hAnsi="Arial" w:cs="Arial"/>
          <w:i/>
        </w:rPr>
        <w:t xml:space="preserve"> S-1xx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Jusqu’ici, aucune synchronisation avec l’OMI n’est nécessaire étant donné que le contenu de ces jeux de données n’est pas obligatoire et peut être lu par des dispositifs de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navigation </w:t>
      </w:r>
      <w:r>
        <w:rPr>
          <w:rFonts w:ascii="Arial" w:hAnsi="Arial" w:cs="Arial"/>
          <w:sz w:val="22"/>
          <w:szCs w:val="22"/>
          <w:lang w:val="fr-FR"/>
        </w:rPr>
        <w:t>obligatoires tant qu’il ne perturbe pas ses fonctionnalités de base</w:t>
      </w:r>
      <w:r w:rsidRPr="00A80025">
        <w:rPr>
          <w:rFonts w:ascii="Arial" w:hAnsi="Arial" w:cs="Arial"/>
          <w:sz w:val="22"/>
          <w:szCs w:val="22"/>
          <w:lang w:val="fr-FR"/>
        </w:rPr>
        <w:t>.</w:t>
      </w:r>
    </w:p>
    <w:p w:rsidR="001975F0" w:rsidRPr="00A80025" w:rsidRDefault="001975F0" w:rsidP="001975F0">
      <w:pPr>
        <w:rPr>
          <w:rFonts w:ascii="Arial" w:hAnsi="Arial" w:cs="Arial"/>
        </w:rPr>
      </w:pP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Collaboration </w:t>
      </w:r>
      <w:r>
        <w:rPr>
          <w:rFonts w:ascii="Arial" w:hAnsi="Arial" w:cs="Arial"/>
          <w:b/>
          <w:sz w:val="22"/>
          <w:szCs w:val="22"/>
          <w:lang w:val="fr-FR"/>
        </w:rPr>
        <w:t>avec l’industrie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 (SEC</w:t>
      </w:r>
      <w:r>
        <w:rPr>
          <w:rFonts w:ascii="Arial" w:hAnsi="Arial" w:cs="Arial"/>
          <w:b/>
          <w:sz w:val="22"/>
          <w:szCs w:val="22"/>
          <w:lang w:val="fr-FR"/>
        </w:rPr>
        <w:t xml:space="preserve"> OHI</w:t>
      </w:r>
      <w:r w:rsidRPr="00A80025">
        <w:rPr>
          <w:rFonts w:ascii="Arial" w:hAnsi="Arial" w:cs="Arial"/>
          <w:b/>
          <w:sz w:val="22"/>
          <w:szCs w:val="22"/>
          <w:lang w:val="fr-FR"/>
        </w:rPr>
        <w:t>)</w:t>
      </w:r>
    </w:p>
    <w:p w:rsidR="001975F0" w:rsidRDefault="001975F0" w:rsidP="001975F0">
      <w:pPr>
        <w:spacing w:after="120" w:line="240" w:lineRule="auto"/>
        <w:ind w:firstLine="567"/>
        <w:jc w:val="both"/>
        <w:rPr>
          <w:rFonts w:ascii="Arial" w:hAnsi="Arial" w:cs="Arial"/>
          <w:i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 w:rsidRPr="00A80025">
        <w:rPr>
          <w:rFonts w:ascii="Arial" w:hAnsi="Arial" w:cs="Arial"/>
          <w:i/>
        </w:rPr>
        <w:t>S-101</w:t>
      </w:r>
      <w:r>
        <w:rPr>
          <w:rFonts w:ascii="Arial" w:hAnsi="Arial" w:cs="Arial"/>
          <w:i/>
        </w:rPr>
        <w:t xml:space="preserve"> -</w:t>
      </w:r>
      <w:r w:rsidRPr="00A80025">
        <w:rPr>
          <w:rFonts w:ascii="Arial" w:hAnsi="Arial" w:cs="Arial"/>
          <w:i/>
        </w:rPr>
        <w:t xml:space="preserve"> ENC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L’industrie des logiciels de cartographie marine a confirmé que les systèmes de production et outils de validation 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 xml:space="preserve">seront prêts </w:t>
      </w:r>
      <w:r>
        <w:rPr>
          <w:rFonts w:ascii="Arial" w:hAnsi="Arial" w:cs="Arial"/>
          <w:b/>
          <w:sz w:val="22"/>
          <w:szCs w:val="22"/>
          <w:lang w:val="fr-FR"/>
        </w:rPr>
        <w:t>d’ici fin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 2022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 qu’une formation peut être proposée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L’industrie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ECDIS </w:t>
      </w:r>
      <w:r>
        <w:rPr>
          <w:rFonts w:ascii="Arial" w:hAnsi="Arial" w:cs="Arial"/>
          <w:sz w:val="22"/>
          <w:szCs w:val="22"/>
          <w:lang w:val="fr-FR"/>
        </w:rPr>
        <w:t xml:space="preserve">doit être tenue informée de la date de lancement du service de fourniture d’ENC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b/>
          <w:sz w:val="22"/>
          <w:szCs w:val="22"/>
          <w:lang w:val="fr-FR"/>
        </w:rPr>
        <w:t>e</w:t>
      </w:r>
      <w:r w:rsidRPr="00A80025">
        <w:rPr>
          <w:rFonts w:ascii="Arial" w:hAnsi="Arial" w:cs="Arial"/>
          <w:b/>
          <w:sz w:val="22"/>
          <w:szCs w:val="22"/>
          <w:lang w:val="fr-FR"/>
        </w:rPr>
        <w:t>n 2024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afin que les produits soient prêts à lire les ENC de la </w:t>
      </w:r>
      <w:r w:rsidRPr="00A80025">
        <w:rPr>
          <w:rFonts w:ascii="Arial" w:hAnsi="Arial" w:cs="Arial"/>
          <w:sz w:val="22"/>
          <w:szCs w:val="22"/>
          <w:lang w:val="fr-FR"/>
        </w:rPr>
        <w:t>S-101 (</w:t>
      </w:r>
      <w:r>
        <w:rPr>
          <w:rFonts w:ascii="Arial" w:hAnsi="Arial" w:cs="Arial"/>
          <w:sz w:val="22"/>
          <w:szCs w:val="22"/>
          <w:lang w:val="fr-FR"/>
        </w:rPr>
        <w:t>incluant le cryptage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) </w:t>
      </w:r>
      <w:r>
        <w:rPr>
          <w:rFonts w:ascii="Arial" w:hAnsi="Arial" w:cs="Arial"/>
          <w:sz w:val="22"/>
          <w:szCs w:val="22"/>
          <w:lang w:val="fr-FR"/>
        </w:rPr>
        <w:t>et qu’ils maintiennent un fonctionnement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constant </w:t>
      </w:r>
      <w:r w:rsidRPr="00A80025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affichage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alarmes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mises à jour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etc.) </w:t>
      </w:r>
      <w:r>
        <w:rPr>
          <w:rFonts w:ascii="Arial" w:hAnsi="Arial" w:cs="Arial"/>
          <w:sz w:val="22"/>
          <w:szCs w:val="22"/>
          <w:lang w:val="fr-FR"/>
        </w:rPr>
        <w:t>dans les nouveaux équipements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ECDIS </w:t>
      </w:r>
      <w:r>
        <w:rPr>
          <w:rFonts w:ascii="Arial" w:hAnsi="Arial" w:cs="Arial"/>
          <w:sz w:val="22"/>
          <w:szCs w:val="22"/>
          <w:lang w:val="fr-FR"/>
        </w:rPr>
        <w:t xml:space="preserve">à compter du </w:t>
      </w:r>
      <w:r w:rsidRPr="00A80025">
        <w:rPr>
          <w:rFonts w:ascii="Arial" w:hAnsi="Arial" w:cs="Arial"/>
          <w:sz w:val="22"/>
          <w:szCs w:val="22"/>
          <w:lang w:val="fr-FR"/>
        </w:rPr>
        <w:t>1</w:t>
      </w:r>
      <w:r w:rsidRPr="009F6179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>
        <w:rPr>
          <w:rFonts w:ascii="Arial" w:hAnsi="Arial" w:cs="Arial"/>
          <w:sz w:val="22"/>
          <w:szCs w:val="22"/>
          <w:lang w:val="fr-FR"/>
        </w:rPr>
        <w:t xml:space="preserve"> janvier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2024.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L’industrie devrait comprendre que le calendrier est délibérément prévu afin de coïncider avec 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application </w:t>
      </w:r>
      <w:r>
        <w:rPr>
          <w:rFonts w:ascii="Arial" w:hAnsi="Arial" w:cs="Arial"/>
          <w:sz w:val="22"/>
          <w:szCs w:val="22"/>
          <w:lang w:val="fr-FR"/>
        </w:rPr>
        <w:t>de la spécification de produit de l’OMI sur les écrans de navigation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IEC </w:t>
      </w:r>
      <w:r>
        <w:rPr>
          <w:rFonts w:ascii="Arial" w:hAnsi="Arial" w:cs="Arial"/>
          <w:sz w:val="22"/>
          <w:szCs w:val="22"/>
          <w:lang w:val="fr-FR"/>
        </w:rPr>
        <w:t>doit être contactée afin d’adapter 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IEC61174 </w:t>
      </w:r>
      <w:r>
        <w:rPr>
          <w:rFonts w:ascii="Arial" w:hAnsi="Arial" w:cs="Arial"/>
          <w:sz w:val="22"/>
          <w:szCs w:val="22"/>
          <w:lang w:val="fr-FR"/>
        </w:rPr>
        <w:t xml:space="preserve">aux jeux de données basés sur les ENC de la </w:t>
      </w:r>
      <w:r w:rsidRPr="00A80025">
        <w:rPr>
          <w:rFonts w:ascii="Arial" w:hAnsi="Arial" w:cs="Arial"/>
          <w:sz w:val="22"/>
          <w:szCs w:val="22"/>
          <w:lang w:val="fr-FR"/>
        </w:rPr>
        <w:t>S-101.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organismes d’homologation doivent être informés en conséquence en vue d’adapter leurs vérifications et de respecter la date cible fixée à fin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2023 </w:t>
      </w:r>
      <w:r>
        <w:rPr>
          <w:rFonts w:ascii="Arial" w:hAnsi="Arial" w:cs="Arial"/>
          <w:sz w:val="22"/>
          <w:szCs w:val="22"/>
          <w:lang w:val="fr-FR"/>
        </w:rPr>
        <w:t>pour les ré-homologations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sz w:val="22"/>
          <w:szCs w:val="22"/>
          <w:lang w:val="fr-FR"/>
        </w:rPr>
        <w:t>il convient de noter qu’ils devront de toute manière réaliser ces travaux suite aux amendements à la spécification de produit de l’OMI sur les écrans de navigation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ind w:left="720" w:hanging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Autres spécifications de produit</w:t>
      </w:r>
      <w:r w:rsidRPr="00A80025">
        <w:rPr>
          <w:rFonts w:ascii="Arial" w:hAnsi="Arial" w:cs="Arial"/>
          <w:i/>
        </w:rPr>
        <w:t xml:space="preserve"> S-1xx</w:t>
      </w:r>
      <w:r>
        <w:rPr>
          <w:rFonts w:ascii="Arial" w:hAnsi="Arial" w:cs="Arial"/>
          <w:i/>
        </w:rPr>
        <w:t> </w:t>
      </w:r>
      <w:r w:rsidRPr="00A80025">
        <w:rPr>
          <w:rFonts w:ascii="Arial" w:hAnsi="Arial" w:cs="Arial"/>
          <w:i/>
        </w:rPr>
        <w:t>: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L’industrie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ECDIS </w:t>
      </w:r>
      <w:r>
        <w:rPr>
          <w:rFonts w:ascii="Arial" w:hAnsi="Arial" w:cs="Arial"/>
          <w:sz w:val="22"/>
          <w:szCs w:val="22"/>
          <w:lang w:val="fr-FR"/>
        </w:rPr>
        <w:t>et autres SIG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doit être informée du fait que la fourniture de ces jeux de données commencera en fonction des engagements individuels des EM ou des régions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L’OHI jouera un rôle de coordination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via les CHR, en encourageant les EM à mettre en place ces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services </w:t>
      </w:r>
      <w:r>
        <w:rPr>
          <w:rFonts w:ascii="Arial" w:hAnsi="Arial" w:cs="Arial"/>
          <w:sz w:val="22"/>
          <w:szCs w:val="22"/>
          <w:lang w:val="fr-FR"/>
        </w:rPr>
        <w:t xml:space="preserve">d’une part et à informer les industries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ECDIS </w:t>
      </w:r>
      <w:r>
        <w:rPr>
          <w:rFonts w:ascii="Arial" w:hAnsi="Arial" w:cs="Arial"/>
          <w:sz w:val="22"/>
          <w:szCs w:val="22"/>
          <w:lang w:val="fr-FR"/>
        </w:rPr>
        <w:t>et autres SIG des progrès d’autre part</w:t>
      </w:r>
      <w:r w:rsidRPr="00A80025">
        <w:rPr>
          <w:rFonts w:ascii="Arial" w:hAnsi="Arial" w:cs="Arial"/>
          <w:sz w:val="22"/>
          <w:szCs w:val="22"/>
          <w:lang w:val="fr-FR"/>
        </w:rPr>
        <w:t>. (IRCC)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Cette fourniture sera inégale et le restera mais n’est pas liée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à l’introduction finale des ECDIS conformes à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S-100 </w:t>
      </w:r>
      <w:r>
        <w:rPr>
          <w:rFonts w:ascii="Arial" w:hAnsi="Arial" w:cs="Arial"/>
          <w:sz w:val="22"/>
          <w:szCs w:val="22"/>
          <w:lang w:val="fr-FR"/>
        </w:rPr>
        <w:t xml:space="preserve">ni à d’autres équipements répondant aux règles de prescription d’emport tels que Radar ou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INS. </w:t>
      </w:r>
    </w:p>
    <w:p w:rsidR="001975F0" w:rsidRPr="00A80025" w:rsidRDefault="001975F0" w:rsidP="001975F0">
      <w:pPr>
        <w:ind w:left="720" w:hanging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Renforcement des capacités des services hydrographiques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CBSC </w:t>
      </w:r>
      <w:r>
        <w:rPr>
          <w:rFonts w:ascii="Arial" w:hAnsi="Arial" w:cs="Arial"/>
          <w:sz w:val="22"/>
          <w:szCs w:val="22"/>
          <w:lang w:val="fr-FR"/>
        </w:rPr>
        <w:t>de 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IRCC </w:t>
      </w:r>
      <w:r>
        <w:rPr>
          <w:rFonts w:ascii="Arial" w:hAnsi="Arial" w:cs="Arial"/>
          <w:sz w:val="22"/>
          <w:szCs w:val="22"/>
          <w:lang w:val="fr-FR"/>
        </w:rPr>
        <w:t xml:space="preserve">devrait développer et mettre en œuvre une initiative visant à évaluer les besoins et à aider les services hydrographiques dans la transition de la production d’ENC vers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S-101.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CBSC </w:t>
      </w:r>
      <w:r>
        <w:rPr>
          <w:rFonts w:ascii="Arial" w:hAnsi="Arial" w:cs="Arial"/>
          <w:sz w:val="22"/>
          <w:szCs w:val="22"/>
          <w:lang w:val="fr-FR"/>
        </w:rPr>
        <w:t>devrait également envisager de mener des activités promouvant les avantages retirés par les nations productrices</w:t>
      </w:r>
      <w:r w:rsidRPr="00A80025">
        <w:rPr>
          <w:rFonts w:ascii="Arial" w:hAnsi="Arial" w:cs="Arial"/>
          <w:sz w:val="22"/>
          <w:szCs w:val="22"/>
          <w:lang w:val="fr-FR"/>
        </w:rPr>
        <w:t>.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IBSC </w:t>
      </w:r>
      <w:r>
        <w:rPr>
          <w:rFonts w:ascii="Arial" w:hAnsi="Arial" w:cs="Arial"/>
          <w:sz w:val="22"/>
          <w:szCs w:val="22"/>
          <w:lang w:val="fr-FR"/>
        </w:rPr>
        <w:t>devrait envisager l’introduction de ces nouveaux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services </w:t>
      </w:r>
      <w:r>
        <w:rPr>
          <w:rFonts w:ascii="Arial" w:hAnsi="Arial" w:cs="Arial"/>
          <w:sz w:val="22"/>
          <w:szCs w:val="22"/>
          <w:lang w:val="fr-FR"/>
        </w:rPr>
        <w:t>dans le cadre du cycle d’examen des normes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S-5A/B </w:t>
      </w:r>
      <w:r>
        <w:rPr>
          <w:rFonts w:ascii="Arial" w:hAnsi="Arial" w:cs="Arial"/>
          <w:sz w:val="22"/>
          <w:szCs w:val="22"/>
          <w:lang w:val="fr-FR"/>
        </w:rPr>
        <w:t>et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S-8A/B. 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Alors que de nouveaux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services </w:t>
      </w:r>
      <w:r>
        <w:rPr>
          <w:rFonts w:ascii="Arial" w:hAnsi="Arial" w:cs="Arial"/>
          <w:sz w:val="22"/>
          <w:szCs w:val="22"/>
          <w:lang w:val="fr-FR"/>
        </w:rPr>
        <w:t>évoluent dans le cadre des services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S-1xx (</w:t>
      </w:r>
      <w:r>
        <w:rPr>
          <w:rFonts w:ascii="Arial" w:hAnsi="Arial" w:cs="Arial"/>
          <w:sz w:val="22"/>
          <w:szCs w:val="22"/>
          <w:lang w:val="fr-FR"/>
        </w:rPr>
        <w:t>autres que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S-101), </w:t>
      </w:r>
      <w:r>
        <w:rPr>
          <w:rFonts w:ascii="Arial" w:hAnsi="Arial" w:cs="Arial"/>
          <w:sz w:val="22"/>
          <w:szCs w:val="22"/>
          <w:lang w:val="fr-FR"/>
        </w:rPr>
        <w:t>et que des systèmes de production et de contrôle qualité pertinents sont développés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les nations productrices disposant de la technologie et de 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expertise </w:t>
      </w:r>
      <w:r>
        <w:rPr>
          <w:rFonts w:ascii="Arial" w:hAnsi="Arial" w:cs="Arial"/>
          <w:sz w:val="22"/>
          <w:szCs w:val="22"/>
          <w:lang w:val="fr-FR"/>
        </w:rPr>
        <w:t>sont encouragées à les partager dans le cadre de la stratégie de renforcement des capacités de l’OHI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des CHR concernées ou de manière bilatérale, afin de soutenir la croissance de ces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services. </w:t>
      </w:r>
    </w:p>
    <w:p w:rsidR="001975F0" w:rsidRPr="00A80025" w:rsidRDefault="001975F0" w:rsidP="001975F0">
      <w:pPr>
        <w:ind w:left="1068"/>
        <w:jc w:val="both"/>
        <w:rPr>
          <w:rFonts w:ascii="Arial" w:hAnsi="Arial" w:cs="Arial"/>
        </w:rPr>
      </w:pPr>
    </w:p>
    <w:p w:rsidR="001975F0" w:rsidRPr="00A80025" w:rsidRDefault="001975F0" w:rsidP="001975F0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0025">
        <w:rPr>
          <w:rFonts w:ascii="Arial" w:hAnsi="Arial" w:cs="Arial"/>
          <w:sz w:val="22"/>
          <w:szCs w:val="22"/>
          <w:lang w:val="fr-FR"/>
        </w:rPr>
        <w:t xml:space="preserve"> </w:t>
      </w:r>
      <w:r w:rsidRPr="00A80025">
        <w:rPr>
          <w:rFonts w:ascii="Arial" w:hAnsi="Arial" w:cs="Arial"/>
          <w:b/>
          <w:sz w:val="22"/>
          <w:szCs w:val="22"/>
          <w:lang w:val="fr-FR"/>
        </w:rPr>
        <w:t xml:space="preserve">Développement </w:t>
      </w:r>
      <w:r>
        <w:rPr>
          <w:rFonts w:ascii="Arial" w:hAnsi="Arial" w:cs="Arial"/>
          <w:b/>
          <w:sz w:val="22"/>
          <w:szCs w:val="22"/>
          <w:lang w:val="fr-FR"/>
        </w:rPr>
        <w:t>de la capacité de diffusion mondiale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groupe de travail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WEND </w:t>
      </w:r>
      <w:r>
        <w:rPr>
          <w:rFonts w:ascii="Arial" w:hAnsi="Arial" w:cs="Arial"/>
          <w:sz w:val="22"/>
          <w:szCs w:val="22"/>
          <w:lang w:val="fr-FR"/>
        </w:rPr>
        <w:t>de 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IRCC </w:t>
      </w:r>
      <w:r>
        <w:rPr>
          <w:rFonts w:ascii="Arial" w:hAnsi="Arial" w:cs="Arial"/>
          <w:sz w:val="22"/>
          <w:szCs w:val="22"/>
          <w:lang w:val="fr-FR"/>
        </w:rPr>
        <w:t xml:space="preserve">a initié le développement de principes directeurs pour la fourniture coordonnée des services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S-1xx </w:t>
      </w:r>
      <w:r>
        <w:rPr>
          <w:rFonts w:ascii="Arial" w:hAnsi="Arial" w:cs="Arial"/>
          <w:sz w:val="22"/>
          <w:szCs w:val="22"/>
          <w:lang w:val="fr-FR"/>
        </w:rPr>
        <w:t>dans le monde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Ces principes devraient être adoptés par 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A2.  </w:t>
      </w:r>
    </w:p>
    <w:p w:rsidR="001975F0" w:rsidRPr="00A80025" w:rsidRDefault="001975F0" w:rsidP="001975F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application </w:t>
      </w:r>
      <w:r>
        <w:rPr>
          <w:rFonts w:ascii="Arial" w:hAnsi="Arial" w:cs="Arial"/>
          <w:sz w:val="22"/>
          <w:szCs w:val="22"/>
          <w:lang w:val="fr-FR"/>
        </w:rPr>
        <w:t>de ces principes anticipe une nouvelle génération de réseaux mondiaux de fourniture de services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comparable aux dispositions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RENC </w:t>
      </w:r>
      <w:r>
        <w:rPr>
          <w:rFonts w:ascii="Arial" w:hAnsi="Arial" w:cs="Arial"/>
          <w:sz w:val="22"/>
          <w:szCs w:val="22"/>
          <w:lang w:val="fr-FR"/>
        </w:rPr>
        <w:t>actuelles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qui permettront une disponibilité mondiale pratique des services officiels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>Ces réseaux nécessiteront de tenir compte 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Des différentes durées de vie de ces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services, </w:t>
      </w:r>
      <w:r>
        <w:rPr>
          <w:rFonts w:ascii="Arial" w:hAnsi="Arial" w:cs="Arial"/>
          <w:sz w:val="22"/>
          <w:szCs w:val="22"/>
          <w:lang w:val="fr-FR"/>
        </w:rPr>
        <w:t>et de la nécessité d’une très faible latence pour les services dynamiques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numPr>
          <w:ilvl w:val="1"/>
          <w:numId w:val="3"/>
        </w:numPr>
        <w:ind w:hanging="57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De la nécessité de gérer la disponibilité simultanée des ENC de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S-101 </w:t>
      </w:r>
      <w:r>
        <w:rPr>
          <w:rFonts w:ascii="Arial" w:hAnsi="Arial" w:cs="Arial"/>
          <w:sz w:val="22"/>
          <w:szCs w:val="22"/>
          <w:lang w:val="fr-FR"/>
        </w:rPr>
        <w:t>et de la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 S-57, </w:t>
      </w:r>
      <w:r>
        <w:rPr>
          <w:rFonts w:ascii="Arial" w:hAnsi="Arial" w:cs="Arial"/>
          <w:sz w:val="22"/>
          <w:szCs w:val="22"/>
          <w:lang w:val="fr-FR"/>
        </w:rPr>
        <w:t xml:space="preserve">conjointement avec d’autres services de données interopérables conformes à la 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S-100 </w:t>
      </w:r>
      <w:r>
        <w:rPr>
          <w:rFonts w:ascii="Arial" w:hAnsi="Arial" w:cs="Arial"/>
          <w:sz w:val="22"/>
          <w:szCs w:val="22"/>
          <w:lang w:val="fr-FR"/>
        </w:rPr>
        <w:t>appartenant au domaine hydrographique ou à d’autres domaines</w:t>
      </w:r>
      <w:r w:rsidRPr="00A8002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975F0" w:rsidRPr="00A80025" w:rsidRDefault="001975F0" w:rsidP="001975F0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fr-FR"/>
        </w:rPr>
      </w:pPr>
    </w:p>
    <w:p w:rsidR="001975F0" w:rsidRPr="00A80025" w:rsidRDefault="001975F0" w:rsidP="001975F0">
      <w:pPr>
        <w:rPr>
          <w:rFonts w:eastAsiaTheme="majorEastAsia"/>
          <w:color w:val="000000" w:themeColor="text1"/>
        </w:rPr>
      </w:pPr>
    </w:p>
    <w:p w:rsidR="001E290C" w:rsidRPr="001975F0" w:rsidRDefault="001E290C" w:rsidP="001975F0">
      <w:pPr>
        <w:jc w:val="center"/>
      </w:pPr>
    </w:p>
    <w:sectPr w:rsidR="001E290C" w:rsidRPr="001975F0" w:rsidSect="0030485A">
      <w:footerReference w:type="default" r:id="rId7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4A" w:rsidRDefault="00260D4A">
      <w:pPr>
        <w:spacing w:after="0" w:line="240" w:lineRule="auto"/>
      </w:pPr>
      <w:r>
        <w:separator/>
      </w:r>
    </w:p>
  </w:endnote>
  <w:endnote w:type="continuationSeparator" w:id="0">
    <w:p w:rsidR="00260D4A" w:rsidRDefault="002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HP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06" w:rsidRDefault="00260D4A">
    <w:pPr>
      <w:pStyle w:val="Footer"/>
      <w:jc w:val="center"/>
    </w:pPr>
  </w:p>
  <w:p w:rsidR="005D0706" w:rsidRDefault="00260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4A" w:rsidRDefault="00260D4A">
      <w:pPr>
        <w:spacing w:after="0" w:line="240" w:lineRule="auto"/>
      </w:pPr>
      <w:r>
        <w:separator/>
      </w:r>
    </w:p>
  </w:footnote>
  <w:footnote w:type="continuationSeparator" w:id="0">
    <w:p w:rsidR="00260D4A" w:rsidRDefault="0026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5"/>
    <w:multiLevelType w:val="hybridMultilevel"/>
    <w:tmpl w:val="626C65B2"/>
    <w:lvl w:ilvl="0" w:tplc="0D34BE4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931BB5"/>
    <w:multiLevelType w:val="hybridMultilevel"/>
    <w:tmpl w:val="95CE68EE"/>
    <w:lvl w:ilvl="0" w:tplc="E3DABAD2">
      <w:start w:val="1"/>
      <w:numFmt w:val="decimal"/>
      <w:lvlText w:val="%1."/>
      <w:lvlJc w:val="left"/>
      <w:pPr>
        <w:ind w:left="3901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27BA4E52"/>
    <w:multiLevelType w:val="hybridMultilevel"/>
    <w:tmpl w:val="750CB054"/>
    <w:lvl w:ilvl="0" w:tplc="07C2206E">
      <w:start w:val="2020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8F74C60"/>
    <w:multiLevelType w:val="hybridMultilevel"/>
    <w:tmpl w:val="120A638A"/>
    <w:lvl w:ilvl="0" w:tplc="DE94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90BCD"/>
    <w:multiLevelType w:val="hybridMultilevel"/>
    <w:tmpl w:val="7E2615D2"/>
    <w:lvl w:ilvl="0" w:tplc="07C2206E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5DF257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DC4998"/>
    <w:multiLevelType w:val="hybridMultilevel"/>
    <w:tmpl w:val="95CE68EE"/>
    <w:lvl w:ilvl="0" w:tplc="E3DABA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D"/>
    <w:rsid w:val="001975F0"/>
    <w:rsid w:val="001D55CD"/>
    <w:rsid w:val="001E290C"/>
    <w:rsid w:val="00260D4A"/>
    <w:rsid w:val="006E68E7"/>
    <w:rsid w:val="00792674"/>
    <w:rsid w:val="00A73786"/>
    <w:rsid w:val="00D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B4DEA-1FEA-448B-B96E-B2D0A13D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CD"/>
    <w:pPr>
      <w:spacing w:after="200" w:line="276" w:lineRule="auto"/>
    </w:pPr>
    <w:rPr>
      <w:rFonts w:eastAsia="MS Minch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5F0"/>
    <w:pPr>
      <w:keepNext/>
      <w:spacing w:after="12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1D55CD"/>
    <w:pPr>
      <w:keepNext/>
      <w:autoSpaceDE w:val="0"/>
      <w:autoSpaceDN w:val="0"/>
      <w:adjustRightInd w:val="0"/>
      <w:spacing w:after="120" w:line="240" w:lineRule="auto"/>
      <w:ind w:left="1701" w:hanging="1701"/>
      <w:outlineLvl w:val="1"/>
    </w:pPr>
    <w:rPr>
      <w:rFonts w:ascii="Arial" w:hAnsi="Arial" w:cs="Arial"/>
      <w:b/>
      <w:bCs/>
      <w:color w:val="00000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55CD"/>
    <w:rPr>
      <w:rFonts w:ascii="Arial" w:eastAsia="MS Mincho" w:hAnsi="Arial" w:cs="Arial"/>
      <w:b/>
      <w:bCs/>
      <w:color w:val="000000"/>
      <w:lang w:val="en-US" w:eastAsia="en-AU"/>
    </w:rPr>
  </w:style>
  <w:style w:type="paragraph" w:customStyle="1" w:styleId="Default">
    <w:name w:val="Default"/>
    <w:rsid w:val="001D55CD"/>
    <w:pPr>
      <w:autoSpaceDE w:val="0"/>
      <w:autoSpaceDN w:val="0"/>
      <w:adjustRightInd w:val="0"/>
      <w:spacing w:after="0" w:line="240" w:lineRule="auto"/>
    </w:pPr>
    <w:rPr>
      <w:rFonts w:ascii="FOHPDE+TimesNewRoman" w:eastAsia="Times New Roman" w:hAnsi="FOHPDE+TimesNewRoman" w:cs="FOHPDE+TimesNew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D5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55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5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ubpara">
    <w:name w:val="subpara"/>
    <w:basedOn w:val="Normal"/>
    <w:link w:val="subparaChar"/>
    <w:qFormat/>
    <w:rsid w:val="001D55CD"/>
    <w:pPr>
      <w:spacing w:before="120" w:after="120" w:line="240" w:lineRule="atLeast"/>
      <w:ind w:left="567"/>
      <w:jc w:val="both"/>
    </w:pPr>
    <w:rPr>
      <w:rFonts w:ascii="Times New Roman" w:eastAsiaTheme="minorHAnsi" w:hAnsi="Times New Roman"/>
      <w:lang w:val="en-AU"/>
    </w:rPr>
  </w:style>
  <w:style w:type="character" w:customStyle="1" w:styleId="subparaChar">
    <w:name w:val="subpara Char"/>
    <w:basedOn w:val="DefaultParagraphFont"/>
    <w:link w:val="subpara"/>
    <w:rsid w:val="001D55CD"/>
    <w:rPr>
      <w:rFonts w:ascii="Times New Roman" w:hAnsi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D55CD"/>
    <w:pPr>
      <w:ind w:left="993" w:hanging="993"/>
    </w:pPr>
    <w:rPr>
      <w:rFonts w:ascii="Arial" w:hAnsi="Arial" w:cs="Arial"/>
      <w:b/>
      <w:caps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55CD"/>
    <w:rPr>
      <w:rFonts w:ascii="Arial" w:eastAsia="MS Mincho" w:hAnsi="Arial" w:cs="Arial"/>
      <w:b/>
      <w:cap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75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75F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5F0"/>
    <w:rPr>
      <w:rFonts w:ascii="Arial" w:eastAsia="MS Mincho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YG</cp:lastModifiedBy>
  <cp:revision>3</cp:revision>
  <dcterms:created xsi:type="dcterms:W3CDTF">2020-12-03T14:07:00Z</dcterms:created>
  <dcterms:modified xsi:type="dcterms:W3CDTF">2020-12-03T14:09:00Z</dcterms:modified>
</cp:coreProperties>
</file>