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4" w:rsidRPr="00DB45B4" w:rsidRDefault="00DB45B4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val="es-ES"/>
        </w:rPr>
      </w:pPr>
      <w:r w:rsidRPr="00DB45B4">
        <w:rPr>
          <w:rFonts w:ascii="Times New Roman" w:eastAsia="Batang" w:hAnsi="Times New Roman" w:cs="Times New Roman"/>
          <w:b/>
          <w:lang w:val="es-ES"/>
        </w:rPr>
        <w:t xml:space="preserve">LISTA DE </w:t>
      </w:r>
      <w:r w:rsidRPr="00DB45B4">
        <w:rPr>
          <w:rFonts w:ascii="Times New Roman" w:eastAsia="Batang" w:hAnsi="Times New Roman" w:cs="Times New Roman"/>
          <w:b/>
          <w:highlight w:val="lightGray"/>
          <w:lang w:val="es-ES"/>
        </w:rPr>
        <w:t>DECISIONES</w:t>
      </w:r>
      <w:r w:rsidRPr="00DB45B4">
        <w:rPr>
          <w:rFonts w:ascii="Times New Roman" w:eastAsia="Batang" w:hAnsi="Times New Roman" w:cs="Times New Roman"/>
          <w:b/>
          <w:lang w:val="es-ES"/>
        </w:rPr>
        <w:t xml:space="preserve"> Y ACCIONES RESULTANTES DEL C-3</w:t>
      </w:r>
      <w:bookmarkStart w:id="0" w:name="_GoBack"/>
      <w:bookmarkEnd w:id="0"/>
    </w:p>
    <w:p w:rsidR="00DB45B4" w:rsidRPr="00003894" w:rsidRDefault="00DB45B4">
      <w:pPr>
        <w:rPr>
          <w:lang w:val="es-ES"/>
        </w:rPr>
      </w:pP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60"/>
        <w:gridCol w:w="1885"/>
        <w:gridCol w:w="3310"/>
        <w:gridCol w:w="1647"/>
        <w:gridCol w:w="1420"/>
      </w:tblGrid>
      <w:tr w:rsidR="00DB45B4" w:rsidRPr="00D07DF5" w:rsidTr="00003894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5B4" w:rsidRPr="00DB45B4" w:rsidRDefault="00003894" w:rsidP="00003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PUNTO DEL </w:t>
            </w:r>
            <w:r w:rsidR="00DB45B4"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ORDEN DEL DIA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OBJETO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5B4" w:rsidRPr="00DB45B4" w:rsidRDefault="00DB45B4" w:rsidP="00003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DECISIÓN o ACCIÓN</w:t>
            </w:r>
            <w:r w:rsidR="0000389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N</w:t>
            </w:r>
            <w:r w:rsidR="0000389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.°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DECISIÓN o ACCIONES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(en negrilla, acción por)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OBJETIVO</w:t>
            </w:r>
          </w:p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FECHA / EVENTO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ESTADO</w:t>
            </w:r>
          </w:p>
          <w:p w:rsidR="00DB45B4" w:rsidRPr="00DB45B4" w:rsidRDefault="00DB45B4" w:rsidP="008A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(a </w:t>
            </w:r>
            <w:r w:rsidR="00AD420E">
              <w:rPr>
                <w:rFonts w:ascii="Times New Roman" w:eastAsia="Times New Roman" w:hAnsi="Times New Roman" w:cs="Times New Roman"/>
                <w:b/>
                <w:bCs/>
                <w:color w:val="FF0000"/>
                <w:lang w:val="es-ES"/>
              </w:rPr>
              <w:t>23 de octubre del 2019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)</w:t>
            </w:r>
          </w:p>
        </w:tc>
      </w:tr>
      <w:tr w:rsidR="00DB45B4" w:rsidRPr="00003894" w:rsidTr="00DE78DF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DB45B4" w:rsidRPr="0000389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1.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  <w:t>APERTURA</w:t>
            </w: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00389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1.1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Discurso de apertura y presentaciones 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00389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1.2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Pr="005008B7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Adopción del Orden del Día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B45B4" w:rsidRPr="00DB45B4" w:rsidTr="00727CCA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Orden del Día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El 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Consejo</w:t>
            </w:r>
            <w:r w:rsidR="00DB45B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adoptó el orden del día y el calendario.</w:t>
            </w:r>
          </w:p>
          <w:p w:rsidR="00431F85" w:rsidRPr="00003894" w:rsidRDefault="00431F85" w:rsidP="00064558">
            <w:pPr>
              <w:spacing w:after="0" w:line="1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49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727CCA" w:rsidRPr="00DB45B4" w:rsidTr="00727CCA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D4B9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D4B9A">
                    <w:rPr>
                      <w:rFonts w:ascii="Times New Roman" w:eastAsia="Times New Roman" w:hAnsi="Times New Roman" w:cs="Times New Roman"/>
                      <w:b/>
                    </w:rPr>
                    <w:t>Disposiciones administrativas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9A" w:rsidRPr="00DB45B4" w:rsidTr="00064558">
        <w:trPr>
          <w:cantSplit/>
          <w:trHeight w:val="1577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Lista de contactos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ED3816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431F85" w:rsidRPr="00003894" w:rsidRDefault="007D4B9A" w:rsidP="0006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Los Estados Miembros de la OHI que tengan un escaño en 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deberán proporcionar a la Secretaría de la OHI sus actualizaciones de la Lista de Contactos del Consejo de la OHI.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49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Permanente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0BE7" w:rsidRPr="00DB45B4" w:rsidTr="00064558">
        <w:trPr>
          <w:cantSplit/>
          <w:trHeight w:val="2394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70BE7" w:rsidRPr="00DB45B4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C70BE7" w:rsidRPr="00DB45B4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Reuniones paralelas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C70BE7" w:rsidRDefault="00ED3816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C3/03</w:t>
            </w:r>
          </w:p>
          <w:p w:rsidR="00C70BE7" w:rsidRPr="002A56DD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(antiguo C1/51)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431F85" w:rsidRPr="00003894" w:rsidRDefault="00C70BE7" w:rsidP="0006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En la Carta Circular del Consejo que convoca las reuniones del Consejo en Mónaco,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D4E7F">
              <w:rPr>
                <w:rFonts w:ascii="Times New Roman" w:eastAsia="Times New Roman" w:hAnsi="Times New Roman" w:cs="Times New Roman"/>
                <w:lang w:val="es-ES"/>
              </w:rPr>
              <w:t xml:space="preserve">deberá recordar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que los Estados Miembros pueden utilizar las salas de reuniones disponibles en la sede de la OHI, antes y después de las sesiones de las reuniones del Consejo.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70BE7" w:rsidRPr="00DB45B4" w:rsidRDefault="00C70BE7" w:rsidP="0049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Permanente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70BE7" w:rsidRPr="00DB45B4" w:rsidRDefault="00C70BE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D4B9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D4B9A">
                    <w:rPr>
                      <w:rFonts w:ascii="Times New Roman" w:eastAsia="Times New Roman" w:hAnsi="Times New Roman" w:cs="Times New Roman"/>
                      <w:b/>
                    </w:rPr>
                    <w:t>Libro Rojo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0549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6C75C6" w:rsidRDefault="00615B91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6C75C6">
              <w:rPr>
                <w:rFonts w:ascii="Times New Roman" w:eastAsia="Times New Roman" w:hAnsi="Times New Roman" w:cs="Times New Roman"/>
                <w:lang w:val="es-ES"/>
              </w:rPr>
              <w:t xml:space="preserve">Plazos del </w:t>
            </w:r>
            <w:r w:rsidR="006C75C6" w:rsidRPr="006C75C6">
              <w:rPr>
                <w:rFonts w:ascii="Times New Roman" w:eastAsia="Times New Roman" w:hAnsi="Times New Roman" w:cs="Times New Roman"/>
                <w:lang w:val="es-ES"/>
              </w:rPr>
              <w:br/>
            </w:r>
            <w:r w:rsidRPr="006C75C6">
              <w:rPr>
                <w:rFonts w:ascii="Times New Roman" w:eastAsia="Times New Roman" w:hAnsi="Times New Roman" w:cs="Times New Roman"/>
                <w:lang w:val="es-ES"/>
              </w:rPr>
              <w:t>Libro Rojo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4F7C39" w:rsidP="006C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Presidente del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elogió a los Estados Miembros de la OHI que proporcionaron comentarios a tiempo para la preparación del Libro Rojo.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615B91" w:rsidP="0049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0549C9" w:rsidRPr="00DB45B4" w:rsidTr="000549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4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DB45B4" w:rsidRPr="00003894" w:rsidRDefault="00DB45B4" w:rsidP="006C75C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2.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="006C75C6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PUNTO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S SOLICITADOS POR LA 1</w:t>
                  </w:r>
                  <w:r w:rsidR="006C75C6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.</w:t>
                  </w:r>
                  <w:r w:rsidRPr="006C75C6">
                    <w:rPr>
                      <w:rFonts w:ascii="Times New Roman" w:eastAsia="Times New Roman" w:hAnsi="Times New Roman" w:cs="Times New Roman"/>
                      <w:b/>
                      <w:vertAlign w:val="superscript"/>
                      <w:lang w:val="es-ES"/>
                    </w:rPr>
                    <w:t>a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ASAMBLEA DE LA OHI</w:t>
                  </w:r>
                </w:p>
              </w:tc>
            </w:tr>
          </w:tbl>
          <w:p w:rsidR="00DB45B4" w:rsidRPr="0000389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003894" w:rsidRDefault="006C75C6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2.1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  <w:t>Revisión del Plan Estratégico (considerada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highlight w:val="yellow"/>
                      <w:lang w:val="es-ES"/>
                    </w:rPr>
                    <w:t xml:space="preserve"> en el punto 6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del Orden del Día)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003894" w:rsidRDefault="00DB45B4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2</w:t>
                  </w:r>
                  <w:r w:rsidR="006B778D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.2</w:t>
                  </w:r>
                  <w:r w:rsidR="006B778D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  <w:t xml:space="preserve">Revisión de la Resolución de la OHI N.° 2/2007  (Decisión A1/12) (considerada </w:t>
                  </w:r>
                  <w:r w:rsidR="006B778D" w:rsidRPr="00003894">
                    <w:rPr>
                      <w:rFonts w:ascii="Times New Roman" w:eastAsia="Times New Roman" w:hAnsi="Times New Roman" w:cs="Times New Roman"/>
                      <w:b/>
                      <w:highlight w:val="yellow"/>
                      <w:lang w:val="es-ES"/>
                    </w:rPr>
                    <w:t>en el Punto 4.1</w:t>
                  </w:r>
                  <w:r w:rsidR="006B778D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del Orden del </w:t>
                  </w:r>
                  <w:r w:rsidR="006C75C6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br/>
                    <w:t xml:space="preserve">             </w:t>
                  </w:r>
                  <w:r w:rsidR="006B778D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Día)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6B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6B778D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003894" w:rsidRDefault="006B778D" w:rsidP="00727C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2.3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  <w:t xml:space="preserve">Revisión de la Resolución de la OHI N.° 1/2005  (Decisión A1/19) (considerada 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highlight w:val="yellow"/>
                      <w:lang w:val="es-ES"/>
                    </w:rPr>
                    <w:t>en el Punto 4.2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del Orden del</w:t>
                  </w:r>
                  <w:r w:rsidR="006C75C6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br/>
                    <w:t xml:space="preserve">            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Día)</w:t>
                  </w:r>
                </w:p>
              </w:tc>
            </w:tr>
          </w:tbl>
          <w:p w:rsidR="006B778D" w:rsidRPr="0000389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6B778D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003894" w:rsidRDefault="006B778D" w:rsidP="00727C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2.4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  <w:t xml:space="preserve">Revisión de la Resolución de la OHI N.° 2/1997  (Decisión A1/05) (considerada 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highlight w:val="yellow"/>
                      <w:lang w:val="es-ES"/>
                    </w:rPr>
                    <w:t>en el Punto 4.2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del Orden del </w:t>
                  </w:r>
                  <w:r w:rsidR="006C75C6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br/>
                    <w:t xml:space="preserve">             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Día)</w:t>
                  </w:r>
                </w:p>
              </w:tc>
            </w:tr>
          </w:tbl>
          <w:p w:rsidR="006B778D" w:rsidRPr="0000389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6B778D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6B778D" w:rsidRPr="00003894" w:rsidRDefault="006B778D" w:rsidP="00727CCA">
            <w:pPr>
              <w:spacing w:after="0" w:line="276" w:lineRule="auto"/>
              <w:rPr>
                <w:rFonts w:ascii="Times New Roman" w:eastAsia="Calibri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3.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  <w:t xml:space="preserve">ELEMENTOS SOLICITADOS POR </w:t>
            </w:r>
            <w:r w:rsidR="00727CCA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 DE LA OHI</w:t>
            </w:r>
          </w:p>
        </w:tc>
      </w:tr>
      <w:tr w:rsidR="006B778D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A403BB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lastRenderedPageBreak/>
                    <w:t>3.1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Revisión del estado de las Decisiones y Acciones resultantes del C-2 (acciones pendientes)</w:t>
                  </w:r>
                </w:p>
              </w:tc>
            </w:tr>
          </w:tbl>
          <w:p w:rsidR="006B778D" w:rsidRPr="0000389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2F03F5" w:rsidRPr="00DB45B4" w:rsidTr="00064558">
        <w:trPr>
          <w:cantSplit/>
          <w:trHeight w:val="2218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07DF5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D07DF5">
              <w:rPr>
                <w:rFonts w:ascii="Times New Roman" w:eastAsia="Times New Roman" w:hAnsi="Times New Roman" w:cs="Times New Roman"/>
                <w:lang w:val="es-ES"/>
              </w:rPr>
              <w:t>Productos</w:t>
            </w:r>
            <w:r w:rsidR="00D07DF5" w:rsidRPr="00D07DF5">
              <w:rPr>
                <w:rFonts w:ascii="Times New Roman" w:eastAsia="Times New Roman" w:hAnsi="Times New Roman" w:cs="Times New Roman"/>
                <w:lang w:val="es-ES"/>
              </w:rPr>
              <w:br/>
            </w:r>
            <w:r w:rsidRPr="00D07DF5">
              <w:rPr>
                <w:rFonts w:ascii="Times New Roman" w:eastAsia="Times New Roman" w:hAnsi="Times New Roman" w:cs="Times New Roman"/>
                <w:lang w:val="es-ES"/>
              </w:rPr>
              <w:t xml:space="preserve"> S-100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2F03F5" w:rsidRDefault="00ED3816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C3/05</w:t>
            </w:r>
          </w:p>
          <w:p w:rsidR="002F03F5" w:rsidRPr="002F03F5" w:rsidRDefault="002F03F5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2F03F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(antiguo C2/32)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2F03F5" w:rsidP="000645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El </w:t>
            </w:r>
            <w:r w:rsidR="00B91888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Secretario General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empezar a colaborar con la División de Seguridad Marítima de la OMI, de manera informal, según corresponda, para actualizar el estado actual de la estructura de la S-100 y el posible impacto futuro en los instrumentos de la OMI.</w:t>
            </w:r>
            <w:r w:rsidR="00B91888" w:rsidRPr="00003894">
              <w:rPr>
                <w:rFonts w:ascii="Times New Roman" w:eastAsia="Times New Roman" w:hAnsi="Times New Roman" w:cs="Times New Roman"/>
                <w:lang w:val="es-ES"/>
              </w:rPr>
              <w:br/>
            </w:r>
            <w:r w:rsidR="00B91888">
              <w:rPr>
                <w:rFonts w:ascii="Times New Roman" w:eastAsia="Times New Roman" w:hAnsi="Times New Roman" w:cs="Times New Roman"/>
              </w:rPr>
              <w:t>(</w:t>
            </w:r>
            <w:r w:rsidR="00B91888" w:rsidRPr="00D07DF5">
              <w:rPr>
                <w:rFonts w:ascii="Times New Roman" w:eastAsia="Times New Roman" w:hAnsi="Times New Roman" w:cs="Times New Roman"/>
                <w:lang w:val="es-ES"/>
              </w:rPr>
              <w:t>Véase también la Acción C3/13)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EC3282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2F03F5" w:rsidP="009B1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6785" w:rsidRPr="00E2513B" w:rsidTr="00A403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516785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16785" w:rsidRPr="00D07DF5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516785" w:rsidRPr="00D07DF5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516785" w:rsidRPr="00DB45B4" w:rsidRDefault="008678BD" w:rsidP="00516785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3.2</w:t>
                  </w:r>
                  <w:r w:rsidR="00516785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="00516785" w:rsidRPr="00DB45B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Revisión de la Regla 12 de las RdP del Consejo</w:t>
                  </w:r>
                </w:p>
              </w:tc>
            </w:tr>
          </w:tbl>
          <w:p w:rsidR="00516785" w:rsidRPr="00003894" w:rsidRDefault="00516785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466594" w:rsidRPr="00E2513B" w:rsidTr="00A403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0038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Elección del Presidente y del Vice-Presidente del Consejo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C3/06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(anteriormente C2/06 y C1/17)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003894" w:rsidRDefault="00466594" w:rsidP="00D07D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8678BD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ratificó la propuesta según lo dispuesto en el Doc. C3-03.2A, para revisar las Reglas 8, 11 y 12 de las </w:t>
            </w:r>
            <w:proofErr w:type="spellStart"/>
            <w:r w:rsidR="008678BD" w:rsidRPr="00003894">
              <w:rPr>
                <w:rFonts w:ascii="Times New Roman" w:eastAsia="Times New Roman" w:hAnsi="Times New Roman" w:cs="Times New Roman"/>
                <w:lang w:val="es-ES"/>
              </w:rPr>
              <w:t>RdP</w:t>
            </w:r>
            <w:proofErr w:type="spellEnd"/>
            <w:r w:rsidR="008678BD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del Consejo con la sugerencia hecha por Canadá en el Libro Rojo. </w:t>
            </w:r>
          </w:p>
          <w:p w:rsidR="00103A79" w:rsidRPr="00003894" w:rsidRDefault="00103A79" w:rsidP="007709D7">
            <w:pPr>
              <w:spacing w:after="0" w:line="14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103A79" w:rsidRPr="00003894" w:rsidRDefault="00422314" w:rsidP="0006455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="00103A79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preparará la propuesta para la A-2 para su aprobación por los Estados Miembros en consecuencia.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003894" w:rsidRDefault="00466594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03A79" w:rsidRPr="00003894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03A79" w:rsidRPr="00003894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03A79" w:rsidRPr="00003894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03A79" w:rsidRPr="00003894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03A79" w:rsidRPr="00003894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03A79" w:rsidRPr="00003894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03A79" w:rsidRPr="00003894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03A79" w:rsidRPr="00E2513B" w:rsidRDefault="00C20BB0" w:rsidP="0006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E2513B" w:rsidRDefault="00466594" w:rsidP="0049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D07DF5" w:rsidRPr="00E2513B" w:rsidTr="00A403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07DF5" w:rsidRPr="00E2513B" w:rsidRDefault="00D07DF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07DF5" w:rsidRPr="00003894" w:rsidRDefault="00D07DF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07DF5" w:rsidRDefault="00D07DF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07DF5" w:rsidRPr="00003894" w:rsidRDefault="00D07DF5" w:rsidP="00D07DF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07DF5" w:rsidRPr="00003894" w:rsidRDefault="00D07DF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07DF5" w:rsidRPr="00E2513B" w:rsidRDefault="00D07DF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78BD" w:rsidRPr="00D07DF5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678BD" w:rsidRPr="00D07DF5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678BD" w:rsidRPr="00DB45B4" w:rsidRDefault="008678BD" w:rsidP="008678B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3.3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Revisión de los Artículos 14, 15 y 20 del Reglamento General - Aptitud física de </w:t>
                  </w:r>
                  <w:r w:rsidR="00064558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los Candidatos a la elección </w:t>
                  </w:r>
                </w:p>
              </w:tc>
            </w:tr>
          </w:tbl>
          <w:p w:rsidR="008678BD" w:rsidRPr="00003894" w:rsidRDefault="008678BD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544D11" w:rsidRPr="00E2513B" w:rsidTr="00D07700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44D11" w:rsidRPr="00E2513B" w:rsidRDefault="00544D1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544D11" w:rsidRPr="00E2513B" w:rsidRDefault="00B4567E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Reglamento </w:t>
            </w:r>
            <w:r w:rsidR="00544D11">
              <w:rPr>
                <w:rFonts w:ascii="Times New Roman" w:eastAsia="Times New Roman" w:hAnsi="Times New Roman" w:cs="Times New Roman"/>
              </w:rPr>
              <w:t>General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544D11" w:rsidRDefault="00ED3816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C3/07</w:t>
            </w:r>
          </w:p>
          <w:p w:rsidR="00ED3816" w:rsidRDefault="00ED3816" w:rsidP="00ED38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44D11" w:rsidRPr="00003894" w:rsidRDefault="00544D11" w:rsidP="0077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Siguiendo un punto tratado por los </w:t>
            </w:r>
            <w:r w:rsidR="006226DD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Países Bajos en el Libro Rojo, 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>que s</w:t>
            </w:r>
            <w:r w:rsidR="006226DD" w:rsidRPr="00003894">
              <w:rPr>
                <w:rFonts w:ascii="Times New Roman" w:eastAsia="Times New Roman" w:hAnsi="Times New Roman" w:cs="Times New Roman"/>
                <w:lang w:val="es-ES"/>
              </w:rPr>
              <w:t>eñala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>ba</w:t>
            </w:r>
            <w:r w:rsidR="006226DD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que l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 xml:space="preserve">as funciones de la Asamblea son </w:t>
            </w:r>
            <w:proofErr w:type="gramStart"/>
            <w:r w:rsidR="007709D7" w:rsidRPr="007709D7">
              <w:rPr>
                <w:rFonts w:ascii="Times New Roman" w:eastAsia="Times New Roman" w:hAnsi="Times New Roman" w:cs="Times New Roman"/>
                <w:i/>
                <w:lang w:val="es-ES"/>
              </w:rPr>
              <w:t>«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...</w:t>
            </w:r>
            <w:proofErr w:type="gramEnd"/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decidir sobre </w:t>
            </w:r>
            <w:r w:rsidRPr="00003894">
              <w:rPr>
                <w:rFonts w:ascii="Times New Roman" w:eastAsia="Times New Roman" w:hAnsi="Times New Roman" w:cs="Times New Roman"/>
                <w:i/>
                <w:u w:val="single"/>
                <w:lang w:val="es-ES"/>
              </w:rPr>
              <w:t>toda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propuesta presentada por cualquier EM, el Consejo o el Secretario General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 xml:space="preserve"> ... </w:t>
            </w:r>
            <w:r w:rsidR="007709D7" w:rsidRPr="007709D7">
              <w:rPr>
                <w:rFonts w:ascii="Times New Roman" w:eastAsia="Times New Roman" w:hAnsi="Times New Roman" w:cs="Times New Roman"/>
                <w:i/>
                <w:lang w:val="es-ES"/>
              </w:rPr>
              <w:t>»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(Art.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V.e.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(viii) del Convenio de la OHI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>)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,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5F64B2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confirmó que no había ningún 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 xml:space="preserve">inconveniente en </w:t>
            </w:r>
            <w:r w:rsidR="005F64B2" w:rsidRPr="00003894">
              <w:rPr>
                <w:rFonts w:ascii="Times New Roman" w:eastAsia="Times New Roman" w:hAnsi="Times New Roman" w:cs="Times New Roman"/>
                <w:lang w:val="es-ES"/>
              </w:rPr>
              <w:t>que el Consejo sometiese enmiendas/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F64B2" w:rsidRPr="00003894">
              <w:rPr>
                <w:rFonts w:ascii="Times New Roman" w:eastAsia="Times New Roman" w:hAnsi="Times New Roman" w:cs="Times New Roman"/>
                <w:lang w:val="es-ES"/>
              </w:rPr>
              <w:t>revisiones al Reglamento General, para su aprobación por la Asamblea, ya que este Reglamento General no forma parte del Convenio de la OHI (Art. XI del Convenio de la OHI).</w:t>
            </w:r>
          </w:p>
          <w:p w:rsidR="005F64B2" w:rsidRPr="00003894" w:rsidRDefault="005F64B2" w:rsidP="007709D7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5F64B2" w:rsidRPr="007709D7" w:rsidRDefault="005F64B2" w:rsidP="0077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Sin embargo,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 xml:space="preserve"> observó que « 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las decisiones tomadas </w:t>
            </w:r>
            <w:proofErr w:type="gramStart"/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sobre ...</w:t>
            </w:r>
            <w:proofErr w:type="gramEnd"/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incluyendo las enmiendas al Reglamento General ... serán tomadas por una mayoría de los 2/3 de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EMs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presentes y votantes</w:t>
            </w:r>
            <w:r w:rsidRPr="007709D7">
              <w:rPr>
                <w:rFonts w:ascii="Times New Roman" w:eastAsia="Times New Roman" w:hAnsi="Times New Roman" w:cs="Times New Roman"/>
                <w:i/>
                <w:lang w:val="es-ES"/>
              </w:rPr>
              <w:t>.</w:t>
            </w:r>
            <w:r w:rsidR="007709D7" w:rsidRPr="007709D7">
              <w:rPr>
                <w:rFonts w:ascii="Times New Roman" w:eastAsia="Times New Roman" w:hAnsi="Times New Roman" w:cs="Times New Roman"/>
                <w:i/>
                <w:lang w:val="es-ES"/>
              </w:rPr>
              <w:t>»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7709D7">
              <w:rPr>
                <w:rFonts w:ascii="Times New Roman" w:eastAsia="Times New Roman" w:hAnsi="Times New Roman" w:cs="Times New Roman"/>
                <w:lang w:val="es-ES"/>
              </w:rPr>
              <w:t xml:space="preserve">(Art. </w:t>
            </w:r>
            <w:proofErr w:type="spellStart"/>
            <w:r w:rsidR="007709D7">
              <w:rPr>
                <w:rFonts w:ascii="Times New Roman" w:eastAsia="Times New Roman" w:hAnsi="Times New Roman" w:cs="Times New Roman"/>
                <w:lang w:val="es-ES"/>
              </w:rPr>
              <w:t>IX.d</w:t>
            </w:r>
            <w:proofErr w:type="spellEnd"/>
            <w:r w:rsidR="007709D7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7709D7">
              <w:rPr>
                <w:rFonts w:ascii="Times New Roman" w:eastAsia="Times New Roman" w:hAnsi="Times New Roman" w:cs="Times New Roman"/>
                <w:lang w:val="es-ES"/>
              </w:rPr>
              <w:t>del Convenio de la OHI)</w:t>
            </w:r>
          </w:p>
          <w:p w:rsidR="00431F85" w:rsidRPr="007709D7" w:rsidRDefault="00431F85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544D11" w:rsidRPr="007709D7" w:rsidRDefault="00544D11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544D11" w:rsidRDefault="005F64B2" w:rsidP="0049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  <w:proofErr w:type="spellEnd"/>
          </w:p>
        </w:tc>
      </w:tr>
      <w:tr w:rsidR="00466594" w:rsidRPr="00E2513B" w:rsidTr="00D07700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Reglamento General, Elecciones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C3/08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(anteriormente C2/07 y C1/46)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1F2976" w:rsidRPr="00003894" w:rsidRDefault="00466594" w:rsidP="00AA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ratificó la propuesta según lo dispuesto en el Doc. C3-03.3</w:t>
            </w:r>
            <w:r w:rsidR="00495310">
              <w:rPr>
                <w:rFonts w:ascii="Times New Roman" w:eastAsia="Times New Roman" w:hAnsi="Times New Roman" w:cs="Times New Roman"/>
                <w:lang w:val="es-ES"/>
              </w:rPr>
              <w:t>A,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para enmendar el Reglamento General a fin de que aborde el tema de la aptitud física de los candidatos a la elección.</w:t>
            </w:r>
            <w:r w:rsidR="0049531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F839D5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Las enmiendas deberán incluir las sugerencias hechas por CA, FR, JP y NL sobre el Artículo 25c (nombramiento </w:t>
            </w:r>
            <w:r w:rsidR="00F839D5" w:rsidRPr="00003894">
              <w:rPr>
                <w:rFonts w:ascii="Times New Roman" w:eastAsia="Times New Roman" w:hAnsi="Times New Roman" w:cs="Times New Roman"/>
                <w:u w:val="single"/>
                <w:lang w:val="es-ES"/>
              </w:rPr>
              <w:t>por el Consejo</w:t>
            </w:r>
            <w:r w:rsidR="00F839D5" w:rsidRPr="00003894">
              <w:rPr>
                <w:rFonts w:ascii="Times New Roman" w:eastAsia="Times New Roman" w:hAnsi="Times New Roman" w:cs="Times New Roman"/>
                <w:lang w:val="es-ES"/>
              </w:rPr>
              <w:t>, no por el Presidente del Consejo) y un texto neutro que se mantendrá</w:t>
            </w:r>
            <w:r w:rsidR="0097182E" w:rsidRPr="0049531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97182E" w:rsidRPr="00003894">
              <w:rPr>
                <w:rFonts w:ascii="Times New Roman" w:eastAsia="Times New Roman" w:hAnsi="Times New Roman" w:cs="Times New Roman"/>
                <w:u w:val="single"/>
                <w:lang w:val="es-ES"/>
              </w:rPr>
              <w:t>tal y como estaba en la versión inicial</w:t>
            </w:r>
            <w:r w:rsidR="007406FD">
              <w:rPr>
                <w:rFonts w:ascii="Times New Roman" w:eastAsia="Times New Roman" w:hAnsi="Times New Roman" w:cs="Times New Roman"/>
                <w:lang w:val="es-ES"/>
              </w:rPr>
              <w:t xml:space="preserve"> (volviendo al  « su »</w:t>
            </w:r>
            <w:r w:rsidR="007D6089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(</w:t>
            </w:r>
            <w:proofErr w:type="spellStart"/>
            <w:r w:rsidR="007D6089" w:rsidRPr="00003894">
              <w:rPr>
                <w:rFonts w:ascii="Times New Roman" w:eastAsia="Times New Roman" w:hAnsi="Times New Roman" w:cs="Times New Roman"/>
                <w:lang w:val="es-ES"/>
              </w:rPr>
              <w:t>masc</w:t>
            </w:r>
            <w:proofErr w:type="spellEnd"/>
            <w:proofErr w:type="gramStart"/>
            <w:r w:rsidR="007D6089" w:rsidRPr="00003894">
              <w:rPr>
                <w:rFonts w:ascii="Times New Roman" w:eastAsia="Times New Roman" w:hAnsi="Times New Roman" w:cs="Times New Roman"/>
                <w:lang w:val="es-ES"/>
              </w:rPr>
              <w:t>./</w:t>
            </w:r>
            <w:proofErr w:type="spellStart"/>
            <w:proofErr w:type="gramEnd"/>
            <w:r w:rsidR="007D6089" w:rsidRPr="00003894">
              <w:rPr>
                <w:rFonts w:ascii="Times New Roman" w:eastAsia="Times New Roman" w:hAnsi="Times New Roman" w:cs="Times New Roman"/>
                <w:lang w:val="es-ES"/>
              </w:rPr>
              <w:t>fem</w:t>
            </w:r>
            <w:proofErr w:type="spellEnd"/>
            <w:r w:rsidR="007D6089" w:rsidRPr="00003894">
              <w:rPr>
                <w:rFonts w:ascii="Times New Roman" w:eastAsia="Times New Roman" w:hAnsi="Times New Roman" w:cs="Times New Roman"/>
                <w:lang w:val="es-ES"/>
              </w:rPr>
              <w:t>.), no a</w:t>
            </w:r>
            <w:r w:rsidR="007406FD">
              <w:rPr>
                <w:rFonts w:ascii="Times New Roman" w:eastAsia="Times New Roman" w:hAnsi="Times New Roman" w:cs="Times New Roman"/>
                <w:lang w:val="es-ES"/>
              </w:rPr>
              <w:t>l « ellos »</w:t>
            </w:r>
            <w:r w:rsidR="007D6089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por el momento).</w:t>
            </w:r>
          </w:p>
          <w:p w:rsidR="00F839D5" w:rsidRPr="00003894" w:rsidRDefault="00F839D5" w:rsidP="00AA07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F2976" w:rsidRPr="00003894" w:rsidRDefault="00422314" w:rsidP="00AA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="001F2976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preparará la propuesta para la A-2</w:t>
            </w:r>
            <w:r w:rsidR="00987741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1F2976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para su aprobación por los </w:t>
            </w:r>
            <w:proofErr w:type="spellStart"/>
            <w:r w:rsidR="001F2976"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="001F2976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en consecuencia.</w:t>
            </w:r>
          </w:p>
          <w:p w:rsidR="001F2976" w:rsidRPr="00003894" w:rsidRDefault="001F2976" w:rsidP="00AA073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E2253D" w:rsidRPr="00003894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E2253D" w:rsidRPr="00003894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E2253D" w:rsidRPr="00003894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466594" w:rsidRPr="00003894" w:rsidRDefault="00466594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7D6089" w:rsidRPr="00003894" w:rsidRDefault="007D608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003894" w:rsidRDefault="00F839D5" w:rsidP="00987741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839D5" w:rsidRPr="00E2513B" w:rsidRDefault="00F839D5" w:rsidP="0049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E2513B" w:rsidRDefault="008D73C4" w:rsidP="0049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5B1555" w:rsidRPr="00E2513B" w:rsidTr="006226D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B1555" w:rsidRPr="00E2513B" w:rsidRDefault="005B155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5B1555" w:rsidRPr="00E2513B" w:rsidRDefault="005B155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Neutralidad de género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5B1555" w:rsidRDefault="00ED3816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C3/09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B1555" w:rsidRPr="00003894" w:rsidRDefault="005B1555" w:rsidP="00AA0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invitó</w:t>
            </w:r>
            <w:r w:rsidRPr="00AA073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u w:val="single"/>
                <w:lang w:val="es-ES"/>
              </w:rPr>
              <w:t>a Canadá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, apoyado por Japón/Países Bajos y </w:t>
            </w:r>
            <w:r w:rsidR="00AA0734">
              <w:rPr>
                <w:rFonts w:ascii="Times New Roman" w:eastAsia="Times New Roman" w:hAnsi="Times New Roman" w:cs="Times New Roman"/>
                <w:lang w:val="es-ES"/>
              </w:rPr>
              <w:t>por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otros Estados Miembros de la OHI, si los hubiera, a presentar una solicitud que será considerada en la A-2, para la aplicación del lenguaje de neutralidad de género en la OHI, que debería incluir como mínimo un análisis de impacto en los Documentos Básicos y las Resoluciones de la OHI.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5B1555" w:rsidRDefault="001513F4" w:rsidP="00A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5B1555" w:rsidRDefault="005B155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3E5F" w:rsidRPr="00E2513B" w:rsidTr="008C3E5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3E5F" w:rsidRPr="00D07DF5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C3E5F" w:rsidRPr="00D07DF5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C3E5F" w:rsidRPr="00DB45B4" w:rsidRDefault="008C3E5F" w:rsidP="008C3E5F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3.4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Pr="008C3E5F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Consideración de la definición de Intereses Hidrográficos</w:t>
                  </w:r>
                </w:p>
              </w:tc>
            </w:tr>
          </w:tbl>
          <w:p w:rsidR="008C3E5F" w:rsidRPr="00003894" w:rsidRDefault="008C3E5F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466594" w:rsidRPr="00E2513B" w:rsidTr="008C3E5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Composición del Consejo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C3/10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(acciones/decisiones anteriores en relación con: C2/08 y C1/47)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003894" w:rsidRDefault="008C3E5F" w:rsidP="00F2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Primero,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18249A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convino preparar una nueva propuesta para la A-2</w:t>
            </w:r>
            <w:r w:rsidR="00F240A3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18249A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mediante la cual la reconsideración de la definición de intereses hidrográficos se suprime del Reglamento General (Cláusula (c) del Art. 16). </w:t>
            </w:r>
          </w:p>
          <w:p w:rsidR="00A73411" w:rsidRPr="00003894" w:rsidRDefault="00333F9D" w:rsidP="00F2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[</w:t>
            </w:r>
            <w:r w:rsidR="00A73411" w:rsidRPr="00003894">
              <w:rPr>
                <w:rFonts w:ascii="Times New Roman" w:eastAsia="Times New Roman" w:hAnsi="Times New Roman" w:cs="Times New Roman"/>
                <w:u w:val="single"/>
                <w:lang w:val="es-ES"/>
              </w:rPr>
              <w:t>Nota explicativa</w:t>
            </w:r>
            <w:r w:rsidR="00A73411" w:rsidRPr="00003894">
              <w:rPr>
                <w:rFonts w:ascii="Times New Roman" w:eastAsia="Times New Roman" w:hAnsi="Times New Roman" w:cs="Times New Roman"/>
                <w:lang w:val="es-ES"/>
              </w:rPr>
              <w:t>: la c</w:t>
            </w:r>
            <w:r w:rsidR="00F240A3">
              <w:rPr>
                <w:rFonts w:ascii="Times New Roman" w:eastAsia="Times New Roman" w:hAnsi="Times New Roman" w:cs="Times New Roman"/>
                <w:lang w:val="es-ES"/>
              </w:rPr>
              <w:t xml:space="preserve">láusula (c) se convertiría en: « </w:t>
            </w:r>
            <w:r w:rsidR="00A73411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El terc</w:t>
            </w:r>
            <w:r w:rsidR="00F240A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io restante </w:t>
            </w:r>
            <w:proofErr w:type="gramStart"/>
            <w:r w:rsidR="00F240A3">
              <w:rPr>
                <w:rFonts w:ascii="Times New Roman" w:eastAsia="Times New Roman" w:hAnsi="Times New Roman" w:cs="Times New Roman"/>
                <w:i/>
                <w:lang w:val="es-ES"/>
              </w:rPr>
              <w:t>de ...</w:t>
            </w:r>
            <w:proofErr w:type="gramEnd"/>
            <w:r w:rsidR="00F240A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los anteriores</w:t>
            </w:r>
            <w:r w:rsidR="00A73411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. La escala </w:t>
            </w:r>
            <w:r w:rsidR="00F240A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mediante </w:t>
            </w:r>
            <w:r w:rsidR="00A73411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la </w:t>
            </w:r>
            <w:proofErr w:type="gramStart"/>
            <w:r w:rsidR="00A73411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cual ...</w:t>
            </w:r>
            <w:proofErr w:type="gramEnd"/>
            <w:r w:rsidR="00A73411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tonelaje de pabellón nacional</w:t>
            </w:r>
            <w:r w:rsidRPr="00003894">
              <w:rPr>
                <w:rFonts w:ascii="Times New Roman" w:eastAsia="Times New Roman" w:hAnsi="Times New Roman" w:cs="Times New Roman"/>
                <w:b/>
                <w:i/>
                <w:lang w:val="es-ES"/>
              </w:rPr>
              <w:t>.</w:t>
            </w:r>
            <w:r w:rsidR="00F240A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El cuadro </w:t>
            </w:r>
            <w:proofErr w:type="gramStart"/>
            <w:r w:rsidR="00F240A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de 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...</w:t>
            </w:r>
            <w:proofErr w:type="gramEnd"/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ocupa un escaño en el Consejo </w:t>
            </w:r>
            <w:r w:rsidR="00F240A3" w:rsidRPr="00F240A3">
              <w:rPr>
                <w:rFonts w:ascii="Times New Roman" w:eastAsia="Times New Roman" w:hAnsi="Times New Roman" w:cs="Times New Roman"/>
                <w:i/>
                <w:lang w:val="es-ES"/>
              </w:rPr>
              <w:t>»</w:t>
            </w:r>
            <w:r w:rsidRPr="00F240A3">
              <w:rPr>
                <w:rFonts w:ascii="Times New Roman" w:eastAsia="Times New Roman" w:hAnsi="Times New Roman" w:cs="Times New Roman"/>
                <w:i/>
                <w:lang w:val="es-ES"/>
              </w:rPr>
              <w:t>.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]</w:t>
            </w:r>
          </w:p>
          <w:p w:rsidR="0018249A" w:rsidRPr="00003894" w:rsidRDefault="0018249A" w:rsidP="00F240A3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18249A" w:rsidRPr="00003894" w:rsidRDefault="00422314" w:rsidP="00F2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="0018249A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F240A3">
              <w:rPr>
                <w:rFonts w:ascii="Times New Roman" w:eastAsia="Times New Roman" w:hAnsi="Times New Roman" w:cs="Times New Roman"/>
                <w:lang w:val="es-ES"/>
              </w:rPr>
              <w:t>deber</w:t>
            </w:r>
            <w:r w:rsidR="0018249A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á </w:t>
            </w:r>
            <w:r w:rsidR="00F240A3">
              <w:rPr>
                <w:rFonts w:ascii="Times New Roman" w:eastAsia="Times New Roman" w:hAnsi="Times New Roman" w:cs="Times New Roman"/>
                <w:lang w:val="es-ES"/>
              </w:rPr>
              <w:t xml:space="preserve">preparar </w:t>
            </w:r>
            <w:r w:rsidR="0018249A" w:rsidRPr="00003894">
              <w:rPr>
                <w:rFonts w:ascii="Times New Roman" w:eastAsia="Times New Roman" w:hAnsi="Times New Roman" w:cs="Times New Roman"/>
                <w:lang w:val="es-ES"/>
              </w:rPr>
              <w:t>la propuesta para la A-2</w:t>
            </w:r>
            <w:r w:rsidR="00F240A3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18249A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para su aprobación por los Estados Miembros en consecuencia.</w:t>
            </w:r>
          </w:p>
          <w:p w:rsidR="0018249A" w:rsidRPr="00003894" w:rsidRDefault="0018249A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003894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003894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70D98" w:rsidRPr="00E2513B" w:rsidRDefault="00670D98" w:rsidP="00F2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466594" w:rsidRPr="00E2513B" w:rsidRDefault="008C3E5F" w:rsidP="00F2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523137" w:rsidRPr="00E2513B" w:rsidTr="00316B71">
        <w:trPr>
          <w:cantSplit/>
          <w:trHeight w:val="3504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23137" w:rsidRPr="00E2513B" w:rsidRDefault="00523137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523137" w:rsidRDefault="00523137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Composición del Consejo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523137" w:rsidRDefault="00523137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23137" w:rsidRPr="00003894" w:rsidRDefault="00C941A0" w:rsidP="00B429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Tal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y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como se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mencionó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F0DB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ya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F0DB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en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F0DB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el C-1,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el </w:t>
            </w:r>
            <w:r w:rsidR="00B42920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Consejo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>tomó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nota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las diferentes opiniones sobre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el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valor 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>de la recon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sideración  de la definición de « intereses </w:t>
            </w:r>
            <w:proofErr w:type="spellStart"/>
            <w:r w:rsidR="00B42920">
              <w:rPr>
                <w:rFonts w:ascii="Times New Roman" w:eastAsia="Times New Roman" w:hAnsi="Times New Roman" w:cs="Times New Roman"/>
                <w:lang w:val="es-ES"/>
              </w:rPr>
              <w:t>hidro</w:t>
            </w:r>
            <w:proofErr w:type="spellEnd"/>
            <w:r w:rsidR="00B42920">
              <w:rPr>
                <w:rFonts w:ascii="Times New Roman" w:eastAsia="Times New Roman" w:hAnsi="Times New Roman" w:cs="Times New Roman"/>
                <w:lang w:val="es-ES"/>
              </w:rPr>
              <w:t>-gráficos »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y confirmó</w:t>
            </w:r>
            <w:r w:rsidR="00B4292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que, según el Convenio de la OHI, no había ningún vínculo entre la pertenencia como miembro al Consejo (definida en el Reglamento General) y la votación de la Asamblea y la evaluación de las cuotas (</w:t>
            </w:r>
            <w:proofErr w:type="spellStart"/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>referise</w:t>
            </w:r>
            <w:proofErr w:type="spellEnd"/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los </w:t>
            </w:r>
            <w:proofErr w:type="spellStart"/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>Art.s</w:t>
            </w:r>
            <w:proofErr w:type="spellEnd"/>
            <w:r w:rsidR="0052313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IX (b)  y XIV (a) del Convenio de la OHI).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523137" w:rsidRPr="00003894" w:rsidRDefault="00523137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523137" w:rsidRDefault="00C941A0" w:rsidP="00B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  <w:proofErr w:type="spellEnd"/>
          </w:p>
        </w:tc>
      </w:tr>
      <w:tr w:rsidR="008C3E5F" w:rsidRPr="00E2513B" w:rsidTr="008C3E5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670D98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Composición del Consejo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670D9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670D98" w:rsidP="008744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C941A0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agradeció la detallada propuesta de Uruguay e invitó a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Uruguay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y a otros países que l</w:t>
            </w:r>
            <w:r w:rsidR="009B7A03">
              <w:rPr>
                <w:rFonts w:ascii="Times New Roman" w:eastAsia="Times New Roman" w:hAnsi="Times New Roman" w:cs="Times New Roman"/>
                <w:lang w:val="es-ES"/>
              </w:rPr>
              <w:t>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apoyaban a presentar una propuesta a la A-2 sobre esta base, para su posterior consideración por la Asamblea.</w:t>
            </w:r>
          </w:p>
          <w:p w:rsidR="008744B2" w:rsidRPr="00003894" w:rsidRDefault="008744B2" w:rsidP="008744B2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003894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E1ACA" w:rsidRPr="00003894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A553C6" w:rsidRPr="00003894" w:rsidRDefault="00A553C6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A553C6" w:rsidRPr="00003894" w:rsidRDefault="00A553C6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E1ACA" w:rsidRPr="00003894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C3E5F" w:rsidRDefault="0046673E" w:rsidP="009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DE1ACA" w:rsidP="009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DE1ACA" w:rsidRPr="00D07DF5" w:rsidTr="00B67A0D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E1ACA" w:rsidRPr="00D07DF5" w:rsidTr="00B67A0D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E1ACA" w:rsidRPr="00DB45B4" w:rsidRDefault="00DE1ACA" w:rsidP="00DE1A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3.6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Estrategia de Implementación de la S-100</w:t>
                  </w:r>
                </w:p>
              </w:tc>
            </w:tr>
          </w:tbl>
          <w:p w:rsidR="00DE1ACA" w:rsidRPr="00003894" w:rsidRDefault="00DE1ACA" w:rsidP="00B67A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E1ACA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00389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Estrategia de Implementación de la S-100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D2D14" w:rsidRPr="00003894" w:rsidRDefault="006D2D14" w:rsidP="008744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1F4A3F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aprobó la hoja de ruta propuesta para el suministro de servicios basados en la S-100</w:t>
            </w:r>
            <w:r w:rsidR="008744B2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1F4A3F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presentada en el C-3, como un primer paso, y señaló el importante objetivo de la OMI de enero del 2024 para la im</w:t>
            </w:r>
            <w:r w:rsidR="008744B2">
              <w:rPr>
                <w:rFonts w:ascii="Times New Roman" w:eastAsia="Times New Roman" w:hAnsi="Times New Roman" w:cs="Times New Roman"/>
                <w:lang w:val="es-ES"/>
              </w:rPr>
              <w:t xml:space="preserve">plementación del modo N </w:t>
            </w:r>
            <w:r w:rsidR="00576F19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... y, por lo tanto, invitó al </w:t>
            </w:r>
            <w:r w:rsidR="00576F19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Secretario General</w:t>
            </w:r>
            <w:r w:rsidR="00877250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comenzar a comprometerse con la OMI. (Ver Acción C3/05 anterior).</w:t>
            </w:r>
          </w:p>
          <w:p w:rsidR="006D2D14" w:rsidRPr="00003894" w:rsidRDefault="006D2D14" w:rsidP="008744B2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D2D14" w:rsidRPr="00003894" w:rsidRDefault="006D2D14" w:rsidP="008744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Los Presidentes del Consejo/</w:t>
            </w:r>
            <w:r w:rsidR="008744B2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del HSSC/ del IRCC/ el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Sec</w:t>
            </w:r>
            <w:r w:rsidR="008744B2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retario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Gen</w:t>
            </w:r>
            <w:r w:rsidR="008744B2">
              <w:rPr>
                <w:rFonts w:ascii="Times New Roman" w:eastAsia="Times New Roman" w:hAnsi="Times New Roman" w:cs="Times New Roman"/>
                <w:b/>
                <w:lang w:val="es-ES"/>
              </w:rPr>
              <w:t>eral</w:t>
            </w:r>
            <w:r w:rsidR="001F4A3F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apoyados por expertos en la materia, de proceder, </w:t>
            </w:r>
            <w:r w:rsidR="008744B2">
              <w:rPr>
                <w:rFonts w:ascii="Times New Roman" w:eastAsia="Times New Roman" w:hAnsi="Times New Roman" w:cs="Times New Roman"/>
                <w:lang w:val="es-ES"/>
              </w:rPr>
              <w:t xml:space="preserve">deberán </w:t>
            </w:r>
            <w:r w:rsidR="001F4A3F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mantener esta hoja de ruta como un documento controlado por una versión incremental (incluyendo la narrativa y los cronogramas) anual</w:t>
            </w:r>
            <w:r w:rsidR="008744B2">
              <w:rPr>
                <w:rFonts w:ascii="Times New Roman" w:eastAsia="Times New Roman" w:hAnsi="Times New Roman" w:cs="Times New Roman"/>
                <w:lang w:val="es-ES"/>
              </w:rPr>
              <w:t>mente</w:t>
            </w:r>
            <w:r w:rsidR="001F4A3F" w:rsidRPr="00003894">
              <w:rPr>
                <w:rFonts w:ascii="Times New Roman" w:eastAsia="Times New Roman" w:hAnsi="Times New Roman" w:cs="Times New Roman"/>
                <w:lang w:val="es-ES"/>
              </w:rPr>
              <w:t>, teniendo en cuenta los comentarios efectuados en el C-3 (programa de participación, plan de producción, creación de capacidades) y la A-2.</w:t>
            </w:r>
          </w:p>
          <w:p w:rsidR="00431F85" w:rsidRPr="00003894" w:rsidRDefault="00431F85" w:rsidP="008744B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003894" w:rsidRDefault="00DE1ACA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D2D14" w:rsidRPr="0000389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D2D14" w:rsidRPr="0000389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25083" w:rsidRPr="00003894" w:rsidRDefault="00625083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72292" w:rsidRPr="00003894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72292" w:rsidRPr="00003894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C0F61" w:rsidRPr="00003894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72292" w:rsidRPr="00003894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72292" w:rsidRPr="00003894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D2D14" w:rsidRPr="0000389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A93C11" w:rsidRPr="00003894" w:rsidRDefault="00A93C1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76F19" w:rsidRPr="00003894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D2D14" w:rsidRDefault="006D2D14" w:rsidP="008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  <w:p w:rsidR="005F618B" w:rsidRDefault="005F618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6F19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6F19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18B" w:rsidRDefault="005F618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18B" w:rsidRPr="00DB45B4" w:rsidRDefault="005F618B" w:rsidP="008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Permanente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DE1ACA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00389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Estrategia de Implementación de la S-100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00389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encargó </w:t>
            </w:r>
            <w:r w:rsidRPr="008744B2">
              <w:rPr>
                <w:rFonts w:ascii="Times New Roman" w:eastAsia="Times New Roman" w:hAnsi="Times New Roman" w:cs="Times New Roman"/>
                <w:b/>
                <w:lang w:val="es-ES"/>
              </w:rPr>
              <w:t>al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HSSC/al IRCC/al Secretario General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que uniformizase</w:t>
            </w:r>
            <w:r w:rsidR="008744B2">
              <w:rPr>
                <w:rFonts w:ascii="Times New Roman" w:eastAsia="Times New Roman" w:hAnsi="Times New Roman" w:cs="Times New Roman"/>
                <w:lang w:val="es-ES"/>
              </w:rPr>
              <w:t>n los Programas de T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rabajo 1, 2 y 3 de la OHI para el 2021 con esta hoja de ruta.</w:t>
            </w:r>
          </w:p>
          <w:p w:rsidR="00431F85" w:rsidRPr="00003894" w:rsidRDefault="00431F85" w:rsidP="00161E9E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C0285E" w:rsidP="008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HSSC-12/IRCC-12</w:t>
            </w:r>
          </w:p>
          <w:p w:rsidR="009E1BE1" w:rsidRDefault="009E1BE1" w:rsidP="008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E1BE1" w:rsidRDefault="009E1BE1" w:rsidP="008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E1BE1" w:rsidRPr="00DB45B4" w:rsidRDefault="009E1BE1" w:rsidP="0087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 (- 3 meses)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E1ACA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00389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Estrategia de Implementación de la S-100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003894" w:rsidRDefault="00625083" w:rsidP="009166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encargó </w:t>
            </w:r>
            <w:r w:rsidRPr="00161E9E">
              <w:rPr>
                <w:rFonts w:ascii="Times New Roman" w:eastAsia="Times New Roman" w:hAnsi="Times New Roman" w:cs="Times New Roman"/>
                <w:b/>
                <w:lang w:val="es-ES"/>
              </w:rPr>
              <w:t>al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HSSC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que examinase las consecuencias de la existencia de esta hoja de ruta controlada por la versión incremental, mantenida por el Consejo, y del Plan Maestro de la S-100 actualmente mantenido bajo el liderazgo del S-100WG.</w:t>
            </w:r>
          </w:p>
          <w:p w:rsidR="00431F85" w:rsidRPr="00003894" w:rsidRDefault="00431F85" w:rsidP="009166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625083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25083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00389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Estrategia de Implementación de la S-100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003894" w:rsidRDefault="00625083" w:rsidP="009166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Presidente del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161E9E">
              <w:rPr>
                <w:rFonts w:ascii="Times New Roman" w:eastAsia="Times New Roman" w:hAnsi="Times New Roman" w:cs="Times New Roman"/>
                <w:lang w:val="es-ES"/>
              </w:rPr>
              <w:t>deber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á </w:t>
            </w:r>
            <w:r w:rsidR="00161E9E">
              <w:rPr>
                <w:rFonts w:ascii="Times New Roman" w:eastAsia="Times New Roman" w:hAnsi="Times New Roman" w:cs="Times New Roman"/>
                <w:lang w:val="es-ES"/>
              </w:rPr>
              <w:t xml:space="preserve">informar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en la A-2 sobre el progreso de la OHI en el suministro de servicios basados en la S-100 ...</w:t>
            </w:r>
          </w:p>
          <w:p w:rsidR="00625083" w:rsidRPr="00741765" w:rsidRDefault="00625083" w:rsidP="009166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... y propondrá a la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Asamblea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que encargue </w:t>
            </w:r>
            <w:r w:rsidRPr="00161E9E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al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que mantenga la hoja de ruta de la S-100 anualmente como una prioridad clave de las actividades del Consejo. </w:t>
            </w:r>
            <w:r w:rsidRPr="00741765">
              <w:rPr>
                <w:rFonts w:ascii="Times New Roman" w:eastAsia="Times New Roman" w:hAnsi="Times New Roman" w:cs="Times New Roman"/>
                <w:lang w:val="es-ES"/>
              </w:rPr>
              <w:t>(Véase también la Acción C3/</w:t>
            </w:r>
            <w:r w:rsidR="008776B8">
              <w:rPr>
                <w:rFonts w:ascii="Times New Roman" w:eastAsia="Times New Roman" w:hAnsi="Times New Roman" w:cs="Times New Roman"/>
                <w:lang w:val="es-ES"/>
              </w:rPr>
              <w:t xml:space="preserve"> )</w:t>
            </w:r>
          </w:p>
          <w:p w:rsidR="00431F85" w:rsidRPr="00625083" w:rsidRDefault="00431F85" w:rsidP="009166B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526197" w:rsidRDefault="00F347AB" w:rsidP="0016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 dic.  del 2019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C35ED" w:rsidRDefault="009C35ED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  <w:p w:rsidR="00526197" w:rsidRPr="00DB45B4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60F0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DB45B4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DB45B4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60F0" w:rsidRPr="00D07DF5" w:rsidTr="00B67A0D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F60F0" w:rsidRPr="00D07DF5" w:rsidTr="00B67A0D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F60F0" w:rsidRPr="00DB45B4" w:rsidRDefault="008F60F0" w:rsidP="008F60F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3.7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  <w:t xml:space="preserve">Interpretación de la </w:t>
                  </w:r>
                  <w:proofErr w:type="spellStart"/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RdP</w:t>
                  </w:r>
                  <w:proofErr w:type="spellEnd"/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8(i) del Consejo y del Art. VI(g)(vii) del Convenio de la OHI</w:t>
                  </w:r>
                </w:p>
              </w:tc>
            </w:tr>
          </w:tbl>
          <w:p w:rsidR="008F60F0" w:rsidRPr="00003894" w:rsidRDefault="008F60F0" w:rsidP="00B67A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8F60F0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DB45B4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Documentos Básicos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003894" w:rsidRDefault="00526197" w:rsidP="007C55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aprobó el proyecto de Decisión propuesto en el Doc. C3-03.7A que se presentará a la Asamblea para su aprobación por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  <w:p w:rsidR="00526197" w:rsidRPr="00003894" w:rsidRDefault="00526197" w:rsidP="007C559B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26197" w:rsidRPr="00003894" w:rsidRDefault="00422314" w:rsidP="007C55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="0052619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F226A9">
              <w:rPr>
                <w:rFonts w:ascii="Times New Roman" w:eastAsia="Times New Roman" w:hAnsi="Times New Roman" w:cs="Times New Roman"/>
                <w:lang w:val="es-ES"/>
              </w:rPr>
              <w:t xml:space="preserve">deberá </w:t>
            </w:r>
            <w:r w:rsidR="00526197" w:rsidRPr="00003894">
              <w:rPr>
                <w:rFonts w:ascii="Times New Roman" w:eastAsia="Times New Roman" w:hAnsi="Times New Roman" w:cs="Times New Roman"/>
                <w:lang w:val="es-ES"/>
              </w:rPr>
              <w:t>preparar</w:t>
            </w:r>
            <w:r w:rsidR="00F226A9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2619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la propuesta del Consejo </w:t>
            </w:r>
            <w:r w:rsidR="00F226A9">
              <w:rPr>
                <w:rFonts w:ascii="Times New Roman" w:eastAsia="Times New Roman" w:hAnsi="Times New Roman" w:cs="Times New Roman"/>
                <w:lang w:val="es-ES"/>
              </w:rPr>
              <w:t>par</w:t>
            </w:r>
            <w:r w:rsidR="00526197" w:rsidRPr="00003894">
              <w:rPr>
                <w:rFonts w:ascii="Times New Roman" w:eastAsia="Times New Roman" w:hAnsi="Times New Roman" w:cs="Times New Roman"/>
                <w:lang w:val="es-ES"/>
              </w:rPr>
              <w:t>a la A-2</w:t>
            </w:r>
            <w:r w:rsidR="00F226A9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52619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para su aprobación por los </w:t>
            </w:r>
            <w:proofErr w:type="spellStart"/>
            <w:r w:rsidR="00526197"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="00526197" w:rsidRPr="0000389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  <w:p w:rsidR="00526197" w:rsidRPr="00003894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003894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26197" w:rsidRPr="00003894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26197" w:rsidRPr="00003894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26197" w:rsidRPr="00003894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26197" w:rsidRPr="00003894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26197" w:rsidRDefault="00526197" w:rsidP="008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DB45B4" w:rsidRDefault="00526197" w:rsidP="009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625083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DB45B4" w:rsidRPr="00003894" w:rsidRDefault="00000D7E" w:rsidP="00DB45B4">
            <w:pPr>
              <w:spacing w:after="0" w:line="276" w:lineRule="auto"/>
              <w:rPr>
                <w:rFonts w:ascii="Times New Roman" w:eastAsia="Calibri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4.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  <w:t>ELEMENTOS SOLICITADOS POR LOS ÓRGANOS SUBSIDIARIOS</w:t>
            </w: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000D7E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4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.1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Informe y propuestas del HSSC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B45B4" w:rsidRPr="00DB45B4" w:rsidTr="00693F96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A9611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2.2 y 4.1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E31E9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Resolución de la OHI </w:t>
            </w:r>
            <w:r w:rsidR="007C559B">
              <w:rPr>
                <w:rFonts w:ascii="Times New Roman" w:eastAsia="Times New Roman" w:hAnsi="Times New Roman" w:cs="Times New Roman"/>
                <w:lang w:val="es-ES"/>
              </w:rPr>
              <w:br/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N.° 2/2007</w:t>
            </w:r>
          </w:p>
          <w:p w:rsidR="00693F96" w:rsidRPr="00003894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93F96" w:rsidRPr="007C559B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7C559B">
              <w:rPr>
                <w:rFonts w:ascii="Times New Roman" w:eastAsia="Times New Roman" w:hAnsi="Times New Roman" w:cs="Times New Roman"/>
                <w:lang w:val="es-ES"/>
              </w:rPr>
              <w:t>M-3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93F96" w:rsidRPr="00003894" w:rsidRDefault="00693F96" w:rsidP="007C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 la adopción de la revisión de la Resolución de la OHI N.° 2/2007, según enmendada - 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Principios y Procedimientos para efectuar cambios a las Normas de la OHI</w:t>
            </w:r>
            <w:r w:rsidR="006F194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(referirse a la CC de la OHI N.° 46/2019).</w:t>
            </w:r>
          </w:p>
          <w:p w:rsidR="00693F96" w:rsidRPr="00003894" w:rsidRDefault="00693F96" w:rsidP="007C559B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93F96" w:rsidRPr="00003894" w:rsidRDefault="00693F96" w:rsidP="0010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incluir esta Resolución revisada en la versión actualizada de la M-3 [Nota: </w:t>
            </w:r>
            <w:r w:rsidR="00A553C6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que debe</w:t>
            </w:r>
            <w:r w:rsidR="001049FA">
              <w:rPr>
                <w:rFonts w:ascii="Times New Roman" w:eastAsia="Times New Roman" w:hAnsi="Times New Roman" w:cs="Times New Roman"/>
                <w:i/>
                <w:lang w:val="es-ES"/>
              </w:rPr>
              <w:t>ría</w:t>
            </w:r>
            <w:r w:rsidR="00A553C6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estar disponible antes de la A-2.</w:t>
            </w:r>
            <w:r w:rsidR="00F347AB" w:rsidRPr="00003894">
              <w:rPr>
                <w:rFonts w:ascii="Times New Roman" w:eastAsia="Times New Roman" w:hAnsi="Times New Roman" w:cs="Times New Roman"/>
                <w:lang w:val="es-ES"/>
              </w:rPr>
              <w:t>]</w:t>
            </w:r>
          </w:p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93F96" w:rsidRPr="00003894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F1947" w:rsidRPr="00003894" w:rsidRDefault="006F194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F1947" w:rsidRPr="00003894" w:rsidRDefault="006F194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93F96" w:rsidRPr="00DB45B4" w:rsidRDefault="00693F96" w:rsidP="007C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1049FA" w:rsidP="007C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 w:rsidR="00E31E92"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  <w:proofErr w:type="spellEnd"/>
          </w:p>
        </w:tc>
      </w:tr>
      <w:tr w:rsidR="006B0506" w:rsidRPr="009443A2" w:rsidTr="00693F96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lastRenderedPageBreak/>
              <w:t>4.1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6B0506" w:rsidRPr="00003894" w:rsidRDefault="006B050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Futuro de la Carta Náutica de papel 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C3/19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B0506" w:rsidRPr="00003894" w:rsidRDefault="006B0506" w:rsidP="009443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del estudio en curso sobre el Futuro de la Carta Náutica de papel (el resultado </w:t>
            </w:r>
            <w:r w:rsidR="009443A2">
              <w:rPr>
                <w:rFonts w:ascii="Times New Roman" w:eastAsia="Times New Roman" w:hAnsi="Times New Roman" w:cs="Times New Roman"/>
                <w:lang w:val="es-ES"/>
              </w:rPr>
              <w:t xml:space="preserve">deberá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ser finalizado </w:t>
            </w:r>
            <w:r w:rsidR="009443A2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en el </w:t>
            </w:r>
            <w:r w:rsidR="009443A2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NCWG-5 y será ratificado en el HSSC-12).</w:t>
            </w:r>
          </w:p>
          <w:p w:rsidR="006B0506" w:rsidRPr="00003894" w:rsidRDefault="006B0506" w:rsidP="00790BF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431F85" w:rsidRPr="00003894" w:rsidRDefault="006B0506" w:rsidP="00790BF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Teniendo en cuenta la gran diversidad de situaciones en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,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encargó al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HSSC</w:t>
            </w:r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que informase en la próxima reunión del Consejo sobre el camino a seguir (las prioridades en las actividades de seguimiento de la producción de cartas </w:t>
            </w:r>
            <w:r w:rsidR="009443A2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papel</w:t>
            </w:r>
            <w:r w:rsidR="009443A2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9443A2">
              <w:rPr>
                <w:rFonts w:ascii="Times New Roman" w:eastAsia="Times New Roman" w:hAnsi="Times New Roman" w:cs="Times New Roman"/>
                <w:lang w:val="es-ES"/>
              </w:rPr>
              <w:t xml:space="preserve">a partir </w:t>
            </w:r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>de</w:t>
            </w:r>
            <w:r w:rsidR="009443A2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las </w:t>
            </w:r>
            <w:proofErr w:type="spellStart"/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>ENCs</w:t>
            </w:r>
            <w:proofErr w:type="spellEnd"/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, por ejemplo, la posterior uniformidad del programa de trabajo de los </w:t>
            </w:r>
            <w:proofErr w:type="spellStart"/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>GTs</w:t>
            </w:r>
            <w:proofErr w:type="spellEnd"/>
            <w:r w:rsidR="00A93C11" w:rsidRPr="00003894">
              <w:rPr>
                <w:rFonts w:ascii="Times New Roman" w:eastAsia="Times New Roman" w:hAnsi="Times New Roman" w:cs="Times New Roman"/>
                <w:lang w:val="es-ES"/>
              </w:rPr>
              <w:t>, la definición de una nueva norma simplificada para cartas de papel que cumplan los requisitos funcionales, el futuro del concepto de Carta INT, etc.).</w:t>
            </w:r>
          </w:p>
          <w:p w:rsidR="00431F85" w:rsidRPr="00003894" w:rsidRDefault="00431F85" w:rsidP="009443A2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B0506" w:rsidRPr="00003894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B0506" w:rsidRPr="00003894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B0506" w:rsidRPr="00003894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B0506" w:rsidRPr="00003894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431F85" w:rsidRPr="00003894" w:rsidRDefault="00431F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431F85" w:rsidRPr="00003894" w:rsidRDefault="00431F85" w:rsidP="009443A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B0506" w:rsidRPr="009443A2" w:rsidRDefault="009443A2" w:rsidP="00790BF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9443A2">
              <w:rPr>
                <w:rFonts w:ascii="Times New Roman" w:eastAsia="Times New Roman" w:hAnsi="Times New Roman" w:cs="Times New Roman"/>
                <w:b/>
                <w:lang w:val="es-ES"/>
              </w:rPr>
              <w:br/>
            </w:r>
            <w:r w:rsidR="00C04ED6" w:rsidRPr="009443A2">
              <w:rPr>
                <w:rFonts w:ascii="Times New Roman" w:eastAsia="Times New Roman" w:hAnsi="Times New Roman" w:cs="Times New Roman"/>
                <w:b/>
                <w:lang w:val="es-ES"/>
              </w:rPr>
              <w:t>HSSC-12</w:t>
            </w:r>
          </w:p>
          <w:p w:rsidR="006B0506" w:rsidRPr="009443A2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4ED6" w:rsidRPr="009443A2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790BF0" w:rsidRDefault="00790BF0" w:rsidP="0079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B0506" w:rsidRPr="009443A2" w:rsidRDefault="006B0506" w:rsidP="0079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9443A2">
              <w:rPr>
                <w:rFonts w:ascii="Times New Roman" w:eastAsia="Times New Roman" w:hAnsi="Times New Roman" w:cs="Times New Roman"/>
                <w:b/>
                <w:lang w:val="es-ES"/>
              </w:rPr>
              <w:t>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6B0506" w:rsidRPr="009443A2" w:rsidRDefault="006B0506" w:rsidP="009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</w:pPr>
            <w:r w:rsidRPr="009443A2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3B5745" w:rsidRPr="00E2513B" w:rsidTr="004F095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003894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Informes y Propuestas del HSSC y del IRCC</w:t>
            </w:r>
            <w:r w:rsidR="004F095C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al C-4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3B5745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C3/20</w:t>
            </w:r>
          </w:p>
          <w:p w:rsidR="003B5745" w:rsidRPr="003B5745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(igual que los anteriores </w:t>
            </w:r>
            <w:r w:rsidR="00790BF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C2/17 y C1/06)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003894" w:rsidRDefault="003B5745" w:rsidP="00790BF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Teniendo en cuenta los plazos entre las reuniones </w:t>
            </w:r>
            <w:r w:rsidR="004F095C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A-2, HSSC-12 e IRCC-12 en el 2020 y la cuenta atrás para la presentación de informes y de propuestas al C-4,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invitó a los Presidentes </w:t>
            </w:r>
            <w:r w:rsidRPr="00790BF0">
              <w:rPr>
                <w:rFonts w:ascii="Times New Roman" w:eastAsia="Times New Roman" w:hAnsi="Times New Roman" w:cs="Times New Roman"/>
                <w:b/>
                <w:lang w:val="es-ES"/>
              </w:rPr>
              <w:t>del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HSSC y del IRCC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preparar las actas de su reunión del 2020,  con el fin de utilizarlas/ presentarlas directamente como informes y propuestas que serán considerados en el C-4.</w:t>
            </w:r>
          </w:p>
          <w:p w:rsidR="00431F85" w:rsidRPr="00003894" w:rsidRDefault="00431F85" w:rsidP="00790BF0">
            <w:pPr>
              <w:spacing w:after="0" w:line="18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>Julio del 20</w:t>
            </w:r>
            <w:r w:rsidR="004F095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3B5745" w:rsidRPr="00E2513B" w:rsidRDefault="003B574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744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960744" w:rsidRPr="00DB45B4" w:rsidRDefault="00960744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960744" w:rsidRPr="00003894" w:rsidRDefault="00960744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Estrategia de Implementación de la S-100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960744" w:rsidRPr="00DB45B4" w:rsidRDefault="0096074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960744" w:rsidRPr="00003894" w:rsidRDefault="00960744" w:rsidP="007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elogió al HSSC y a sus Grupos de Trabajo/Equipos de Proyecto por su trabajo y su contribución al desarrollo de la Estrategia de Implementación de la S-100 y de los Indicadores de Rendimiento aplicables al Plan Estratégico Revisado.</w:t>
            </w:r>
          </w:p>
          <w:p w:rsidR="00431F85" w:rsidRPr="00003894" w:rsidRDefault="00431F85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960744" w:rsidRPr="00003894" w:rsidRDefault="0096074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60744" w:rsidRPr="00DB45B4" w:rsidRDefault="00960744" w:rsidP="0079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  <w:proofErr w:type="spellEnd"/>
          </w:p>
        </w:tc>
      </w:tr>
      <w:tr w:rsidR="006F6E7C" w:rsidRPr="00DB45B4" w:rsidTr="00E214F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6F6E7C" w:rsidRPr="00DB45B4" w:rsidRDefault="000D231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3.5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6F6E7C" w:rsidRPr="00790BF0" w:rsidRDefault="006F6E7C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790BF0">
              <w:rPr>
                <w:rFonts w:ascii="Times New Roman" w:eastAsia="Times New Roman" w:hAnsi="Times New Roman" w:cs="Times New Roman"/>
                <w:lang w:val="es-ES"/>
              </w:rPr>
              <w:t xml:space="preserve">Vitrina de </w:t>
            </w:r>
            <w:r w:rsidR="00790BF0" w:rsidRPr="00790BF0">
              <w:rPr>
                <w:rFonts w:ascii="Times New Roman" w:eastAsia="Times New Roman" w:hAnsi="Times New Roman" w:cs="Times New Roman"/>
                <w:lang w:val="es-ES"/>
              </w:rPr>
              <w:br/>
            </w:r>
            <w:r w:rsidRPr="00790BF0">
              <w:rPr>
                <w:rFonts w:ascii="Times New Roman" w:eastAsia="Times New Roman" w:hAnsi="Times New Roman" w:cs="Times New Roman"/>
                <w:lang w:val="es-ES"/>
              </w:rPr>
              <w:t>la S-100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6F6E7C" w:rsidRPr="00DB45B4" w:rsidRDefault="000D2311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F6E7C" w:rsidRPr="00003894" w:rsidRDefault="006F6E7C" w:rsidP="0079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elogió al Presidente del HSSC, al Presidente del S-100WG, a Canadá, Noruega,</w:t>
            </w:r>
            <w:r w:rsidR="00790BF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la República de Corea y </w:t>
            </w:r>
            <w:r w:rsidR="00790BF0">
              <w:rPr>
                <w:rFonts w:ascii="Times New Roman" w:eastAsia="Times New Roman" w:hAnsi="Times New Roman" w:cs="Times New Roman"/>
                <w:lang w:val="es-ES"/>
              </w:rPr>
              <w:t xml:space="preserve">a 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Estados Unidos por su</w:t>
            </w:r>
            <w:r w:rsidR="00790BF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contribución </w:t>
            </w:r>
            <w:r w:rsidR="00790BF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a la vitrina de la S-100.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F6E7C" w:rsidRPr="00003894" w:rsidRDefault="006F6E7C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6F6E7C" w:rsidRPr="00DB45B4" w:rsidRDefault="000D2311" w:rsidP="0079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  <w:proofErr w:type="spellEnd"/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E37072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lastRenderedPageBreak/>
                    <w:t>4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.2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Informe y propuestas del IRCC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DB45B4" w:rsidRPr="00DB45B4" w:rsidTr="00EF374A">
        <w:trPr>
          <w:cantSplit/>
          <w:trHeight w:val="2927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A9611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2.4 y 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AA2FE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Resolución de la OHI N.° 2/1997</w:t>
            </w:r>
            <w:r w:rsidR="007D57E6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- </w:t>
            </w:r>
            <w:proofErr w:type="spellStart"/>
            <w:r w:rsidR="007D57E6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CHRs</w:t>
            </w:r>
            <w:proofErr w:type="spellEnd"/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F751FB" w:rsidRPr="00003894" w:rsidRDefault="00F751FB" w:rsidP="002601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aprobó las enmiendas propuestas a la Resolución de la OHI N.° 2/1997, según enmendada, incluyendo las correcciones editoriales propuestas por Brasil en el Libro Rojo y las sugerencias de Colombia.</w:t>
            </w:r>
          </w:p>
          <w:p w:rsidR="00C06CF1" w:rsidRPr="00003894" w:rsidRDefault="00C06CF1" w:rsidP="0026015B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C06CF1" w:rsidRPr="00003894" w:rsidRDefault="00824CBF" w:rsidP="00EF37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La Secretaría de la OHI </w:t>
            </w:r>
            <w:r w:rsidRPr="009A2941">
              <w:rPr>
                <w:rFonts w:ascii="Times New Roman" w:eastAsia="Times New Roman" w:hAnsi="Times New Roman" w:cs="Times New Roman"/>
                <w:lang w:val="es-ES"/>
              </w:rPr>
              <w:t xml:space="preserve">deberá someter la propuesta del Consejo a la A-2 para su aprobación por </w:t>
            </w:r>
            <w:r w:rsidR="00EF374A">
              <w:rPr>
                <w:rFonts w:ascii="Times New Roman" w:eastAsia="Times New Roman" w:hAnsi="Times New Roman" w:cs="Times New Roman"/>
                <w:lang w:val="es-ES"/>
              </w:rPr>
              <w:t>lo</w:t>
            </w:r>
            <w:r w:rsidRPr="009A2941">
              <w:rPr>
                <w:rFonts w:ascii="Times New Roman" w:eastAsia="Times New Roman" w:hAnsi="Times New Roman" w:cs="Times New Roman"/>
                <w:lang w:val="es-ES"/>
              </w:rPr>
              <w:t xml:space="preserve">s </w:t>
            </w:r>
            <w:proofErr w:type="spellStart"/>
            <w:r w:rsidRPr="009A2941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="00EF374A">
              <w:rPr>
                <w:rFonts w:ascii="Times New Roman" w:eastAsia="Times New Roman" w:hAnsi="Times New Roman" w:cs="Times New Roman"/>
                <w:lang w:val="es-ES"/>
              </w:rPr>
              <w:t>Ms</w:t>
            </w:r>
            <w:proofErr w:type="spellEnd"/>
            <w:r w:rsidRPr="009A2941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F751FB" w:rsidRPr="00003894" w:rsidRDefault="00F751F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661AE" w:rsidRPr="00003894" w:rsidRDefault="00D661A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D41CD" w:rsidRPr="00003894" w:rsidRDefault="00CD41C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24CBF" w:rsidRPr="00003894" w:rsidRDefault="00824CB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C06CF1" w:rsidRPr="00003894" w:rsidRDefault="00C06CF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A553C6" w:rsidRPr="00003894" w:rsidRDefault="00A553C6" w:rsidP="00EF374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661AE" w:rsidRPr="00DB45B4" w:rsidRDefault="00C06CF1" w:rsidP="002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F751FB" w:rsidP="009A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6CF1" w:rsidRPr="00DB45B4" w:rsidRDefault="00C06CF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AC601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B35ABE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Fondo CB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64204" w:rsidRPr="00003894" w:rsidRDefault="002A0B7A" w:rsidP="00EF37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423B00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reconoció la necesidad continua de creación de capacidades, pero se negó a ratificar la propuesta de un nivel mínimo garantizado de fondos CB de la OHI debido a la necesidad de reconsiderar todos los elementos del presupuesto juntos.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64204" w:rsidRPr="0000389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64204" w:rsidRPr="0000389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64204" w:rsidRPr="0000389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564204" w:rsidRPr="0000389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B35ABE" w:rsidP="00EF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74A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Pr="00DB45B4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182F" w:rsidRPr="00DB45B4" w:rsidTr="0085713B">
        <w:trPr>
          <w:cantSplit/>
          <w:trHeight w:val="3211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Actividades CB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1B215C" w:rsidRPr="00003894" w:rsidRDefault="00CD41CD" w:rsidP="008571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invitó al IRCC a dar instrucciones al CBSC </w:t>
            </w:r>
            <w:r w:rsidR="0085713B">
              <w:rPr>
                <w:rFonts w:ascii="Times New Roman" w:eastAsia="Times New Roman" w:hAnsi="Times New Roman" w:cs="Times New Roman"/>
                <w:lang w:val="es-ES"/>
              </w:rPr>
              <w:t xml:space="preserve">para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desarrollar un sistema de indicadores de rendimiento </w:t>
            </w:r>
            <w:r w:rsidR="0085713B">
              <w:rPr>
                <w:rFonts w:ascii="Times New Roman" w:eastAsia="Times New Roman" w:hAnsi="Times New Roman" w:cs="Times New Roman"/>
                <w:lang w:val="es-ES"/>
              </w:rPr>
              <w:t xml:space="preserve">a fin de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medir, bajo la dirección del CBSC y de acuerdo con el Plan Estratégico Revisado, la efectividad y</w:t>
            </w:r>
            <w:r w:rsidR="0085713B">
              <w:rPr>
                <w:rFonts w:ascii="Times New Roman" w:eastAsia="Times New Roman" w:hAnsi="Times New Roman" w:cs="Times New Roman"/>
                <w:lang w:val="es-ES"/>
              </w:rPr>
              <w:t xml:space="preserve"> la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eficiencia de las actividades CB. Este sistema debería estar orientado por los efectos esperados del apoyo CB, no sobre el logro de las actividades CB.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1B215C" w:rsidP="008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85713B">
        <w:trPr>
          <w:cantSplit/>
          <w:trHeight w:val="1980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270B5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800289" w:rsidP="0080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B-12 - </w:t>
            </w:r>
            <w:r w:rsidRPr="0085713B">
              <w:rPr>
                <w:rFonts w:ascii="Times New Roman" w:eastAsia="Times New Roman" w:hAnsi="Times New Roman" w:cs="Times New Roman"/>
                <w:i/>
                <w:lang w:val="es-ES"/>
              </w:rPr>
              <w:t>Directrices de la OHI sobre Batimetría Participativa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8571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270B53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del resultado de la CC de la OHI N.° 11/2019 (CC de la OHI N.° 47/2019) y animó a los </w:t>
            </w:r>
            <w:r w:rsidR="00270B53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Estados Miembros</w:t>
            </w:r>
            <w:r w:rsidR="00270B53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revisar su respectiva posición nacional y a informa</w:t>
            </w:r>
            <w:r w:rsidR="0085713B">
              <w:rPr>
                <w:rFonts w:ascii="Times New Roman" w:eastAsia="Times New Roman" w:hAnsi="Times New Roman" w:cs="Times New Roman"/>
                <w:lang w:val="es-ES"/>
              </w:rPr>
              <w:t xml:space="preserve">r a la Secretaría de la OHI y  </w:t>
            </w:r>
            <w:r w:rsidR="00270B53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ponerla al día, según sea necesario.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B50CE8" w:rsidP="008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Permanente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7A85" w:rsidRPr="00DB45B4" w:rsidTr="006226D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E7A85" w:rsidRPr="0085713B" w:rsidRDefault="00FE7A8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85713B">
              <w:rPr>
                <w:rFonts w:ascii="Times New Roman" w:eastAsia="Times New Roman" w:hAnsi="Times New Roman" w:cs="Times New Roman"/>
                <w:lang w:val="es-ES"/>
              </w:rPr>
              <w:t>Batimetría Participativa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FE7A85" w:rsidRPr="00003894" w:rsidRDefault="00CD41CD" w:rsidP="008571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Con respecto a la batimetría participativa,</w:t>
            </w:r>
            <w:r w:rsidR="00FE7A85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el Consejo</w:t>
            </w:r>
            <w:r w:rsidR="00FE7A85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animó al </w:t>
            </w:r>
            <w:r w:rsidR="00FE7A85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IRCC</w:t>
            </w:r>
            <w:r w:rsidR="00FE7A85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establecer un procedimiento de gestión y de supervisión proactivo del flujo de datos entre las partes interesadas implicadas en la batimetría participativa, especialmente como parte del apoyo brindado al Proyecto GEBCO </w:t>
            </w:r>
            <w:proofErr w:type="spellStart"/>
            <w:r w:rsidR="00FE7A85" w:rsidRPr="009D7646">
              <w:rPr>
                <w:rFonts w:ascii="Times New Roman" w:eastAsia="Times New Roman" w:hAnsi="Times New Roman" w:cs="Times New Roman"/>
                <w:i/>
                <w:lang w:val="es-ES"/>
              </w:rPr>
              <w:t>Seabed</w:t>
            </w:r>
            <w:proofErr w:type="spellEnd"/>
            <w:r w:rsidR="00FE7A85" w:rsidRPr="009D7646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2030</w:t>
            </w:r>
            <w:r w:rsidR="00FE7A85" w:rsidRPr="0000389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85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32D4" w:rsidRPr="00DB45B4" w:rsidTr="002952A2">
        <w:trPr>
          <w:cantSplit/>
          <w:trHeight w:val="2796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032D4" w:rsidRDefault="00D032D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lastRenderedPageBreak/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003894" w:rsidRDefault="00D85FCE" w:rsidP="0080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Resolución de la OHI N.° 1/2005 - </w:t>
            </w:r>
            <w:r w:rsidR="00D032D4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Respuesta de la OHI a los desastres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032D4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003894" w:rsidRDefault="00D032D4" w:rsidP="0029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El Consejo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ratificó las enmiendas propuestas a la Resolución de la OHI N.° 1/2005 según enmendada, incluyendo las correcciones editoriales propuestas por Brasil en el Libro Rojo.</w:t>
            </w:r>
          </w:p>
          <w:p w:rsidR="00D032D4" w:rsidRPr="00003894" w:rsidRDefault="00D032D4" w:rsidP="002952A2">
            <w:pPr>
              <w:spacing w:after="0" w:line="14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D032D4" w:rsidRPr="00003894" w:rsidRDefault="0026472D" w:rsidP="002952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="00D032D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someter la propuesta del Consejo a la A-2 para su aprobación por los </w:t>
            </w:r>
            <w:proofErr w:type="spellStart"/>
            <w:r w:rsidR="00D032D4" w:rsidRPr="00003894">
              <w:rPr>
                <w:rFonts w:ascii="Times New Roman" w:eastAsia="Times New Roman" w:hAnsi="Times New Roman" w:cs="Times New Roman"/>
                <w:lang w:val="es-ES"/>
              </w:rPr>
              <w:t>E</w:t>
            </w:r>
            <w:r w:rsidR="002952A2">
              <w:rPr>
                <w:rFonts w:ascii="Times New Roman" w:eastAsia="Times New Roman" w:hAnsi="Times New Roman" w:cs="Times New Roman"/>
                <w:lang w:val="es-ES"/>
              </w:rPr>
              <w:t>Ms</w:t>
            </w:r>
            <w:proofErr w:type="spellEnd"/>
            <w:r w:rsidR="00D032D4" w:rsidRPr="0000389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00389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032D4" w:rsidRPr="0000389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032D4" w:rsidRPr="0000389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032D4" w:rsidRPr="0000389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26472D" w:rsidRPr="00003894" w:rsidRDefault="0026472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032D4" w:rsidRPr="0000389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032D4" w:rsidRPr="00003894" w:rsidRDefault="00D032D4" w:rsidP="002952A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D032D4" w:rsidRDefault="00D032D4" w:rsidP="0029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DB45B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65FB" w:rsidRPr="00DB45B4" w:rsidTr="00DF10B0">
        <w:trPr>
          <w:cantSplit/>
          <w:trHeight w:val="1970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3765FB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3765FB" w:rsidRDefault="003765FB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RENCs, </w:t>
            </w:r>
            <w:r w:rsidR="00D032D4">
              <w:rPr>
                <w:rFonts w:ascii="Times New Roman" w:eastAsia="Times New Roman" w:hAnsi="Times New Roman" w:cs="Times New Roman"/>
              </w:rPr>
              <w:t>RECC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3765FB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C3/29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003894" w:rsidRDefault="003765FB" w:rsidP="00DF10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elogió a los </w:t>
            </w:r>
            <w:proofErr w:type="spellStart"/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>RENCs</w:t>
            </w:r>
            <w:proofErr w:type="spellEnd"/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por el apoyo continuo a los productores de </w:t>
            </w:r>
            <w:proofErr w:type="spellStart"/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>ENCs</w:t>
            </w:r>
            <w:proofErr w:type="spellEnd"/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y a las comunidades de usuarios y al Centro Regional de Coordinación de </w:t>
            </w:r>
            <w:r w:rsidR="006A7A2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>ENCs</w:t>
            </w:r>
            <w:proofErr w:type="spellEnd"/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6A7A2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(RECC) de la </w:t>
            </w:r>
            <w:r w:rsidR="006A7A2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>CHAO</w:t>
            </w:r>
            <w:r w:rsidR="006A7A2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por </w:t>
            </w:r>
            <w:r w:rsidR="006A7A2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su progreso </w:t>
            </w:r>
            <w:r w:rsidR="006A7A2A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64204" w:rsidRPr="00003894">
              <w:rPr>
                <w:rFonts w:ascii="Times New Roman" w:eastAsia="Times New Roman" w:hAnsi="Times New Roman" w:cs="Times New Roman"/>
                <w:lang w:val="es-ES"/>
              </w:rPr>
              <w:t>en el establecimiento de sus operaciones.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3765FB" w:rsidRPr="00003894" w:rsidRDefault="003765FB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3765FB" w:rsidRPr="00DB45B4" w:rsidRDefault="003765FB" w:rsidP="00B9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EA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D032D4" w:rsidRPr="00DB45B4" w:rsidTr="00624BCA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B95DEA" w:rsidRDefault="00D032D4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B95DEA">
              <w:rPr>
                <w:rFonts w:ascii="Times New Roman" w:eastAsia="Times New Roman" w:hAnsi="Times New Roman" w:cs="Times New Roman"/>
                <w:lang w:val="es-ES"/>
              </w:rPr>
              <w:t>Coordinadores CB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B95DEA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B95DEA">
              <w:rPr>
                <w:rFonts w:ascii="Times New Roman" w:eastAsia="Times New Roman" w:hAnsi="Times New Roman" w:cs="Times New Roman"/>
                <w:lang w:val="es-ES"/>
              </w:rPr>
              <w:t>C3/30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B95DEA" w:rsidRDefault="00D032D4" w:rsidP="00DF10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B95DEA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B95DEA">
              <w:rPr>
                <w:rFonts w:ascii="Times New Roman" w:eastAsia="Times New Roman" w:hAnsi="Times New Roman" w:cs="Times New Roman"/>
                <w:lang w:val="es-ES"/>
              </w:rPr>
              <w:t xml:space="preserve"> elogió a los Coordinadores CB por su trabajo. </w:t>
            </w:r>
          </w:p>
          <w:p w:rsidR="00D032D4" w:rsidRPr="00B95DEA" w:rsidRDefault="00D032D4" w:rsidP="00DF10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B95DEA" w:rsidRDefault="00D032D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B95DEA" w:rsidRDefault="00D032D4" w:rsidP="006A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</w:pPr>
            <w:r w:rsidRPr="00B95DEA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D032D4" w:rsidRPr="00DB45B4" w:rsidTr="00624BCA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032D4" w:rsidRDefault="00D032D4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IBSC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032D4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003894" w:rsidRDefault="0010591C" w:rsidP="00DF10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elogió al IBSC por el trabajo realizado, en particular con la entrega del nuevo documento complementario 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Directrices para la implementación de </w:t>
            </w:r>
            <w:r w:rsidR="00DF10B0">
              <w:rPr>
                <w:rFonts w:ascii="Times New Roman" w:eastAsia="Times New Roman" w:hAnsi="Times New Roman" w:cs="Times New Roman"/>
                <w:i/>
                <w:lang w:val="es-ES"/>
              </w:rPr>
              <w:t>las Normas de Competencia para H</w:t>
            </w:r>
            <w:r w:rsidR="00631CE3">
              <w:rPr>
                <w:rFonts w:ascii="Times New Roman" w:eastAsia="Times New Roman" w:hAnsi="Times New Roman" w:cs="Times New Roman"/>
                <w:i/>
                <w:lang w:val="es-ES"/>
              </w:rPr>
              <w:t>idrógrafos y Cartógrafos N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áuticos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(Ed. 2.1.0 - mayo del 2019).</w:t>
            </w:r>
          </w:p>
          <w:p w:rsidR="0010591C" w:rsidRPr="00003894" w:rsidRDefault="0010591C" w:rsidP="00631CE3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003894" w:rsidRDefault="00D032D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032D4" w:rsidRPr="00DB45B4" w:rsidRDefault="00331032" w:rsidP="00DF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10B0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331032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331032" w:rsidRPr="00DB45B4" w:rsidRDefault="0033103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331032" w:rsidRPr="00DB45B4" w:rsidRDefault="0033103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331032" w:rsidRPr="00DB45B4" w:rsidRDefault="00331032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331032" w:rsidRPr="00003894" w:rsidRDefault="00331032" w:rsidP="00631CE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44267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aprobó la propuesta del IRCC, que indicaba que era necesaria la transición de WEND a WENS</w:t>
            </w:r>
            <w:r w:rsidR="00631CE3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44267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 y aprobó los principios para ampliar el alcance del WENDW</w:t>
            </w:r>
            <w:r w:rsidR="00631CE3">
              <w:rPr>
                <w:rFonts w:ascii="Times New Roman" w:eastAsia="Times New Roman" w:hAnsi="Times New Roman" w:cs="Times New Roman"/>
                <w:lang w:val="es-ES"/>
              </w:rPr>
              <w:t xml:space="preserve">G para que incluya el concepto  « WENS » </w:t>
            </w:r>
            <w:r w:rsidR="0044267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(Productos</w:t>
            </w:r>
            <w:r w:rsidR="00631CE3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44267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S-1xx) y </w:t>
            </w:r>
            <w:r w:rsidR="00631CE3">
              <w:rPr>
                <w:rFonts w:ascii="Times New Roman" w:eastAsia="Times New Roman" w:hAnsi="Times New Roman" w:cs="Times New Roman"/>
                <w:lang w:val="es-ES"/>
              </w:rPr>
              <w:t xml:space="preserve">para </w:t>
            </w:r>
            <w:r w:rsidR="0044267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que el WENDWG coordine con el HSSC y </w:t>
            </w:r>
            <w:r w:rsidR="00631CE3">
              <w:rPr>
                <w:rFonts w:ascii="Times New Roman" w:eastAsia="Times New Roman" w:hAnsi="Times New Roman" w:cs="Times New Roman"/>
                <w:lang w:val="es-ES"/>
              </w:rPr>
              <w:t xml:space="preserve">con </w:t>
            </w:r>
            <w:r w:rsidR="0044267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sus </w:t>
            </w:r>
            <w:proofErr w:type="spellStart"/>
            <w:r w:rsidR="00442674" w:rsidRPr="00003894">
              <w:rPr>
                <w:rFonts w:ascii="Times New Roman" w:eastAsia="Times New Roman" w:hAnsi="Times New Roman" w:cs="Times New Roman"/>
                <w:lang w:val="es-ES"/>
              </w:rPr>
              <w:t>GTs</w:t>
            </w:r>
            <w:proofErr w:type="spellEnd"/>
            <w:r w:rsidR="00631CE3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44267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según corresponda.</w:t>
            </w:r>
          </w:p>
          <w:p w:rsidR="0039073B" w:rsidRPr="00003894" w:rsidRDefault="0039073B" w:rsidP="00631CE3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331032" w:rsidRPr="00003894" w:rsidRDefault="00331032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331032" w:rsidRPr="00DB45B4" w:rsidRDefault="00331032" w:rsidP="00DF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10B0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DB45B4" w:rsidRPr="00DB45B4" w:rsidTr="009A550A">
        <w:trPr>
          <w:cantSplit/>
          <w:trHeight w:val="3930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27294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lastRenderedPageBreak/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27294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ED4A85" w:rsidP="009A55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invitó al </w:t>
            </w:r>
            <w:r w:rsidR="00331032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IRCC</w:t>
            </w:r>
            <w:r w:rsidR="00331032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dar instrucciones al WENDWG para que redactase nuevos </w:t>
            </w:r>
            <w:proofErr w:type="spellStart"/>
            <w:r w:rsidR="00331032" w:rsidRPr="00003894">
              <w:rPr>
                <w:rFonts w:ascii="Times New Roman" w:eastAsia="Times New Roman" w:hAnsi="Times New Roman" w:cs="Times New Roman"/>
                <w:lang w:val="es-ES"/>
              </w:rPr>
              <w:t>TdRs</w:t>
            </w:r>
            <w:proofErr w:type="spellEnd"/>
            <w:r w:rsidR="00331032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en consecuencia y para que sometiese un proyecto de Principios WENS (nuevo proyecto de Resolución de la OHI) </w:t>
            </w:r>
            <w:r w:rsidR="000437D2">
              <w:rPr>
                <w:rFonts w:ascii="Times New Roman" w:eastAsia="Times New Roman" w:hAnsi="Times New Roman" w:cs="Times New Roman"/>
                <w:lang w:val="es-ES"/>
              </w:rPr>
              <w:t xml:space="preserve">que sea </w:t>
            </w:r>
            <w:r w:rsidR="00331032" w:rsidRPr="00003894">
              <w:rPr>
                <w:rFonts w:ascii="Times New Roman" w:eastAsia="Times New Roman" w:hAnsi="Times New Roman" w:cs="Times New Roman"/>
                <w:lang w:val="es-ES"/>
              </w:rPr>
              <w:t>coherente con la Hoja de Ruta de la  S-100</w:t>
            </w:r>
            <w:r w:rsidR="000437D2">
              <w:rPr>
                <w:rFonts w:ascii="Times New Roman" w:eastAsia="Times New Roman" w:hAnsi="Times New Roman" w:cs="Times New Roman"/>
                <w:lang w:val="es-ES"/>
              </w:rPr>
              <w:t>, para su ratificaci</w:t>
            </w:r>
            <w:r w:rsidR="00331032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ón por el </w:t>
            </w:r>
            <w:r w:rsidR="007620CF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IRCC</w:t>
            </w:r>
            <w:r w:rsidR="00705F05" w:rsidRPr="0000389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  <w:p w:rsidR="00EE05CF" w:rsidRPr="00003894" w:rsidRDefault="00EE05CF" w:rsidP="009A550A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ED4A85" w:rsidRPr="00003894" w:rsidRDefault="00ED4A85" w:rsidP="009A55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IRCC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someter estos nuevos Principios WENS (nuevo proyecto de Resolución de la OHI) para su ratificación por el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antes de la aprobación de los Estados Miembros.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331032" w:rsidP="000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WENDWG-10/IRCC-12</w:t>
            </w: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Pr="00DB45B4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 (- 3 meses)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4A85" w:rsidRPr="00DB45B4" w:rsidTr="000437D2">
        <w:trPr>
          <w:cantSplit/>
          <w:trHeight w:val="1972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ED4A85" w:rsidRDefault="00ED4A85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ED4A85" w:rsidRDefault="00ED4A85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Principios WEND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ED4A85" w:rsidRDefault="00ED4A8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ED4A85" w:rsidRPr="00003894" w:rsidRDefault="00ED4A85" w:rsidP="0004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convino que era más apropiado mantener los 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Principios WEND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actuales y sus </w:t>
            </w:r>
            <w:r w:rsidR="000437D2">
              <w:rPr>
                <w:rFonts w:ascii="Times New Roman" w:eastAsia="Times New Roman" w:hAnsi="Times New Roman" w:cs="Times New Roman"/>
                <w:i/>
                <w:lang w:val="es-ES"/>
              </w:rPr>
              <w:t>Directrices para su</w:t>
            </w:r>
            <w:r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Implementación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en la M-3 tal y como están, po</w:t>
            </w:r>
            <w:r w:rsidR="000437D2">
              <w:rPr>
                <w:rFonts w:ascii="Times New Roman" w:eastAsia="Times New Roman" w:hAnsi="Times New Roman" w:cs="Times New Roman"/>
                <w:lang w:val="es-ES"/>
              </w:rPr>
              <w:t xml:space="preserve">r el momento al menos hasta el «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ocaso de la producción d</w:t>
            </w:r>
            <w:r w:rsidR="000437D2">
              <w:rPr>
                <w:rFonts w:ascii="Times New Roman" w:eastAsia="Times New Roman" w:hAnsi="Times New Roman" w:cs="Times New Roman"/>
                <w:lang w:val="es-ES"/>
              </w:rPr>
              <w:t xml:space="preserve">e </w:t>
            </w:r>
            <w:proofErr w:type="spellStart"/>
            <w:r w:rsidR="000437D2">
              <w:rPr>
                <w:rFonts w:ascii="Times New Roman" w:eastAsia="Times New Roman" w:hAnsi="Times New Roman" w:cs="Times New Roman"/>
                <w:lang w:val="es-ES"/>
              </w:rPr>
              <w:t>ENCs</w:t>
            </w:r>
            <w:proofErr w:type="spellEnd"/>
            <w:r w:rsidR="000437D2">
              <w:rPr>
                <w:rFonts w:ascii="Times New Roman" w:eastAsia="Times New Roman" w:hAnsi="Times New Roman" w:cs="Times New Roman"/>
                <w:lang w:val="es-ES"/>
              </w:rPr>
              <w:t xml:space="preserve"> en la S-57 »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ED4A85" w:rsidRPr="00003894" w:rsidRDefault="00ED4A85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ED4A85" w:rsidRPr="00DB45B4" w:rsidRDefault="00ED4A85" w:rsidP="009A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50A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F20D73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20D73" w:rsidRDefault="00EE05C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20D73" w:rsidRDefault="00EE05C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20D73" w:rsidRDefault="00EE05C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F20D73" w:rsidRPr="00003894" w:rsidRDefault="00EE05CF" w:rsidP="000437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Presidente del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incluir un informe de progreso sobre la transición de WEND a WENS en su informe a la A-2.</w:t>
            </w:r>
          </w:p>
          <w:p w:rsidR="00906EED" w:rsidRPr="00003894" w:rsidRDefault="00906EED" w:rsidP="000437D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20D73" w:rsidRPr="00DB45B4" w:rsidRDefault="00906EE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20D73" w:rsidRPr="00DB45B4" w:rsidRDefault="00F20D73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156C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B156C" w:rsidRPr="00DB45B4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00389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5.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  <w:t>PROGRAMA DE TRABAJO Y PRESUPUESTO ANUALES DE LA OHI</w:t>
            </w: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5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.1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s-ES"/>
              </w:rPr>
              <w:t>Revisión del estado financiero actual de la OHI</w:t>
            </w:r>
          </w:p>
        </w:tc>
      </w:tr>
      <w:tr w:rsidR="00DB45B4" w:rsidRPr="00DB45B4" w:rsidTr="000437D2">
        <w:trPr>
          <w:cantSplit/>
          <w:trHeight w:val="766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Estado financiero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0437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 la información proporcionada sobre el estado financiero actual.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0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7D2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0437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003894" w:rsidRDefault="00C7187C" w:rsidP="000E0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5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.2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s-ES"/>
              </w:rPr>
              <w:t>Propuesta de Programa de Trabajo de la OHI para el 2020</w:t>
            </w:r>
          </w:p>
        </w:tc>
      </w:tr>
      <w:tr w:rsidR="00DB45B4" w:rsidRPr="00DB45B4" w:rsidTr="000437D2">
        <w:trPr>
          <w:cantSplit/>
          <w:trHeight w:val="2713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Programa de Trabajo y Prioridades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2F3FC5" w:rsidRPr="00003894" w:rsidRDefault="00DB45B4" w:rsidP="0004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7362A3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aprobó las prioridades clave identificadas por el Secretario General de la OHI, el Presidente del HSSC y el Presidente del IRCC</w:t>
            </w:r>
            <w:r w:rsidR="009272A7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[Según se informa explícitamente en la sección 5.2 del Informe resumido del C-3].</w:t>
            </w:r>
          </w:p>
          <w:p w:rsidR="00DF766F" w:rsidRPr="00003894" w:rsidRDefault="009272A7" w:rsidP="0004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... y aprobó el Programa de Trabajo de la OHI para el 2020</w:t>
            </w:r>
            <w:r w:rsidR="000437D2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0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7D2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824888" w:rsidRPr="00DB45B4" w:rsidTr="009A0CA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5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Programa de Trabajo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24888" w:rsidRDefault="00727CC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C3/38</w:t>
            </w:r>
          </w:p>
          <w:p w:rsidR="00824888" w:rsidRPr="00C7187C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24888" w:rsidRDefault="00824888" w:rsidP="0004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La </w:t>
            </w:r>
            <w:r w:rsidR="00692198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Secretaría de la OHI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publicar una CC de la OHI que pondrá a disposición de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 la OHI el Programa de Trabajo</w:t>
            </w:r>
            <w:r w:rsidR="000437D2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según fue aprobado por el Consejo.</w:t>
            </w:r>
          </w:p>
          <w:p w:rsidR="000437D2" w:rsidRPr="00003894" w:rsidRDefault="000437D2" w:rsidP="0004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Permanente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62A3" w:rsidRPr="007D2E27" w:rsidTr="007D2E27">
        <w:trPr>
          <w:cantSplit/>
          <w:trHeight w:val="2371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362A3" w:rsidRPr="00DB45B4" w:rsidRDefault="007362A3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362A3" w:rsidRPr="00003894" w:rsidRDefault="007362A3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Tema para el Día Mundial de la Hidrografía</w:t>
            </w:r>
            <w:r w:rsidR="0082488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del 2020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362A3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C3/39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15362A" w:rsidRDefault="007362A3" w:rsidP="007D2E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del tema propuesto </w:t>
            </w:r>
            <w:r w:rsidR="007D2E27" w:rsidRPr="00003894">
              <w:rPr>
                <w:rFonts w:ascii="Times New Roman" w:eastAsia="Times New Roman" w:hAnsi="Times New Roman" w:cs="Times New Roman"/>
                <w:lang w:val="es-ES"/>
              </w:rPr>
              <w:t>por el Secretario General</w:t>
            </w:r>
            <w:r w:rsidR="007D2E27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para el Día Mundial de la Hidrografía del 2020: </w:t>
            </w:r>
            <w:r w:rsidR="007D2E27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« </w:t>
            </w:r>
            <w:r w:rsidR="0015362A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La Hidrografía - propicia para las tecnologías autónomas</w:t>
            </w:r>
            <w:r w:rsidR="007D2E27">
              <w:rPr>
                <w:rFonts w:ascii="Times New Roman" w:eastAsia="Times New Roman" w:hAnsi="Times New Roman" w:cs="Times New Roman"/>
                <w:i/>
                <w:lang w:val="es-ES"/>
              </w:rPr>
              <w:t>. »</w:t>
            </w:r>
          </w:p>
          <w:p w:rsidR="007D2E27" w:rsidRPr="00003894" w:rsidRDefault="007D2E27" w:rsidP="007D2E2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7362A3" w:rsidRPr="00003894" w:rsidRDefault="00806D99" w:rsidP="007D2E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color w:val="FF0000"/>
                <w:lang w:val="es-ES"/>
              </w:rPr>
              <w:t>La Secretaría de la OHI</w:t>
            </w:r>
            <w:r w:rsidRPr="00003894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 xml:space="preserve"> deberá difundir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el tema del 2020 a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 la OHI por Carta Circular.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362A3" w:rsidRPr="00003894" w:rsidRDefault="007362A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06D99" w:rsidRPr="0000389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06D99" w:rsidRPr="0000389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06D99" w:rsidRPr="0000389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06D99" w:rsidRPr="0000389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06D99" w:rsidRPr="00003894" w:rsidRDefault="00806D99" w:rsidP="00331E46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06D99" w:rsidRPr="007D2E27" w:rsidRDefault="00806D99" w:rsidP="007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7D2E27">
              <w:rPr>
                <w:rFonts w:ascii="Times New Roman" w:eastAsia="Times New Roman" w:hAnsi="Times New Roman" w:cs="Times New Roman"/>
                <w:b/>
                <w:color w:val="FF0000"/>
                <w:lang w:val="es-ES"/>
              </w:rPr>
              <w:t>15 de nov.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362A3" w:rsidRPr="007D2E27" w:rsidRDefault="007362A3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0E0AAA" w:rsidRPr="007D2E27" w:rsidTr="009A0CA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7D2E27" w:rsidRDefault="000E0AAA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7D2E27" w:rsidRDefault="000E0AAA" w:rsidP="009A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7D2E27" w:rsidRDefault="000E0AAA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7D2E27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ES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003894" w:rsidRDefault="00C7187C" w:rsidP="000E0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5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.3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</w:r>
            <w:r w:rsidR="000E0AAA">
              <w:rPr>
                <w:rFonts w:ascii="Times New Roman" w:eastAsia="Times New Roman" w:hAnsi="Times New Roman" w:cs="Times New Roman"/>
                <w:b/>
                <w:lang w:val="es-ES"/>
              </w:rPr>
              <w:t>Propuesta de Presupuesto de la OHI para el 2020</w:t>
            </w:r>
          </w:p>
        </w:tc>
      </w:tr>
      <w:tr w:rsidR="00DB45B4" w:rsidRPr="00DB45B4" w:rsidTr="000E0AAA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7D2E27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7D2E27">
              <w:rPr>
                <w:rFonts w:ascii="Times New Roman" w:eastAsia="Times New Roman" w:hAnsi="Times New Roman" w:cs="Times New Roman"/>
                <w:lang w:val="es-ES"/>
              </w:rPr>
              <w:t>Presupuesto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0E0AAA" w:rsidP="00EE76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Observando el impacto de los reembolsos médicos en el presupuesto de la OHI y reconociendo las medidas tomadas y planificadas por el Secretario General,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el Consejo</w:t>
            </w:r>
            <w:r w:rsidR="00B31F1D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aprobó el proyecto de presupuesto de la OHI para el 2020.</w:t>
            </w:r>
          </w:p>
          <w:p w:rsidR="00761DA0" w:rsidRPr="00003894" w:rsidRDefault="00761DA0" w:rsidP="00EE7648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EE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648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A006C4" w:rsidRPr="00DB45B4" w:rsidTr="00EE7648">
        <w:trPr>
          <w:cantSplit/>
          <w:trHeight w:val="1633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Presupuesto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003894" w:rsidRDefault="00A006C4" w:rsidP="00EE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 las compensaciones de los aumentos en las primas de seguros médicos, en particular la reducción de los gastos de viaje</w:t>
            </w:r>
            <w:r w:rsidR="00EE7648">
              <w:rPr>
                <w:rFonts w:ascii="Times New Roman" w:eastAsia="Times New Roman" w:hAnsi="Times New Roman" w:cs="Times New Roman"/>
                <w:lang w:val="es-ES"/>
              </w:rPr>
              <w:t>s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y las consecuencias del seguimiento.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003894" w:rsidRDefault="00A006C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EE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648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A006C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Presupuesto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006C4" w:rsidRDefault="00A006C4" w:rsidP="00EE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 las asignaciones efectuadas al Fondo de Creación de Capacidades y al Fondo de Proyectos Especiales.</w:t>
            </w:r>
          </w:p>
          <w:p w:rsidR="00EE7648" w:rsidRPr="00003894" w:rsidRDefault="00EE7648" w:rsidP="00A0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003894" w:rsidRDefault="00A006C4" w:rsidP="00A0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006C4" w:rsidRPr="00DB45B4" w:rsidRDefault="00A006C4" w:rsidP="00EE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648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7975B6" w:rsidRPr="00D07DF5" w:rsidTr="00D808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975B6" w:rsidRPr="00003894" w:rsidRDefault="007975B6" w:rsidP="007975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5.4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Propuesta de Presupuesto y de Programa de Trabajo trienales de la OHI </w:t>
            </w:r>
          </w:p>
        </w:tc>
      </w:tr>
      <w:tr w:rsidR="007975B6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Programa y </w:t>
            </w:r>
            <w:r w:rsidRPr="00DB45B4">
              <w:rPr>
                <w:rFonts w:ascii="Times New Roman" w:eastAsia="Times New Roman" w:hAnsi="Times New Roman" w:cs="Times New Roman"/>
              </w:rPr>
              <w:t>Presupuesto trienales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003894" w:rsidRDefault="007975B6" w:rsidP="00CF5B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39073B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ratificó la propuesta de Programa de Trabajo trienal de la OHI y convino mantener la estructura actual del Programa de Trabajo en el marco del Plan Estratégico Revisado para facilitar el trabajo operativo y la implementación por parte de la Secretaría.</w:t>
            </w:r>
          </w:p>
          <w:p w:rsidR="0039073B" w:rsidRPr="00003894" w:rsidRDefault="0039073B" w:rsidP="00CF5BC5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39073B" w:rsidRPr="00003894" w:rsidRDefault="00422314" w:rsidP="00CF5B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="0039073B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someter la propuesta a la A-2 para su aprobación por los </w:t>
            </w:r>
            <w:proofErr w:type="spellStart"/>
            <w:r w:rsidR="0039073B"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="0039073B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en consecuencia.</w:t>
            </w:r>
          </w:p>
          <w:p w:rsidR="0039073B" w:rsidRPr="0000389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00389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9073B" w:rsidRPr="0000389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9073B" w:rsidRPr="0000389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9073B" w:rsidRPr="0000389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9073B" w:rsidRPr="0000389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9073B" w:rsidRPr="0000389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9073B" w:rsidRPr="0000389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78706E" w:rsidRPr="00003894" w:rsidRDefault="0078706E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9073B" w:rsidRPr="0000389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9073B" w:rsidRPr="00DB45B4" w:rsidRDefault="0039073B" w:rsidP="00C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CF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137A21" w:rsidRPr="00DB45B4" w:rsidTr="009E2DA6">
        <w:trPr>
          <w:cantSplit/>
          <w:trHeight w:val="2796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E26322" w:rsidP="00E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Programa de Trabajo trienal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003894" w:rsidRDefault="00E26322" w:rsidP="009E2D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Observando los comentarios efectuados por algunos miembros del Consejo, la </w:t>
            </w:r>
            <w:r w:rsidR="00137A21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Secretaría de la OHI</w:t>
            </w:r>
            <w:r w:rsidR="009E2DA6">
              <w:rPr>
                <w:rFonts w:ascii="Times New Roman" w:eastAsia="Times New Roman" w:hAnsi="Times New Roman" w:cs="Times New Roman"/>
                <w:b/>
                <w:lang w:val="es-ES"/>
              </w:rPr>
              <w:t>,</w:t>
            </w:r>
            <w:r w:rsidR="004C79E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gentilmente apoyada por el Reino Unido</w:t>
            </w:r>
            <w:r w:rsidR="009E2DA6"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4C79E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9E2DA6">
              <w:rPr>
                <w:rFonts w:ascii="Times New Roman" w:eastAsia="Times New Roman" w:hAnsi="Times New Roman" w:cs="Times New Roman"/>
                <w:lang w:val="es-ES"/>
              </w:rPr>
              <w:t xml:space="preserve">deberá </w:t>
            </w:r>
            <w:r w:rsidR="004C79E8" w:rsidRPr="00003894">
              <w:rPr>
                <w:rFonts w:ascii="Times New Roman" w:eastAsia="Times New Roman" w:hAnsi="Times New Roman" w:cs="Times New Roman"/>
                <w:lang w:val="es-ES"/>
              </w:rPr>
              <w:t>presentar y someter una versión específica del Programa de Trabajo para el periodo 2021-2023, en consonancia con el Plan Estratégico Revisado cuando/si se aprueba en la A-2.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C-4 (- 3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0FA4" w:rsidRPr="00DB45B4" w:rsidTr="009E2DA6">
        <w:trPr>
          <w:cantSplit/>
          <w:trHeight w:val="3813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B0FA4" w:rsidRPr="00DB45B4" w:rsidRDefault="007B0FA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B0FA4" w:rsidRPr="00DB45B4" w:rsidRDefault="007B0FA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Presupuesto trienal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B0FA4" w:rsidRPr="00DB45B4" w:rsidRDefault="007B0FA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B0FA4" w:rsidRPr="00003894" w:rsidRDefault="007B0FA4" w:rsidP="009E2D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9E2DA6">
              <w:rPr>
                <w:rFonts w:ascii="Times New Roman" w:eastAsia="Times New Roman" w:hAnsi="Times New Roman" w:cs="Times New Roman"/>
                <w:lang w:val="es-ES"/>
              </w:rPr>
              <w:t>ratific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ó la propuesta de Presupuesto trienal que será sometida a la aprobación de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en la A-2 ...</w:t>
            </w:r>
          </w:p>
          <w:p w:rsidR="007B0FA4" w:rsidRPr="00003894" w:rsidRDefault="007B0FA4" w:rsidP="009E2DA6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7B0FA4" w:rsidRPr="00003894" w:rsidRDefault="009E2DA6" w:rsidP="009E2D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 xml:space="preserve">… </w:t>
            </w:r>
            <w:r w:rsidR="007B0FA4" w:rsidRPr="00003894">
              <w:rPr>
                <w:rFonts w:ascii="Times New Roman" w:eastAsia="Times New Roman" w:hAnsi="Times New Roman" w:cs="Times New Roman"/>
                <w:lang w:val="es-ES"/>
              </w:rPr>
              <w:t>Pero</w:t>
            </w:r>
            <w:r w:rsidR="004C79E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invitó</w:t>
            </w:r>
            <w:r w:rsidR="007B0FA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al </w:t>
            </w:r>
            <w:r w:rsidR="007B0FA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Secretario General</w:t>
            </w:r>
            <w:r w:rsidR="007B0FA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desarrollar una opción alternativa para un Presupuesto trienal con un aumento general del x% por año de la contribución de los </w:t>
            </w:r>
            <w:proofErr w:type="spellStart"/>
            <w:r w:rsidR="007B0FA4"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>
              <w:rPr>
                <w:rFonts w:ascii="Times New Roman" w:eastAsia="Times New Roman" w:hAnsi="Times New Roman" w:cs="Times New Roman"/>
                <w:lang w:val="es-ES"/>
              </w:rPr>
              <w:t>,</w:t>
            </w:r>
            <w:r w:rsidR="007B0FA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del 2021 al 2023, respaldado por argumentos que justifiquen este aumento equilibrado también por evidencias de medidas de ahorro y de </w:t>
            </w:r>
            <w:proofErr w:type="gramStart"/>
            <w:r w:rsidR="007B0FA4" w:rsidRPr="00003894">
              <w:rPr>
                <w:rFonts w:ascii="Times New Roman" w:eastAsia="Times New Roman" w:hAnsi="Times New Roman" w:cs="Times New Roman"/>
                <w:lang w:val="es-ES"/>
              </w:rPr>
              <w:t>eficiencia .</w:t>
            </w:r>
            <w:proofErr w:type="gramEnd"/>
            <w:r w:rsidR="007B0FA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B0FA4" w:rsidRPr="0000389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7B0FA4" w:rsidRPr="0000389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7B0FA4" w:rsidRPr="0000389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7B0FA4" w:rsidRPr="0000389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7B0FA4" w:rsidRPr="00003894" w:rsidRDefault="007B0FA4" w:rsidP="009E2DA6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7B0FA4" w:rsidRPr="00DB45B4" w:rsidRDefault="007B0FA4" w:rsidP="009E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B0FA4" w:rsidRPr="00DB45B4" w:rsidRDefault="007B0FA4" w:rsidP="009E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7975B6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00389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6.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</w:r>
            <w:r w:rsidR="00DB45B4" w:rsidRPr="000E0AAA">
              <w:rPr>
                <w:rFonts w:ascii="Times New Roman" w:eastAsia="Malgun Gothic" w:hAnsi="Times New Roman" w:cs="Times New Roman"/>
                <w:b/>
                <w:caps/>
                <w:lang w:val="es-ES"/>
              </w:rPr>
              <w:t>PLAN ESTRATÉGICO DE LA OHI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s-ES"/>
              </w:rPr>
              <w:t>Revisión del Plan Estratégico</w:t>
            </w:r>
          </w:p>
        </w:tc>
      </w:tr>
      <w:tr w:rsidR="00D8088F" w:rsidRPr="00DB45B4" w:rsidTr="009E2DA6">
        <w:trPr>
          <w:cantSplit/>
          <w:trHeight w:val="1186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D8088F" w:rsidRDefault="00D8088F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4.x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D8088F" w:rsidRDefault="00D8088F" w:rsidP="0045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Prioridades Estratégicas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D8088F" w:rsidRDefault="00D8088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D8088F" w:rsidRPr="00003894" w:rsidRDefault="00D8088F" w:rsidP="009E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 los elementos de naturaleza estratégica planteados por el SG, el Presidente del HSSC y el Presidente del IRCC.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D8088F" w:rsidRPr="00003894" w:rsidRDefault="00D8088F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D8088F" w:rsidRPr="00DB45B4" w:rsidRDefault="00D8088F" w:rsidP="009E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E2DA6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B24C33" w:rsidRPr="00DB45B4" w:rsidTr="0042231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B24C33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B24C33" w:rsidRPr="00DB45B4" w:rsidRDefault="00BE6ADC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Revisión del Plan Estratégico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B24C33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B24C33" w:rsidRPr="00003894" w:rsidRDefault="00422314" w:rsidP="009E2DA6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aprobó la propuesta de Plan Estratégico revisado (versión 2.2).</w:t>
            </w:r>
          </w:p>
          <w:p w:rsidR="00422314" w:rsidRPr="00003894" w:rsidRDefault="00422314" w:rsidP="00A7615D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422314" w:rsidRPr="00003894" w:rsidRDefault="004525CD" w:rsidP="009E2D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La Secretaría de la OHI</w:t>
            </w:r>
            <w:r w:rsidR="00422314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someter la propuesta a la A-2 para su aprobación por los </w:t>
            </w:r>
            <w:proofErr w:type="spellStart"/>
            <w:r w:rsidR="00422314"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="00422314" w:rsidRPr="0000389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  <w:p w:rsidR="00422314" w:rsidRPr="00003894" w:rsidRDefault="00422314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B24C33" w:rsidRPr="00003894" w:rsidRDefault="00B24C33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422314" w:rsidRPr="00003894" w:rsidRDefault="0042231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422314" w:rsidRPr="00003894" w:rsidRDefault="0042231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1D36F0" w:rsidRPr="00003894" w:rsidRDefault="001D36F0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422314" w:rsidRPr="00DB45B4" w:rsidRDefault="00422314" w:rsidP="009E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 del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B24C33" w:rsidRPr="00DB45B4" w:rsidRDefault="00422314" w:rsidP="009E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Decisión</w:t>
            </w:r>
          </w:p>
        </w:tc>
      </w:tr>
      <w:tr w:rsidR="00422314" w:rsidRPr="00DB45B4" w:rsidTr="00400BD5">
        <w:trPr>
          <w:cantSplit/>
          <w:trHeight w:val="3930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22314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lastRenderedPageBreak/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42231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Revisión del Plan Estratégico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42231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C3/48a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34068" w:rsidRPr="00003894" w:rsidRDefault="00634068" w:rsidP="0040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Presidente del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, apoyado por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Presidente del SPRWG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, deberá someter  el Plan Estratégico Revisado en la A-2 para su aprobación por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EMs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  <w:p w:rsidR="00634068" w:rsidRPr="00003894" w:rsidRDefault="00634068" w:rsidP="00400BD5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422314" w:rsidRPr="00003894" w:rsidRDefault="00634068" w:rsidP="0040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... y deberá proponer a la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Asamblea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que encargue al </w:t>
            </w:r>
            <w:r w:rsidR="00822E57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Secretario General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la tarea de alinear el Programa de Trabajo del 2021 y el Programa de Trabajo trienal de la OHI con el Plan Estratégico Revisado, para su ratificación/aprobación en el C-4, de ser necesario.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22314" w:rsidRPr="00400BD5" w:rsidRDefault="00634068" w:rsidP="004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lang w:val="es-ES"/>
              </w:rPr>
              <w:t>A-2</w:t>
            </w:r>
            <w:r w:rsidR="00270DEE" w:rsidRPr="00400BD5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(15 dic. del 2019)</w:t>
            </w:r>
          </w:p>
          <w:p w:rsidR="00680431" w:rsidRPr="00400BD5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270DEE" w:rsidRPr="00400BD5" w:rsidRDefault="00270DEE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80431" w:rsidRPr="00400BD5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22E57" w:rsidRPr="00400BD5" w:rsidRDefault="00400BD5" w:rsidP="004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/>
              </w:rPr>
              <w:br/>
            </w:r>
            <w:r w:rsidR="00680431" w:rsidRPr="00400BD5">
              <w:rPr>
                <w:rFonts w:ascii="Times New Roman" w:eastAsia="Times New Roman" w:hAnsi="Times New Roman" w:cs="Times New Roman"/>
                <w:b/>
                <w:lang w:val="es-ES"/>
              </w:rPr>
              <w:t>Julio del 2020</w:t>
            </w:r>
          </w:p>
          <w:p w:rsidR="00680431" w:rsidRPr="00400BD5" w:rsidRDefault="00822E57" w:rsidP="00400BD5">
            <w:pPr>
              <w:spacing w:after="0" w:line="240" w:lineRule="auto"/>
              <w:ind w:left="-58" w:right="-21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00BD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(= C-4 - 3 </w:t>
            </w:r>
            <w:proofErr w:type="spellStart"/>
            <w:r w:rsidR="00400BD5" w:rsidRPr="00400BD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</w:t>
            </w:r>
            <w:r w:rsidRPr="00400BD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eses</w:t>
            </w:r>
            <w:proofErr w:type="spellEnd"/>
            <w:r w:rsidRPr="00400BD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)</w:t>
            </w:r>
          </w:p>
          <w:p w:rsidR="00680431" w:rsidRPr="00400BD5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22314" w:rsidRPr="00DB45B4" w:rsidRDefault="0042231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1802" w:rsidRPr="004E1802" w:rsidTr="00400BD5">
        <w:trPr>
          <w:cantSplit/>
          <w:trHeight w:val="1405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E1802" w:rsidRPr="004E1802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4E1802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4E1802" w:rsidRPr="004E1802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E1802">
              <w:rPr>
                <w:rFonts w:ascii="Times New Roman" w:eastAsia="Times New Roman" w:hAnsi="Times New Roman" w:cs="Times New Roman"/>
                <w:color w:val="FF0000"/>
              </w:rPr>
              <w:t>Revisión del Plan Estratégico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4E1802" w:rsidRPr="004E1802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4E1802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C3/48b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E1802" w:rsidRPr="00003894" w:rsidRDefault="004E1802" w:rsidP="0040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color w:val="FF0000"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 xml:space="preserve"> agradeció la propuesta de los </w:t>
            </w:r>
            <w:r w:rsidRPr="00003894">
              <w:rPr>
                <w:rFonts w:ascii="Times New Roman" w:eastAsia="Times New Roman" w:hAnsi="Times New Roman" w:cs="Times New Roman"/>
                <w:b/>
                <w:color w:val="FF0000"/>
                <w:lang w:val="es-ES"/>
              </w:rPr>
              <w:t>EE.UU.</w:t>
            </w:r>
            <w:r w:rsidRPr="00003894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 xml:space="preserve"> de preparar, como ejemplo, un proyecto de la transcripción del folleto del plan estratégico revisado propuesto.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E1802" w:rsidRPr="004E1802" w:rsidRDefault="004E1802" w:rsidP="004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E1802">
              <w:rPr>
                <w:rFonts w:ascii="Times New Roman" w:eastAsia="Times New Roman" w:hAnsi="Times New Roman" w:cs="Times New Roman"/>
                <w:b/>
                <w:color w:val="FF0000"/>
              </w:rPr>
              <w:t>A-2</w:t>
            </w:r>
          </w:p>
          <w:p w:rsidR="004E1802" w:rsidRPr="004E1802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E1802" w:rsidRPr="004E1802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E1802" w:rsidRPr="004E1802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E1802" w:rsidRPr="004E1802" w:rsidRDefault="004E1802" w:rsidP="004E1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E1802" w:rsidRPr="004E1802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634068" w:rsidRPr="00DB45B4" w:rsidTr="0042231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34068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Revisión del Plan Estratégico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C3/49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34068" w:rsidRPr="00003894" w:rsidRDefault="008D0668" w:rsidP="00400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Para desarrollar métodos de cálculo de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SPIs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después de la A-2, </w:t>
            </w:r>
            <w:r w:rsidR="00634068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63406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modificó los </w:t>
            </w:r>
            <w:proofErr w:type="spellStart"/>
            <w:r w:rsidR="00634068" w:rsidRPr="00003894">
              <w:rPr>
                <w:rFonts w:ascii="Times New Roman" w:eastAsia="Times New Roman" w:hAnsi="Times New Roman" w:cs="Times New Roman"/>
                <w:lang w:val="es-ES"/>
              </w:rPr>
              <w:t>TdRs</w:t>
            </w:r>
            <w:proofErr w:type="spellEnd"/>
            <w:r w:rsidR="0063406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y las </w:t>
            </w:r>
            <w:proofErr w:type="spellStart"/>
            <w:r w:rsidR="00634068" w:rsidRPr="00003894">
              <w:rPr>
                <w:rFonts w:ascii="Times New Roman" w:eastAsia="Times New Roman" w:hAnsi="Times New Roman" w:cs="Times New Roman"/>
                <w:lang w:val="es-ES"/>
              </w:rPr>
              <w:t>RdPs</w:t>
            </w:r>
            <w:proofErr w:type="spellEnd"/>
            <w:r w:rsidR="00634068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del SPRWG y los aprobó.</w:t>
            </w:r>
          </w:p>
          <w:p w:rsidR="00634068" w:rsidRPr="00003894" w:rsidRDefault="00634068" w:rsidP="00400BD5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8D0668" w:rsidRPr="00003894" w:rsidRDefault="008D0668" w:rsidP="00400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Presidente del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someter estos nuevos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TdRs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y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RdPs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la aprobación de la Asamblea [Nota: ver el Art. 6(a) y el Art. 6(g) (ii)] como parte de su informe, incluyendo la convocatoria para la elección de los nuevos titulares de cargos.</w:t>
            </w:r>
          </w:p>
          <w:p w:rsidR="008D0668" w:rsidRPr="00003894" w:rsidRDefault="008D0668" w:rsidP="00400BD5">
            <w:pPr>
              <w:spacing w:after="0" w:line="160" w:lineRule="exact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34068" w:rsidRDefault="00634068" w:rsidP="00400B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SPRWG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presentar los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SPIs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y los métodos de cálculo correspondientes al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Consejo</w:t>
            </w:r>
            <w:r w:rsidR="00DD3889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para su aprobación o ratificación, a la espera de la aprobación de los nuevos </w:t>
            </w:r>
            <w:proofErr w:type="spellStart"/>
            <w:r w:rsidR="00DD3889" w:rsidRPr="00003894">
              <w:rPr>
                <w:rFonts w:ascii="Times New Roman" w:eastAsia="Times New Roman" w:hAnsi="Times New Roman" w:cs="Times New Roman"/>
                <w:lang w:val="es-ES"/>
              </w:rPr>
              <w:t>TdRs</w:t>
            </w:r>
            <w:proofErr w:type="spellEnd"/>
            <w:r w:rsidR="00DD3889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(véase el Art. 1.2 propuesto) y las </w:t>
            </w:r>
            <w:proofErr w:type="spellStart"/>
            <w:r w:rsidR="00DD3889" w:rsidRPr="00003894">
              <w:rPr>
                <w:rFonts w:ascii="Times New Roman" w:eastAsia="Times New Roman" w:hAnsi="Times New Roman" w:cs="Times New Roman"/>
                <w:lang w:val="es-ES"/>
              </w:rPr>
              <w:t>RdPs</w:t>
            </w:r>
            <w:proofErr w:type="spellEnd"/>
            <w:r w:rsidR="00DD3889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del SPRWG por los Estados Miembros en la A-2. </w:t>
            </w:r>
            <w:r w:rsidR="00DD3889" w:rsidRPr="00DD388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="00DD3889" w:rsidRPr="00400BD5">
              <w:rPr>
                <w:rFonts w:ascii="Times New Roman" w:eastAsia="Times New Roman" w:hAnsi="Times New Roman" w:cs="Times New Roman"/>
                <w:lang w:val="es-ES"/>
              </w:rPr>
              <w:t>fecha</w:t>
            </w:r>
            <w:proofErr w:type="gramEnd"/>
            <w:r w:rsidR="00DD3889" w:rsidRPr="00400BD5">
              <w:rPr>
                <w:rFonts w:ascii="Times New Roman" w:eastAsia="Times New Roman" w:hAnsi="Times New Roman" w:cs="Times New Roman"/>
                <w:lang w:val="es-ES"/>
              </w:rPr>
              <w:t xml:space="preserve"> límite:</w:t>
            </w:r>
            <w:r w:rsidR="00DD3889" w:rsidRPr="00DD3889">
              <w:rPr>
                <w:rFonts w:ascii="Times New Roman" w:eastAsia="Times New Roman" w:hAnsi="Times New Roman" w:cs="Times New Roman"/>
              </w:rPr>
              <w:t xml:space="preserve"> C-4 (-3 meses)).</w:t>
            </w: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634068" w:rsidRPr="00003894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34068" w:rsidRPr="00003894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34068" w:rsidRPr="00003894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34068" w:rsidRPr="00003894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D0668" w:rsidRPr="00003894" w:rsidRDefault="008D0668" w:rsidP="00400BD5">
            <w:pPr>
              <w:spacing w:after="0" w:line="1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D0668" w:rsidRPr="00003894" w:rsidRDefault="008D0668" w:rsidP="004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6 de dic.  del 2019</w:t>
            </w:r>
          </w:p>
          <w:p w:rsidR="008D0668" w:rsidRPr="00003894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D0668" w:rsidRPr="00003894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D0668" w:rsidRPr="00003894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8D0668" w:rsidRPr="00003894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AC1CE4" w:rsidRPr="00003894" w:rsidRDefault="00AC1CE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AC1CE4" w:rsidRPr="00003894" w:rsidRDefault="00AC1CE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400BD5" w:rsidRDefault="00400BD5" w:rsidP="004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634068" w:rsidRPr="00003894" w:rsidRDefault="00634068" w:rsidP="004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C-4 (- 3 m</w:t>
            </w:r>
            <w:r w:rsidR="00400BD5">
              <w:rPr>
                <w:rFonts w:ascii="Times New Roman" w:eastAsia="Times New Roman" w:hAnsi="Times New Roman" w:cs="Times New Roman"/>
                <w:b/>
                <w:lang w:val="es-ES"/>
              </w:rPr>
              <w:t>eses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634068" w:rsidRPr="00DB45B4" w:rsidRDefault="00634068" w:rsidP="0040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0BD5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DB45B4" w:rsidRPr="0000389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7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.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s-ES"/>
              </w:rPr>
              <w:t xml:space="preserve"> OTROS PUNTOS PROPUESTOS POR UN ESTADO MIEMBRO O POR EL SECRETARIO GENERAL</w:t>
            </w: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003894" w:rsidRDefault="00C7187C" w:rsidP="00CD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iCs/>
                <w:lang w:val="es-ES"/>
              </w:rPr>
              <w:t xml:space="preserve"> 7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iCs/>
                <w:lang w:val="es-ES"/>
              </w:rPr>
              <w:t xml:space="preserve">.1 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iCs/>
                <w:lang w:val="es-ES"/>
              </w:rPr>
              <w:tab/>
            </w:r>
            <w:r w:rsidRPr="00C7187C">
              <w:rPr>
                <w:rFonts w:ascii="Times New Roman" w:eastAsia="Times New Roman" w:hAnsi="Times New Roman" w:cs="Times New Roman"/>
                <w:b/>
                <w:iCs/>
                <w:lang w:val="es-ES"/>
              </w:rPr>
              <w:t>Preparación de la 2</w:t>
            </w:r>
            <w:r w:rsidR="00CD1A2F" w:rsidRPr="00CD1A2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val="es-ES"/>
              </w:rPr>
              <w:t>a</w:t>
            </w:r>
            <w:r w:rsidR="00CD1A2F">
              <w:rPr>
                <w:rFonts w:ascii="Times New Roman" w:eastAsia="Times New Roman" w:hAnsi="Times New Roman" w:cs="Times New Roman"/>
                <w:b/>
                <w:iCs/>
                <w:lang w:val="es-ES"/>
              </w:rPr>
              <w:t xml:space="preserve"> Sesión de la Asamblea de la OHI</w:t>
            </w:r>
          </w:p>
        </w:tc>
      </w:tr>
      <w:tr w:rsidR="00CD1A2F" w:rsidRPr="00DB45B4" w:rsidTr="00CD1A2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D1A2F" w:rsidRPr="00DB45B4" w:rsidRDefault="00CD1A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7.1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CD1A2F" w:rsidRDefault="00CD1A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CD1A2F" w:rsidRDefault="00CD1A2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CD1A2F" w:rsidRPr="00003894" w:rsidRDefault="00CD1A2F" w:rsidP="0052474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 los objetivos y del programa provisional de la A-2, incluyendo la sesión de medio día de duració</w:t>
            </w:r>
            <w:r w:rsidR="0052474B">
              <w:rPr>
                <w:rFonts w:ascii="Times New Roman" w:eastAsia="Times New Roman" w:hAnsi="Times New Roman" w:cs="Times New Roman"/>
                <w:lang w:val="es-ES"/>
              </w:rPr>
              <w:t>n sobre el Centenario de la OHI (OHI-100).</w:t>
            </w:r>
          </w:p>
          <w:p w:rsidR="00505743" w:rsidRPr="00003894" w:rsidRDefault="00505743" w:rsidP="0050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D1A2F" w:rsidRPr="00003894" w:rsidRDefault="00CD1A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D1A2F" w:rsidRDefault="00CD1A2F" w:rsidP="0052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474B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B45B4" w:rsidRPr="00DB45B4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lastRenderedPageBreak/>
              <w:t>3.5, 4.1, 7.1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B45B4" w:rsidRPr="00DB45B4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B45B4" w:rsidRPr="00DB45B4" w:rsidRDefault="0055372E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B45B4" w:rsidRPr="00003894" w:rsidRDefault="0055372E" w:rsidP="00A9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94173">
              <w:rPr>
                <w:rFonts w:ascii="Times New Roman" w:eastAsia="Times New Roman" w:hAnsi="Times New Roman" w:cs="Times New Roman"/>
                <w:lang w:val="es-ES"/>
              </w:rPr>
              <w:t>ratific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ó el concepto de tener un</w:t>
            </w:r>
            <w:r w:rsidR="00A94173">
              <w:rPr>
                <w:rFonts w:ascii="Times New Roman" w:eastAsia="Times New Roman" w:hAnsi="Times New Roman" w:cs="Times New Roman"/>
                <w:lang w:val="es-ES"/>
              </w:rPr>
              <w:t>a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94173">
              <w:rPr>
                <w:rFonts w:ascii="Times New Roman" w:eastAsia="Times New Roman" w:hAnsi="Times New Roman" w:cs="Times New Roman"/>
                <w:lang w:val="es-ES"/>
              </w:rPr>
              <w:t>vitrina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S-100 y una presentación del Proyecto </w:t>
            </w:r>
            <w:proofErr w:type="spellStart"/>
            <w:r w:rsidRPr="00A94173">
              <w:rPr>
                <w:rFonts w:ascii="Times New Roman" w:eastAsia="Times New Roman" w:hAnsi="Times New Roman" w:cs="Times New Roman"/>
                <w:i/>
                <w:lang w:val="es-ES"/>
              </w:rPr>
              <w:t>Seabed</w:t>
            </w:r>
            <w:proofErr w:type="spellEnd"/>
            <w:r w:rsidRPr="00A9417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 2030</w:t>
            </w:r>
            <w:r w:rsidR="00A94173">
              <w:rPr>
                <w:rFonts w:ascii="Times New Roman" w:eastAsia="Times New Roman" w:hAnsi="Times New Roman" w:cs="Times New Roman"/>
                <w:i/>
                <w:lang w:val="es-ES"/>
              </w:rPr>
              <w:t xml:space="preserve">,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>que se incluirán en el programa de la A-2.</w:t>
            </w:r>
          </w:p>
          <w:p w:rsidR="00A75C45" w:rsidRPr="00003894" w:rsidRDefault="00A75C45" w:rsidP="00A75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B45B4" w:rsidRPr="00DB45B4" w:rsidRDefault="0055372E" w:rsidP="00A9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173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55372E" w:rsidRPr="00DB45B4" w:rsidTr="00DE78D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Pr="0055372E" w:rsidRDefault="0055372E" w:rsidP="00F8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Pr="00DB45B4" w:rsidRDefault="0055372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003894" w:rsidRDefault="00C7187C" w:rsidP="00C7187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7.2</w:t>
                  </w: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="00106E93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Propuesta para establecer un « </w:t>
                  </w:r>
                  <w:r w:rsidR="00505743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Laboratorio de Inn</w:t>
                  </w:r>
                  <w:r w:rsidR="00106E93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ovación y Tecnología de la OHI » </w:t>
                  </w:r>
                  <w:r w:rsidR="00505743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apoyado por y situado</w:t>
                  </w:r>
                  <w:r w:rsidR="00106E93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br/>
                    <w:t xml:space="preserve">            </w:t>
                  </w:r>
                  <w:r w:rsidR="00505743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en Singapur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FA4F21" w:rsidRPr="00DB45B4" w:rsidTr="00BA6BCD">
        <w:trPr>
          <w:cantSplit/>
          <w:trHeight w:val="1311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DB45B4" w:rsidRDefault="00FA4F2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003894" w:rsidRDefault="00FA4F2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Laboratorio de Innovación y Tecnología de la OHI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DB45B4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003894" w:rsidRDefault="00450CE6" w:rsidP="00BA6B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El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Consejo</w:t>
            </w:r>
            <w:r w:rsidRPr="00003894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 elogió a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Singapur</w:t>
            </w:r>
            <w:r w:rsidRPr="00003894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 por esta iniciativa y  generosa oferta, y reconoció la necesidad de acelerar la innovación en nuestros campos de actividad.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003894" w:rsidRDefault="00FA4F21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DB45B4" w:rsidRDefault="00FA4F21" w:rsidP="0037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EB4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505743" w:rsidRPr="00DB45B4" w:rsidTr="00BA6BCD">
        <w:trPr>
          <w:cantSplit/>
          <w:trHeight w:val="2124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05743" w:rsidRPr="00DB45B4" w:rsidRDefault="003C548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505743" w:rsidRPr="00003894" w:rsidRDefault="003C548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Laboratorio de Innovación y Tecnología de la OHI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505743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05743" w:rsidRPr="00003894" w:rsidRDefault="003C548A" w:rsidP="00BA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En general,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apoyó los principios para el establecimiento de un Laboratorio de Innovación y Tecnología de la OHI y señaló que la innovación y la tecnología deberían reflejarse entonces en el Plan Estratégico Revisado propuesto.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505743" w:rsidRPr="00003894" w:rsidRDefault="0050574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505743" w:rsidRPr="00DB45B4" w:rsidRDefault="003C548A" w:rsidP="00B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A6BCD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FA4F21" w:rsidRPr="00DB45B4" w:rsidTr="00BA6BCD">
        <w:trPr>
          <w:cantSplit/>
          <w:trHeight w:val="3672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A4F21" w:rsidRDefault="00AD1194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003894" w:rsidRDefault="00450CE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Laboratorio de Innovación y Tecnología de la OHI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A4F21" w:rsidRDefault="00450CE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003894" w:rsidRDefault="00FA4F21" w:rsidP="00BA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invitó a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Singapur</w:t>
            </w:r>
            <w:r w:rsidR="00DE713F" w:rsidRPr="00003894">
              <w:rPr>
                <w:rFonts w:ascii="Times New Roman" w:eastAsia="Times New Roman" w:hAnsi="Times New Roman" w:cs="Times New Roman"/>
                <w:lang w:val="es-ES"/>
              </w:rPr>
              <w:t>, apoyado por redactores voluntarios del Consejo, a considerar la posibilidad de presentar una propuesta a la Asamblea en la A-2 para su posterior consideración, basándose en los principios explicados en el C-3, pero incluyendo los términos de referencia, un proyecto de plan de negocios y proporcionando aclaraciones sobre la gobernanza con respecto a la relación de la OHI (HSCC, RENC, etc.).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A4F21" w:rsidRDefault="00FA4F21" w:rsidP="00BA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5C5B46">
              <w:rPr>
                <w:rFonts w:ascii="Times New Roman" w:eastAsia="Times New Roman" w:hAnsi="Times New Roman" w:cs="Times New Roman"/>
                <w:b/>
              </w:rPr>
              <w:t xml:space="preserve"> para la 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A4F21" w:rsidRPr="00DB45B4" w:rsidRDefault="00FA4F21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4EBC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4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224EBC" w:rsidRPr="00DB45B4" w:rsidRDefault="00224E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003894" w:rsidRDefault="00C7187C" w:rsidP="00C7187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7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.3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="00FE1ADF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Aplicación de la Norma  ISO9001: Principios de Gestión de</w:t>
                  </w:r>
                  <w:r w:rsidR="002331A3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 xml:space="preserve"> C</w:t>
                  </w:r>
                  <w:r w:rsidR="00FE1ADF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alidad 2015 para la estructura de la OHI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092F10" w:rsidRPr="00092F10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E77D31" w:rsidRPr="00092F10" w:rsidRDefault="00E77D31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092F10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7.3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E77D31" w:rsidRPr="00003894" w:rsidRDefault="00E77D31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Objetivos del Consejo para el periodo 2020-2023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E77D31" w:rsidRPr="00092F10" w:rsidRDefault="00E77D31" w:rsidP="00E7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092F10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C3/55a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E77D31" w:rsidRDefault="00807193" w:rsidP="002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color w:val="FF0000"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 xml:space="preserve"> tomó nota de las propuestas de los Países Ba</w:t>
            </w:r>
            <w:r w:rsidR="002331A3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jos de un tema para el period</w:t>
            </w:r>
            <w:r w:rsidRPr="00003894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o 2020-2023 del Consejo.</w:t>
            </w:r>
          </w:p>
          <w:p w:rsidR="002331A3" w:rsidRPr="00003894" w:rsidRDefault="002331A3" w:rsidP="0023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E77D31" w:rsidRPr="00003894" w:rsidRDefault="00E77D31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E77D31" w:rsidRPr="00092F10" w:rsidRDefault="00807193" w:rsidP="0023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331A3">
              <w:rPr>
                <w:rFonts w:ascii="Times New Roman" w:eastAsia="Times New Roman" w:hAnsi="Times New Roman" w:cs="Times New Roman"/>
                <w:color w:val="FF0000"/>
                <w:highlight w:val="lightGray"/>
                <w:lang w:val="es-ES"/>
              </w:rPr>
              <w:t>Decisión</w:t>
            </w:r>
          </w:p>
        </w:tc>
      </w:tr>
      <w:tr w:rsidR="00FE1ADF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BB070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lastRenderedPageBreak/>
              <w:t>7.3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003894" w:rsidRDefault="00BB0702" w:rsidP="00E7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lang w:val="es-ES"/>
              </w:rPr>
              <w:t>Objetivos del Consejo para el periodo  2020</w:t>
            </w:r>
            <w:r w:rsidR="00E77D31" w:rsidRPr="00003894">
              <w:rPr>
                <w:rFonts w:ascii="Times New Roman" w:eastAsia="Times New Roman" w:hAnsi="Times New Roman" w:cs="Times New Roman"/>
                <w:lang w:val="es-ES"/>
              </w:rPr>
              <w:t>-2023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BB0702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val="es-ES"/>
              </w:rPr>
              <w:t>55</w:t>
            </w:r>
            <w:r w:rsidR="00E77D31" w:rsidRPr="00E77D31">
              <w:rPr>
                <w:rFonts w:ascii="Times New Roman" w:eastAsia="Times New Roman" w:hAnsi="Times New Roman" w:cs="Times New Roman"/>
                <w:color w:val="FF0000"/>
                <w:lang w:val="es-ES"/>
              </w:rPr>
              <w:t>b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922C98" w:rsidRPr="00003894" w:rsidRDefault="00BB0702" w:rsidP="00C2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Presidente del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deberá informar en la A-2 sobre el tema principal que el Consejo debería ab</w:t>
            </w:r>
            <w:r w:rsidR="00460675">
              <w:rPr>
                <w:rFonts w:ascii="Times New Roman" w:eastAsia="Times New Roman" w:hAnsi="Times New Roman" w:cs="Times New Roman"/>
                <w:lang w:val="es-ES"/>
              </w:rPr>
              <w:t xml:space="preserve">ordar del C-4 a la A-3, que es « </w:t>
            </w:r>
            <w:r w:rsidR="00922C98" w:rsidRPr="00003894">
              <w:rPr>
                <w:rFonts w:ascii="Times New Roman" w:eastAsia="Times New Roman" w:hAnsi="Times New Roman" w:cs="Times New Roman"/>
                <w:i/>
                <w:lang w:val="es-ES"/>
              </w:rPr>
              <w:t>la implementación efectiva del Plan Estratégico Revisado</w:t>
            </w:r>
            <w:r w:rsidR="00460675">
              <w:rPr>
                <w:rFonts w:ascii="Times New Roman" w:eastAsia="Times New Roman" w:hAnsi="Times New Roman" w:cs="Times New Roman"/>
                <w:lang w:val="es-ES"/>
              </w:rPr>
              <w:t>»</w:t>
            </w:r>
            <w:r w:rsidR="00922C98" w:rsidRPr="00003894">
              <w:rPr>
                <w:rFonts w:ascii="Times New Roman" w:eastAsia="Times New Roman" w:hAnsi="Times New Roman" w:cs="Times New Roman"/>
                <w:lang w:val="es-ES"/>
              </w:rPr>
              <w:t>, teniendo en cuenta la aplicación de los principios de la Norma ISO 9001</w:t>
            </w:r>
            <w:r w:rsidR="00460675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  <w:p w:rsidR="00726F96" w:rsidRPr="00003894" w:rsidRDefault="00726F96" w:rsidP="0069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47747D" w:rsidP="00C2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E1ADF" w:rsidRPr="00DB45B4" w:rsidRDefault="00FE1ADF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07DF5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003894" w:rsidRDefault="00C7187C" w:rsidP="0047747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</w:pPr>
                  <w:r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7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.4</w:t>
                  </w:r>
                  <w:r w:rsidR="00DB45B4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ab/>
                  </w:r>
                  <w:r w:rsidR="0047747D" w:rsidRPr="00003894">
                    <w:rPr>
                      <w:rFonts w:ascii="Times New Roman" w:eastAsia="Times New Roman" w:hAnsi="Times New Roman" w:cs="Times New Roman"/>
                      <w:b/>
                      <w:lang w:val="es-ES"/>
                    </w:rPr>
                    <w:t>Trienio de actividades para la celebración del Centenario de la OHI (OHI-100)</w:t>
                  </w:r>
                </w:p>
              </w:tc>
            </w:tr>
          </w:tbl>
          <w:p w:rsidR="00DB45B4" w:rsidRPr="0000389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DB7CBC" w:rsidRPr="00DB45B4" w:rsidTr="00162A91">
        <w:trPr>
          <w:cantSplit/>
          <w:trHeight w:val="3109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7CBC" w:rsidRPr="00DB45B4" w:rsidRDefault="00DB7C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7.4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7CBC" w:rsidRPr="00DB45B4" w:rsidRDefault="00DB7C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OHI-100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7CBC" w:rsidRPr="00DB45B4" w:rsidRDefault="00DB7CBC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7CBC" w:rsidRPr="00003894" w:rsidRDefault="00DB7CBC" w:rsidP="00162A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="00B73D03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elogió al Secretario General por su trabajo y ratificó las propuestas hechas para las celebraciones (las actividades planificadas, la evolución de los costos asociados según lo decidido en el C-1, la identificación de contribuciones en especie) y tomó nota del evento especial del 21 de junio del 2021 en Mónaco, y también del informe de situación del Libro de Prestigio de</w:t>
            </w:r>
            <w:r w:rsidR="00162A91">
              <w:rPr>
                <w:rFonts w:ascii="Times New Roman" w:eastAsia="Times New Roman" w:hAnsi="Times New Roman" w:cs="Times New Roman"/>
                <w:lang w:val="es-ES"/>
              </w:rPr>
              <w:t>l</w:t>
            </w:r>
            <w:r w:rsidR="00B73D03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OHI-100.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7CBC" w:rsidRPr="00003894" w:rsidRDefault="00DB7C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7CBC" w:rsidRPr="00DB45B4" w:rsidRDefault="00DB7CBC" w:rsidP="0016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2A91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0225F" w:rsidP="00C0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PRÓXIMA REUNIÓN</w:t>
            </w: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003894" w:rsidRDefault="008E7B73" w:rsidP="00C022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8</w:t>
            </w:r>
            <w:r w:rsidR="00C0225F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.1</w:t>
            </w:r>
            <w:r w:rsidR="00C0225F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  <w:t>Fechas y lugar de la celebración de la 3</w:t>
            </w:r>
            <w:proofErr w:type="gramStart"/>
            <w:r w:rsidR="00162A91">
              <w:rPr>
                <w:rFonts w:ascii="Times New Roman" w:eastAsia="Times New Roman" w:hAnsi="Times New Roman" w:cs="Times New Roman"/>
                <w:b/>
                <w:lang w:val="es-ES"/>
              </w:rPr>
              <w:t>.</w:t>
            </w:r>
            <w:r w:rsidR="00C0225F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ª</w:t>
            </w:r>
            <w:proofErr w:type="gramEnd"/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Reunión del Consejo de la OHI.</w:t>
            </w:r>
          </w:p>
        </w:tc>
      </w:tr>
      <w:tr w:rsidR="00DB45B4" w:rsidRPr="00DB45B4" w:rsidTr="00162A91">
        <w:trPr>
          <w:cantSplit/>
          <w:trHeight w:val="1180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C0225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16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El </w:t>
            </w:r>
            <w:r w:rsidR="00162A91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Consejo</w:t>
            </w:r>
            <w:r w:rsidR="003E551C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convino </w:t>
            </w:r>
            <w:r w:rsidR="00162A9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3E551C"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celebrar </w:t>
            </w:r>
            <w:r w:rsidR="00162A91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3E551C" w:rsidRPr="00003894">
              <w:rPr>
                <w:rFonts w:ascii="Times New Roman" w:eastAsia="Times New Roman" w:hAnsi="Times New Roman" w:cs="Times New Roman"/>
                <w:lang w:val="es-ES"/>
              </w:rPr>
              <w:t>el C-4 en Mónaco, en la Secretaría de la OHI, del 20 al 22 de octubre 2020.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162A91" w:rsidRDefault="00DB45B4" w:rsidP="0016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162A91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CUALQUIER OTRO ASUNTO</w:t>
            </w:r>
          </w:p>
        </w:tc>
      </w:tr>
      <w:tr w:rsidR="00BF7868" w:rsidRPr="005A0E9C" w:rsidTr="000554F0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F7868" w:rsidRPr="00DB45B4" w:rsidRDefault="00BF7868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BF7868" w:rsidRPr="00DB45B4" w:rsidRDefault="007231F2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Coordinadores NAVAREA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BF7868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231F2" w:rsidRPr="00003894" w:rsidRDefault="007231F2" w:rsidP="005A0E9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 la información proporcionada por el Reino Unido, por delegación del Presidente de la CHAIA, sobre el posible aumento de los costos en las actividades de los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Coordinadores </w:t>
            </w:r>
            <w:proofErr w:type="gramStart"/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NAVAREA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...</w:t>
            </w:r>
            <w:proofErr w:type="gram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5A0E9C">
              <w:rPr>
                <w:rFonts w:ascii="Times New Roman" w:eastAsia="Times New Roman" w:hAnsi="Times New Roman" w:cs="Times New Roman"/>
                <w:lang w:val="es-ES"/>
              </w:rPr>
              <w:br/>
              <w:t xml:space="preserve">… 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y animó a los </w:t>
            </w: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Estados Miembros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a apoyar el documento de la OHI (SC SMAN) en el NCSR-7, en enero del 2020 (Véase también la CC de la OHI N.° 50/2019, párrafo 8).</w:t>
            </w:r>
          </w:p>
          <w:p w:rsidR="007231F2" w:rsidRPr="00003894" w:rsidRDefault="007231F2" w:rsidP="005A0E9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333537" w:rsidRPr="00003894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33537" w:rsidRPr="00003894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33537" w:rsidRPr="00003894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33537" w:rsidRPr="00003894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33537" w:rsidRPr="00003894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333537" w:rsidRPr="00003894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:rsidR="00BF7868" w:rsidRPr="005A0E9C" w:rsidRDefault="007231F2" w:rsidP="007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A0E9C">
              <w:rPr>
                <w:rFonts w:ascii="Times New Roman" w:eastAsia="Times New Roman" w:hAnsi="Times New Roman" w:cs="Times New Roman"/>
                <w:b/>
                <w:lang w:val="es-ES"/>
              </w:rPr>
              <w:t>NCSR-7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F7868" w:rsidRPr="005A0E9C" w:rsidRDefault="00333537" w:rsidP="0016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5A0E9C">
              <w:rPr>
                <w:rFonts w:ascii="Times New Roman" w:eastAsia="Times New Roman" w:hAnsi="Times New Roman" w:cs="Times New Roman"/>
                <w:highlight w:val="lightGray"/>
                <w:lang w:val="es-ES"/>
              </w:rPr>
              <w:t>Decisión</w:t>
            </w:r>
          </w:p>
        </w:tc>
      </w:tr>
      <w:tr w:rsidR="00C50FCB" w:rsidRPr="00DB45B4" w:rsidTr="007E49C3">
        <w:trPr>
          <w:cantSplit/>
          <w:trHeight w:val="1804"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50FCB" w:rsidRPr="00DB45B4" w:rsidRDefault="00C50FCB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C50FCB" w:rsidRPr="005A0E9C" w:rsidRDefault="00C50FCB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5A0E9C">
              <w:rPr>
                <w:rFonts w:ascii="Times New Roman" w:eastAsia="Times New Roman" w:hAnsi="Times New Roman" w:cs="Times New Roman"/>
                <w:lang w:val="es-ES"/>
              </w:rPr>
              <w:t>Composición del Consejo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C50FCB" w:rsidRDefault="00C50FCB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C3/59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C50FCB" w:rsidRPr="00003894" w:rsidRDefault="00C50FCB" w:rsidP="007E49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El Consejo</w:t>
            </w:r>
            <w:r w:rsidRPr="00003894">
              <w:rPr>
                <w:rFonts w:ascii="Times New Roman" w:eastAsia="Times New Roman" w:hAnsi="Times New Roman" w:cs="Times New Roman"/>
                <w:lang w:val="es-ES"/>
              </w:rPr>
              <w:t xml:space="preserve"> tomó nota del recordatorio hecho por el Secretario General para responder a la OHI CC de la OHI N.° 33/2019 (declaración para la atribución de escaños por las </w:t>
            </w:r>
            <w:proofErr w:type="spellStart"/>
            <w:r w:rsidRPr="00003894">
              <w:rPr>
                <w:rFonts w:ascii="Times New Roman" w:eastAsia="Times New Roman" w:hAnsi="Times New Roman" w:cs="Times New Roman"/>
                <w:lang w:val="es-ES"/>
              </w:rPr>
              <w:t>CHRs</w:t>
            </w:r>
            <w:proofErr w:type="spellEnd"/>
            <w:r w:rsidRPr="00003894">
              <w:rPr>
                <w:rFonts w:ascii="Times New Roman" w:eastAsia="Times New Roman" w:hAnsi="Times New Roman" w:cs="Times New Roman"/>
                <w:lang w:val="es-ES"/>
              </w:rPr>
              <w:t>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50FCB" w:rsidRDefault="00C50FCB" w:rsidP="007E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de </w:t>
            </w:r>
            <w:r w:rsidRPr="007E49C3">
              <w:rPr>
                <w:rFonts w:ascii="Times New Roman" w:eastAsia="Times New Roman" w:hAnsi="Times New Roman" w:cs="Times New Roman"/>
                <w:b/>
                <w:lang w:val="es-ES"/>
              </w:rPr>
              <w:t>octubre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50FCB" w:rsidRPr="00DB45B4" w:rsidRDefault="00C50FCB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07DF5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00389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10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>.</w:t>
            </w:r>
            <w:r w:rsidR="00DB45B4"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s-ES"/>
              </w:rPr>
              <w:t>REVISIÓN DE ACCIONES Y DECISIONES DE LA REUNIÓN</w:t>
            </w:r>
          </w:p>
        </w:tc>
      </w:tr>
      <w:tr w:rsidR="00DB45B4" w:rsidRPr="00D07DF5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00389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DB45B4" w:rsidP="0069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894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1</w:t>
            </w:r>
            <w:r w:rsidR="00692E03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s-ES"/>
              </w:rPr>
              <w:t xml:space="preserve">CLAUSURA DE LA </w:t>
            </w:r>
            <w:r w:rsidRPr="006D06C7">
              <w:rPr>
                <w:rFonts w:ascii="Times New Roman" w:eastAsia="Malgun Gothic" w:hAnsi="Times New Roman" w:cs="Times New Roman"/>
                <w:b/>
                <w:caps/>
                <w:lang w:val="es-ES"/>
              </w:rPr>
              <w:t>REUNIÓN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45B4" w:rsidRDefault="00DB45B4"/>
    <w:sectPr w:rsidR="00DB45B4" w:rsidSect="00064558">
      <w:headerReference w:type="default" r:id="rId8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60" w:rsidRDefault="00464E60" w:rsidP="00DB45B4">
      <w:pPr>
        <w:spacing w:after="0" w:line="240" w:lineRule="auto"/>
      </w:pPr>
      <w:r>
        <w:separator/>
      </w:r>
    </w:p>
  </w:endnote>
  <w:endnote w:type="continuationSeparator" w:id="0">
    <w:p w:rsidR="00464E60" w:rsidRDefault="00464E60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60" w:rsidRDefault="00464E60" w:rsidP="00DB45B4">
      <w:pPr>
        <w:spacing w:after="0" w:line="240" w:lineRule="auto"/>
      </w:pPr>
      <w:r>
        <w:separator/>
      </w:r>
    </w:p>
  </w:footnote>
  <w:footnote w:type="continuationSeparator" w:id="0">
    <w:p w:rsidR="00464E60" w:rsidRDefault="00464E60" w:rsidP="00DB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58" w:rsidRPr="008D73C4" w:rsidRDefault="00064558" w:rsidP="008D73C4">
    <w:pPr>
      <w:pStyle w:val="Header"/>
      <w:jc w:val="right"/>
      <w:rPr>
        <w:b/>
        <w:lang w:val="es-ES"/>
      </w:rPr>
    </w:pPr>
    <w:r>
      <w:rPr>
        <w:b/>
        <w:bdr w:val="single" w:sz="4" w:space="0" w:color="auto"/>
        <w:lang w:val="es-ES"/>
      </w:rPr>
      <w:t>C4-xx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4"/>
    <w:rsid w:val="00000D7E"/>
    <w:rsid w:val="00003894"/>
    <w:rsid w:val="00007F29"/>
    <w:rsid w:val="00017359"/>
    <w:rsid w:val="0002650C"/>
    <w:rsid w:val="00030295"/>
    <w:rsid w:val="00035685"/>
    <w:rsid w:val="00036387"/>
    <w:rsid w:val="0003642A"/>
    <w:rsid w:val="000437D2"/>
    <w:rsid w:val="00046294"/>
    <w:rsid w:val="000500DE"/>
    <w:rsid w:val="00052E74"/>
    <w:rsid w:val="0005494A"/>
    <w:rsid w:val="000549C9"/>
    <w:rsid w:val="000554F0"/>
    <w:rsid w:val="00060963"/>
    <w:rsid w:val="000635ED"/>
    <w:rsid w:val="00064558"/>
    <w:rsid w:val="0007182F"/>
    <w:rsid w:val="00081689"/>
    <w:rsid w:val="00082307"/>
    <w:rsid w:val="00092F10"/>
    <w:rsid w:val="000A1CE0"/>
    <w:rsid w:val="000A3E55"/>
    <w:rsid w:val="000C15E7"/>
    <w:rsid w:val="000D2311"/>
    <w:rsid w:val="000D7283"/>
    <w:rsid w:val="000E0AAA"/>
    <w:rsid w:val="000F335F"/>
    <w:rsid w:val="001016CF"/>
    <w:rsid w:val="00101FB6"/>
    <w:rsid w:val="00103A79"/>
    <w:rsid w:val="001049FA"/>
    <w:rsid w:val="00104D0C"/>
    <w:rsid w:val="0010591C"/>
    <w:rsid w:val="00106E93"/>
    <w:rsid w:val="00112294"/>
    <w:rsid w:val="00117225"/>
    <w:rsid w:val="00122C9A"/>
    <w:rsid w:val="00136A0A"/>
    <w:rsid w:val="00137A21"/>
    <w:rsid w:val="001513F4"/>
    <w:rsid w:val="0015362A"/>
    <w:rsid w:val="001601C7"/>
    <w:rsid w:val="0016100C"/>
    <w:rsid w:val="00161E9E"/>
    <w:rsid w:val="00162A91"/>
    <w:rsid w:val="001773F0"/>
    <w:rsid w:val="0018249A"/>
    <w:rsid w:val="00183770"/>
    <w:rsid w:val="001A2FD0"/>
    <w:rsid w:val="001B215C"/>
    <w:rsid w:val="001C0F61"/>
    <w:rsid w:val="001D36F0"/>
    <w:rsid w:val="001F2976"/>
    <w:rsid w:val="001F2A78"/>
    <w:rsid w:val="001F4A3F"/>
    <w:rsid w:val="001F6057"/>
    <w:rsid w:val="00215238"/>
    <w:rsid w:val="00216074"/>
    <w:rsid w:val="00221C3A"/>
    <w:rsid w:val="00224EBC"/>
    <w:rsid w:val="002309E9"/>
    <w:rsid w:val="002315CB"/>
    <w:rsid w:val="002331A3"/>
    <w:rsid w:val="002470E2"/>
    <w:rsid w:val="00251670"/>
    <w:rsid w:val="00253FCC"/>
    <w:rsid w:val="0026015B"/>
    <w:rsid w:val="0026472D"/>
    <w:rsid w:val="00266AE8"/>
    <w:rsid w:val="00270B53"/>
    <w:rsid w:val="00270DEE"/>
    <w:rsid w:val="00272943"/>
    <w:rsid w:val="00281771"/>
    <w:rsid w:val="0028627A"/>
    <w:rsid w:val="002952A2"/>
    <w:rsid w:val="00296AA2"/>
    <w:rsid w:val="002A0B7A"/>
    <w:rsid w:val="002A56DD"/>
    <w:rsid w:val="002A63EB"/>
    <w:rsid w:val="002C5FCE"/>
    <w:rsid w:val="002D2839"/>
    <w:rsid w:val="002E7B11"/>
    <w:rsid w:val="002F03F5"/>
    <w:rsid w:val="002F3FC5"/>
    <w:rsid w:val="003011A0"/>
    <w:rsid w:val="00301869"/>
    <w:rsid w:val="00307B55"/>
    <w:rsid w:val="00311108"/>
    <w:rsid w:val="00316B71"/>
    <w:rsid w:val="003236AF"/>
    <w:rsid w:val="0033093A"/>
    <w:rsid w:val="00331032"/>
    <w:rsid w:val="00331E46"/>
    <w:rsid w:val="00333537"/>
    <w:rsid w:val="003336BF"/>
    <w:rsid w:val="00333F9D"/>
    <w:rsid w:val="003465F0"/>
    <w:rsid w:val="003517DC"/>
    <w:rsid w:val="003633A7"/>
    <w:rsid w:val="003651BE"/>
    <w:rsid w:val="00365616"/>
    <w:rsid w:val="00365D64"/>
    <w:rsid w:val="0036634B"/>
    <w:rsid w:val="00375EB4"/>
    <w:rsid w:val="003765FB"/>
    <w:rsid w:val="00377597"/>
    <w:rsid w:val="0039073B"/>
    <w:rsid w:val="003942A4"/>
    <w:rsid w:val="003A0716"/>
    <w:rsid w:val="003A1D79"/>
    <w:rsid w:val="003A1DFE"/>
    <w:rsid w:val="003A27E2"/>
    <w:rsid w:val="003A526E"/>
    <w:rsid w:val="003B5745"/>
    <w:rsid w:val="003C08B4"/>
    <w:rsid w:val="003C3F3D"/>
    <w:rsid w:val="003C548A"/>
    <w:rsid w:val="003D1967"/>
    <w:rsid w:val="003E32D2"/>
    <w:rsid w:val="003E444B"/>
    <w:rsid w:val="003E551C"/>
    <w:rsid w:val="003E5E17"/>
    <w:rsid w:val="003E63A1"/>
    <w:rsid w:val="0040022F"/>
    <w:rsid w:val="00400281"/>
    <w:rsid w:val="004005F7"/>
    <w:rsid w:val="00400BD5"/>
    <w:rsid w:val="00407B60"/>
    <w:rsid w:val="00422314"/>
    <w:rsid w:val="00422E81"/>
    <w:rsid w:val="00423B00"/>
    <w:rsid w:val="00425F6C"/>
    <w:rsid w:val="00431F14"/>
    <w:rsid w:val="00431F85"/>
    <w:rsid w:val="004378BA"/>
    <w:rsid w:val="00442674"/>
    <w:rsid w:val="00445C93"/>
    <w:rsid w:val="0044703E"/>
    <w:rsid w:val="00450CE6"/>
    <w:rsid w:val="004525CD"/>
    <w:rsid w:val="00460675"/>
    <w:rsid w:val="00464E60"/>
    <w:rsid w:val="00466594"/>
    <w:rsid w:val="0046673E"/>
    <w:rsid w:val="0046788C"/>
    <w:rsid w:val="0047251F"/>
    <w:rsid w:val="0047747D"/>
    <w:rsid w:val="00480C30"/>
    <w:rsid w:val="00480F33"/>
    <w:rsid w:val="00485FDD"/>
    <w:rsid w:val="00493CE6"/>
    <w:rsid w:val="00495310"/>
    <w:rsid w:val="004A1043"/>
    <w:rsid w:val="004A47A7"/>
    <w:rsid w:val="004A52FF"/>
    <w:rsid w:val="004C0140"/>
    <w:rsid w:val="004C79E8"/>
    <w:rsid w:val="004D01F1"/>
    <w:rsid w:val="004D1556"/>
    <w:rsid w:val="004E0AD4"/>
    <w:rsid w:val="004E1802"/>
    <w:rsid w:val="004E6AA7"/>
    <w:rsid w:val="004F079E"/>
    <w:rsid w:val="004F095C"/>
    <w:rsid w:val="004F7C39"/>
    <w:rsid w:val="005008B7"/>
    <w:rsid w:val="00505743"/>
    <w:rsid w:val="00507854"/>
    <w:rsid w:val="00511D00"/>
    <w:rsid w:val="00516785"/>
    <w:rsid w:val="00523137"/>
    <w:rsid w:val="0052412B"/>
    <w:rsid w:val="0052474B"/>
    <w:rsid w:val="00526197"/>
    <w:rsid w:val="00535D23"/>
    <w:rsid w:val="00541E6A"/>
    <w:rsid w:val="00544D11"/>
    <w:rsid w:val="005457D1"/>
    <w:rsid w:val="0055179B"/>
    <w:rsid w:val="0055372E"/>
    <w:rsid w:val="005566FD"/>
    <w:rsid w:val="0055729E"/>
    <w:rsid w:val="00561206"/>
    <w:rsid w:val="00564204"/>
    <w:rsid w:val="00567411"/>
    <w:rsid w:val="00576F19"/>
    <w:rsid w:val="005819A8"/>
    <w:rsid w:val="005829F8"/>
    <w:rsid w:val="005908EF"/>
    <w:rsid w:val="005923D4"/>
    <w:rsid w:val="005A0E9C"/>
    <w:rsid w:val="005A192C"/>
    <w:rsid w:val="005B1555"/>
    <w:rsid w:val="005B20FE"/>
    <w:rsid w:val="005C0BBF"/>
    <w:rsid w:val="005C44A1"/>
    <w:rsid w:val="005C5B46"/>
    <w:rsid w:val="005C7D8A"/>
    <w:rsid w:val="005D2595"/>
    <w:rsid w:val="005E6E80"/>
    <w:rsid w:val="005F618B"/>
    <w:rsid w:val="005F64B2"/>
    <w:rsid w:val="00615B91"/>
    <w:rsid w:val="006172B4"/>
    <w:rsid w:val="006226DD"/>
    <w:rsid w:val="00624BCA"/>
    <w:rsid w:val="00625083"/>
    <w:rsid w:val="00631CE3"/>
    <w:rsid w:val="00634068"/>
    <w:rsid w:val="006350B0"/>
    <w:rsid w:val="00640CB2"/>
    <w:rsid w:val="00643B5E"/>
    <w:rsid w:val="00654BE2"/>
    <w:rsid w:val="00657C36"/>
    <w:rsid w:val="00670D98"/>
    <w:rsid w:val="00680431"/>
    <w:rsid w:val="00690E3C"/>
    <w:rsid w:val="00691CCC"/>
    <w:rsid w:val="00692198"/>
    <w:rsid w:val="00692E03"/>
    <w:rsid w:val="00693F96"/>
    <w:rsid w:val="006A7A2A"/>
    <w:rsid w:val="006B0506"/>
    <w:rsid w:val="006B1F16"/>
    <w:rsid w:val="006B59EE"/>
    <w:rsid w:val="006B778D"/>
    <w:rsid w:val="006C75C6"/>
    <w:rsid w:val="006D06C7"/>
    <w:rsid w:val="006D2D14"/>
    <w:rsid w:val="006E29BD"/>
    <w:rsid w:val="006F1947"/>
    <w:rsid w:val="006F23DE"/>
    <w:rsid w:val="006F6E7C"/>
    <w:rsid w:val="007013D8"/>
    <w:rsid w:val="00705F05"/>
    <w:rsid w:val="0071055E"/>
    <w:rsid w:val="00711D24"/>
    <w:rsid w:val="00721D78"/>
    <w:rsid w:val="007231F2"/>
    <w:rsid w:val="00726F96"/>
    <w:rsid w:val="00727CCA"/>
    <w:rsid w:val="00730B84"/>
    <w:rsid w:val="007362A3"/>
    <w:rsid w:val="007406FD"/>
    <w:rsid w:val="00741765"/>
    <w:rsid w:val="00742850"/>
    <w:rsid w:val="007519B3"/>
    <w:rsid w:val="00756C6E"/>
    <w:rsid w:val="00761DA0"/>
    <w:rsid w:val="007620CF"/>
    <w:rsid w:val="0076382A"/>
    <w:rsid w:val="007709D7"/>
    <w:rsid w:val="00770E93"/>
    <w:rsid w:val="00775A7B"/>
    <w:rsid w:val="007846D8"/>
    <w:rsid w:val="0078706E"/>
    <w:rsid w:val="00790BF0"/>
    <w:rsid w:val="0079634D"/>
    <w:rsid w:val="007975B6"/>
    <w:rsid w:val="007A4251"/>
    <w:rsid w:val="007B0FA4"/>
    <w:rsid w:val="007C303F"/>
    <w:rsid w:val="007C559B"/>
    <w:rsid w:val="007D18FD"/>
    <w:rsid w:val="007D2E27"/>
    <w:rsid w:val="007D4B9A"/>
    <w:rsid w:val="007D57E6"/>
    <w:rsid w:val="007D6089"/>
    <w:rsid w:val="007E49C3"/>
    <w:rsid w:val="007E608C"/>
    <w:rsid w:val="007F1C67"/>
    <w:rsid w:val="00800289"/>
    <w:rsid w:val="00804325"/>
    <w:rsid w:val="008059EA"/>
    <w:rsid w:val="00806D99"/>
    <w:rsid w:val="00807193"/>
    <w:rsid w:val="00822E57"/>
    <w:rsid w:val="00824888"/>
    <w:rsid w:val="00824CBF"/>
    <w:rsid w:val="008372A6"/>
    <w:rsid w:val="00837626"/>
    <w:rsid w:val="0083782E"/>
    <w:rsid w:val="008540E7"/>
    <w:rsid w:val="0085713B"/>
    <w:rsid w:val="00865907"/>
    <w:rsid w:val="008678BD"/>
    <w:rsid w:val="008744B2"/>
    <w:rsid w:val="00877250"/>
    <w:rsid w:val="008776B8"/>
    <w:rsid w:val="00881E90"/>
    <w:rsid w:val="0089170B"/>
    <w:rsid w:val="00896392"/>
    <w:rsid w:val="008A3EEB"/>
    <w:rsid w:val="008C3BBF"/>
    <w:rsid w:val="008C3E5F"/>
    <w:rsid w:val="008C504F"/>
    <w:rsid w:val="008D0668"/>
    <w:rsid w:val="008D339B"/>
    <w:rsid w:val="008D4285"/>
    <w:rsid w:val="008D73C4"/>
    <w:rsid w:val="008E7B73"/>
    <w:rsid w:val="008E7CC1"/>
    <w:rsid w:val="008F0703"/>
    <w:rsid w:val="008F123A"/>
    <w:rsid w:val="008F2016"/>
    <w:rsid w:val="008F60F0"/>
    <w:rsid w:val="00902FD4"/>
    <w:rsid w:val="00904C4C"/>
    <w:rsid w:val="00906EED"/>
    <w:rsid w:val="009108EB"/>
    <w:rsid w:val="00912FBD"/>
    <w:rsid w:val="009166B0"/>
    <w:rsid w:val="009222EA"/>
    <w:rsid w:val="00922C98"/>
    <w:rsid w:val="00924693"/>
    <w:rsid w:val="009272A7"/>
    <w:rsid w:val="00943C91"/>
    <w:rsid w:val="009443A2"/>
    <w:rsid w:val="00947C75"/>
    <w:rsid w:val="0096018B"/>
    <w:rsid w:val="00960744"/>
    <w:rsid w:val="00964373"/>
    <w:rsid w:val="0097182E"/>
    <w:rsid w:val="00977F47"/>
    <w:rsid w:val="00987741"/>
    <w:rsid w:val="00991252"/>
    <w:rsid w:val="009A0CAB"/>
    <w:rsid w:val="009A2941"/>
    <w:rsid w:val="009A3694"/>
    <w:rsid w:val="009A550A"/>
    <w:rsid w:val="009B1295"/>
    <w:rsid w:val="009B1AE2"/>
    <w:rsid w:val="009B7A03"/>
    <w:rsid w:val="009C1E28"/>
    <w:rsid w:val="009C20F4"/>
    <w:rsid w:val="009C35ED"/>
    <w:rsid w:val="009D7646"/>
    <w:rsid w:val="009E1BE1"/>
    <w:rsid w:val="009E2682"/>
    <w:rsid w:val="009E2DA6"/>
    <w:rsid w:val="009F4C37"/>
    <w:rsid w:val="009F5764"/>
    <w:rsid w:val="009F64BD"/>
    <w:rsid w:val="00A006C4"/>
    <w:rsid w:val="00A0110C"/>
    <w:rsid w:val="00A12365"/>
    <w:rsid w:val="00A264C9"/>
    <w:rsid w:val="00A35FCE"/>
    <w:rsid w:val="00A403BB"/>
    <w:rsid w:val="00A40503"/>
    <w:rsid w:val="00A4600D"/>
    <w:rsid w:val="00A46DE3"/>
    <w:rsid w:val="00A46E9E"/>
    <w:rsid w:val="00A553C6"/>
    <w:rsid w:val="00A60147"/>
    <w:rsid w:val="00A73411"/>
    <w:rsid w:val="00A75B9D"/>
    <w:rsid w:val="00A75C45"/>
    <w:rsid w:val="00A7615D"/>
    <w:rsid w:val="00A811C1"/>
    <w:rsid w:val="00A93C11"/>
    <w:rsid w:val="00A94173"/>
    <w:rsid w:val="00A9611C"/>
    <w:rsid w:val="00AA0734"/>
    <w:rsid w:val="00AA2113"/>
    <w:rsid w:val="00AA2FE4"/>
    <w:rsid w:val="00AA601C"/>
    <w:rsid w:val="00AC1CE4"/>
    <w:rsid w:val="00AC42CC"/>
    <w:rsid w:val="00AC601F"/>
    <w:rsid w:val="00AD1194"/>
    <w:rsid w:val="00AD420E"/>
    <w:rsid w:val="00AD4E7F"/>
    <w:rsid w:val="00AD6282"/>
    <w:rsid w:val="00AE27A7"/>
    <w:rsid w:val="00AE3CFA"/>
    <w:rsid w:val="00AE564D"/>
    <w:rsid w:val="00AE788E"/>
    <w:rsid w:val="00AF0DB8"/>
    <w:rsid w:val="00AF6712"/>
    <w:rsid w:val="00B00A07"/>
    <w:rsid w:val="00B06493"/>
    <w:rsid w:val="00B13B6F"/>
    <w:rsid w:val="00B24C33"/>
    <w:rsid w:val="00B31F1D"/>
    <w:rsid w:val="00B35ABE"/>
    <w:rsid w:val="00B42920"/>
    <w:rsid w:val="00B4567E"/>
    <w:rsid w:val="00B50CE8"/>
    <w:rsid w:val="00B557CE"/>
    <w:rsid w:val="00B61C2F"/>
    <w:rsid w:val="00B636D5"/>
    <w:rsid w:val="00B67A0D"/>
    <w:rsid w:val="00B73D03"/>
    <w:rsid w:val="00B74B7D"/>
    <w:rsid w:val="00B82BA5"/>
    <w:rsid w:val="00B83577"/>
    <w:rsid w:val="00B8678C"/>
    <w:rsid w:val="00B91888"/>
    <w:rsid w:val="00B95DEA"/>
    <w:rsid w:val="00BA682C"/>
    <w:rsid w:val="00BA6BCD"/>
    <w:rsid w:val="00BB0702"/>
    <w:rsid w:val="00BB2075"/>
    <w:rsid w:val="00BB7DA4"/>
    <w:rsid w:val="00BD3464"/>
    <w:rsid w:val="00BE102A"/>
    <w:rsid w:val="00BE3BD8"/>
    <w:rsid w:val="00BE6ADC"/>
    <w:rsid w:val="00BF017D"/>
    <w:rsid w:val="00BF2470"/>
    <w:rsid w:val="00BF282D"/>
    <w:rsid w:val="00BF7868"/>
    <w:rsid w:val="00C01842"/>
    <w:rsid w:val="00C0225F"/>
    <w:rsid w:val="00C0285E"/>
    <w:rsid w:val="00C04ED6"/>
    <w:rsid w:val="00C06CF1"/>
    <w:rsid w:val="00C1210D"/>
    <w:rsid w:val="00C20BB0"/>
    <w:rsid w:val="00C25340"/>
    <w:rsid w:val="00C260D0"/>
    <w:rsid w:val="00C309EC"/>
    <w:rsid w:val="00C329AE"/>
    <w:rsid w:val="00C35FBF"/>
    <w:rsid w:val="00C36A2E"/>
    <w:rsid w:val="00C50FCB"/>
    <w:rsid w:val="00C64BD0"/>
    <w:rsid w:val="00C66C42"/>
    <w:rsid w:val="00C70BE7"/>
    <w:rsid w:val="00C7187C"/>
    <w:rsid w:val="00C72292"/>
    <w:rsid w:val="00C7290A"/>
    <w:rsid w:val="00C76445"/>
    <w:rsid w:val="00C77963"/>
    <w:rsid w:val="00C912ED"/>
    <w:rsid w:val="00C91DCA"/>
    <w:rsid w:val="00C941A0"/>
    <w:rsid w:val="00CB156C"/>
    <w:rsid w:val="00CB3961"/>
    <w:rsid w:val="00CB4F62"/>
    <w:rsid w:val="00CB698C"/>
    <w:rsid w:val="00CC26B4"/>
    <w:rsid w:val="00CC6994"/>
    <w:rsid w:val="00CD1A2F"/>
    <w:rsid w:val="00CD41CD"/>
    <w:rsid w:val="00CE1F32"/>
    <w:rsid w:val="00CE45FC"/>
    <w:rsid w:val="00CF337D"/>
    <w:rsid w:val="00CF5BC5"/>
    <w:rsid w:val="00CF74C4"/>
    <w:rsid w:val="00D01042"/>
    <w:rsid w:val="00D012A0"/>
    <w:rsid w:val="00D025BF"/>
    <w:rsid w:val="00D029C5"/>
    <w:rsid w:val="00D02E56"/>
    <w:rsid w:val="00D032D4"/>
    <w:rsid w:val="00D07700"/>
    <w:rsid w:val="00D07CD3"/>
    <w:rsid w:val="00D07DF5"/>
    <w:rsid w:val="00D153E9"/>
    <w:rsid w:val="00D154A2"/>
    <w:rsid w:val="00D45D13"/>
    <w:rsid w:val="00D51709"/>
    <w:rsid w:val="00D53101"/>
    <w:rsid w:val="00D5447D"/>
    <w:rsid w:val="00D620BC"/>
    <w:rsid w:val="00D63EE1"/>
    <w:rsid w:val="00D661AE"/>
    <w:rsid w:val="00D70FF8"/>
    <w:rsid w:val="00D8088F"/>
    <w:rsid w:val="00D85FCE"/>
    <w:rsid w:val="00D927ED"/>
    <w:rsid w:val="00DA0523"/>
    <w:rsid w:val="00DA57B3"/>
    <w:rsid w:val="00DB160E"/>
    <w:rsid w:val="00DB1C4D"/>
    <w:rsid w:val="00DB45B4"/>
    <w:rsid w:val="00DB7CBC"/>
    <w:rsid w:val="00DC0949"/>
    <w:rsid w:val="00DC1E2C"/>
    <w:rsid w:val="00DC594C"/>
    <w:rsid w:val="00DC7B9C"/>
    <w:rsid w:val="00DC7D38"/>
    <w:rsid w:val="00DD3889"/>
    <w:rsid w:val="00DD5081"/>
    <w:rsid w:val="00DE1ACA"/>
    <w:rsid w:val="00DE3B1E"/>
    <w:rsid w:val="00DE713F"/>
    <w:rsid w:val="00DE78DF"/>
    <w:rsid w:val="00DF10B0"/>
    <w:rsid w:val="00DF766F"/>
    <w:rsid w:val="00E139BB"/>
    <w:rsid w:val="00E14BB9"/>
    <w:rsid w:val="00E16BDB"/>
    <w:rsid w:val="00E214FD"/>
    <w:rsid w:val="00E2253D"/>
    <w:rsid w:val="00E2305E"/>
    <w:rsid w:val="00E26322"/>
    <w:rsid w:val="00E26755"/>
    <w:rsid w:val="00E3042C"/>
    <w:rsid w:val="00E31E92"/>
    <w:rsid w:val="00E35E14"/>
    <w:rsid w:val="00E37072"/>
    <w:rsid w:val="00E54E88"/>
    <w:rsid w:val="00E65697"/>
    <w:rsid w:val="00E706A7"/>
    <w:rsid w:val="00E77D31"/>
    <w:rsid w:val="00E9514C"/>
    <w:rsid w:val="00EA18DE"/>
    <w:rsid w:val="00EA695F"/>
    <w:rsid w:val="00EA6F4F"/>
    <w:rsid w:val="00EB1E14"/>
    <w:rsid w:val="00EB3721"/>
    <w:rsid w:val="00EB7F28"/>
    <w:rsid w:val="00EC020D"/>
    <w:rsid w:val="00EC3282"/>
    <w:rsid w:val="00ED3816"/>
    <w:rsid w:val="00ED4A85"/>
    <w:rsid w:val="00EE05CF"/>
    <w:rsid w:val="00EE61C8"/>
    <w:rsid w:val="00EE7648"/>
    <w:rsid w:val="00EF374A"/>
    <w:rsid w:val="00EF6B6E"/>
    <w:rsid w:val="00EF7488"/>
    <w:rsid w:val="00F06AAD"/>
    <w:rsid w:val="00F20D73"/>
    <w:rsid w:val="00F226A9"/>
    <w:rsid w:val="00F22DF5"/>
    <w:rsid w:val="00F240A3"/>
    <w:rsid w:val="00F25CEB"/>
    <w:rsid w:val="00F3407E"/>
    <w:rsid w:val="00F347AB"/>
    <w:rsid w:val="00F3641B"/>
    <w:rsid w:val="00F40260"/>
    <w:rsid w:val="00F4245D"/>
    <w:rsid w:val="00F5557D"/>
    <w:rsid w:val="00F57997"/>
    <w:rsid w:val="00F73BAD"/>
    <w:rsid w:val="00F751FB"/>
    <w:rsid w:val="00F7597A"/>
    <w:rsid w:val="00F839D5"/>
    <w:rsid w:val="00F86CDD"/>
    <w:rsid w:val="00F909BB"/>
    <w:rsid w:val="00F91121"/>
    <w:rsid w:val="00F9612B"/>
    <w:rsid w:val="00F97C73"/>
    <w:rsid w:val="00FA240E"/>
    <w:rsid w:val="00FA4F21"/>
    <w:rsid w:val="00FA50D5"/>
    <w:rsid w:val="00FE146D"/>
    <w:rsid w:val="00FE1ADF"/>
    <w:rsid w:val="00FE31C9"/>
    <w:rsid w:val="00FE67DE"/>
    <w:rsid w:val="00FE7A85"/>
    <w:rsid w:val="00FF61D6"/>
    <w:rsid w:val="00FF6D4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FC5B-2A55-4C23-B840-A2C9266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FD3D-0108-4A95-85C3-9BF75D98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transsp</cp:lastModifiedBy>
  <cp:revision>2</cp:revision>
  <cp:lastPrinted>2018-11-12T12:55:00Z</cp:lastPrinted>
  <dcterms:created xsi:type="dcterms:W3CDTF">2019-10-31T15:52:00Z</dcterms:created>
  <dcterms:modified xsi:type="dcterms:W3CDTF">2019-10-31T15:52:00Z</dcterms:modified>
</cp:coreProperties>
</file>