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220"/>
        <w:gridCol w:w="2340"/>
      </w:tblGrid>
      <w:tr w:rsidR="00F829F5" w:rsidTr="00F24C7E">
        <w:tc>
          <w:tcPr>
            <w:tcW w:w="2965" w:type="dxa"/>
            <w:shd w:val="clear" w:color="auto" w:fill="D9D9D9" w:themeFill="background1" w:themeFillShade="D9"/>
          </w:tcPr>
          <w:p w:rsidR="00F829F5" w:rsidRDefault="00F829F5">
            <w:r>
              <w:rPr>
                <w:b/>
                <w:i/>
              </w:rPr>
              <w:t>Targets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F829F5" w:rsidRDefault="00F829F5">
            <w:r>
              <w:rPr>
                <w:b/>
                <w:i/>
              </w:rPr>
              <w:t>Strategic Performance Indicator (SPI)-measurement for success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829F5" w:rsidRPr="008F3375" w:rsidRDefault="00F829F5" w:rsidP="008F33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Proposed Lead </w:t>
            </w:r>
          </w:p>
        </w:tc>
      </w:tr>
      <w:tr w:rsidR="00F829F5" w:rsidTr="00003DF4">
        <w:tc>
          <w:tcPr>
            <w:tcW w:w="10525" w:type="dxa"/>
            <w:gridSpan w:val="3"/>
            <w:shd w:val="clear" w:color="auto" w:fill="F2F2F2" w:themeFill="background1" w:themeFillShade="F2"/>
          </w:tcPr>
          <w:p w:rsidR="00F829F5" w:rsidRDefault="00F829F5">
            <w:r w:rsidRPr="00D868BA">
              <w:rPr>
                <w:b/>
              </w:rPr>
              <w:t>Goal 1: Evolving the hydrographic support for safety and efficiency of maritime navigation, undergoing profound transformation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1.1 Deliver standards for hydrographic data and specifications of hydrographic products; support their regular production; and coordinate regional and global services for their provision.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numPr>
                <w:ilvl w:val="2"/>
                <w:numId w:val="1"/>
              </w:numPr>
              <w:tabs>
                <w:tab w:val="left" w:pos="724"/>
              </w:tabs>
              <w:spacing w:before="98" w:line="276" w:lineRule="auto"/>
              <w:ind w:right="102" w:firstLine="62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Percentage of Member States having operationalized production and distribution of hydrographic data products and services based on IHO Universal Hydrographic Data Model (S-100), under an implementation framework of coordination and agreed timelines (2026:</w:t>
            </w:r>
            <w:r w:rsidRPr="008F3375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100%).</w:t>
            </w:r>
          </w:p>
          <w:p w:rsidR="00F829F5" w:rsidRPr="008F3375" w:rsidRDefault="00F829F5" w:rsidP="008F3375">
            <w:pPr>
              <w:pStyle w:val="TableParagraph"/>
              <w:numPr>
                <w:ilvl w:val="2"/>
                <w:numId w:val="1"/>
              </w:numPr>
              <w:tabs>
                <w:tab w:val="left" w:pos="660"/>
              </w:tabs>
              <w:spacing w:before="101" w:line="273" w:lineRule="auto"/>
              <w:ind w:right="285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of hydrographic data products and services based on Universal Hydrographic Data Model that cater for the new requirements: autonomous shipping, reduction of</w:t>
            </w:r>
            <w:r w:rsidRPr="008F3375">
              <w:rPr>
                <w:rFonts w:asciiTheme="minorHAnsi" w:hAnsiTheme="minorHAnsi" w:cstheme="minorHAnsi"/>
                <w:spacing w:val="1"/>
                <w:sz w:val="20"/>
                <w:szCs w:val="20"/>
                <w:lang w:val="en-US"/>
              </w:rPr>
              <w:t xml:space="preserve"> </w:t>
            </w: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emission.</w:t>
            </w:r>
          </w:p>
        </w:tc>
        <w:tc>
          <w:tcPr>
            <w:tcW w:w="2340" w:type="dxa"/>
          </w:tcPr>
          <w:p w:rsidR="00F829F5" w:rsidRDefault="00F829F5" w:rsidP="008F3375"/>
          <w:p w:rsidR="00F829F5" w:rsidRDefault="00F829F5" w:rsidP="008F3375">
            <w:r>
              <w:t>HSSC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1.2 Develop standards, specifications and guidelines in the areas of data assurance, including cyber security and data quality assessment.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numPr>
                <w:ilvl w:val="2"/>
                <w:numId w:val="2"/>
              </w:numPr>
              <w:tabs>
                <w:tab w:val="left" w:pos="661"/>
              </w:tabs>
              <w:spacing w:before="98" w:line="276" w:lineRule="auto"/>
              <w:ind w:right="15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Percentage of hydrographic data products and services based on S-100 model that are covered by IHO standards, specifications and guidelines on cyber security (2026: 100%).</w:t>
            </w:r>
          </w:p>
          <w:p w:rsidR="00F829F5" w:rsidRPr="008F3375" w:rsidRDefault="00F829F5" w:rsidP="008F3375">
            <w:pPr>
              <w:pStyle w:val="TableParagraph"/>
              <w:numPr>
                <w:ilvl w:val="2"/>
                <w:numId w:val="2"/>
              </w:numPr>
              <w:tabs>
                <w:tab w:val="left" w:pos="661"/>
              </w:tabs>
              <w:spacing w:before="98" w:line="276" w:lineRule="auto"/>
              <w:ind w:right="15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Percentage of navigationally significant areas (e.g. charted traffic separation schemes, anchorages, channels) for which the adequacy of the hydrographic knowledge is assessed through the use of appropriate quality indicators (2026:100%).</w:t>
            </w:r>
          </w:p>
        </w:tc>
        <w:tc>
          <w:tcPr>
            <w:tcW w:w="2340" w:type="dxa"/>
          </w:tcPr>
          <w:p w:rsidR="00F829F5" w:rsidRDefault="00F829F5" w:rsidP="008F3375">
            <w:r>
              <w:t>HSSC</w:t>
            </w:r>
          </w:p>
          <w:p w:rsidR="00F829F5" w:rsidRDefault="00F829F5" w:rsidP="008F3375">
            <w:r>
              <w:t>IRCC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1.3 Use capacity building and training to develop and increase the ability of Member States to support safety and efficiency of maritime navigation.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left="108" w:right="41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1.3.1 Ability and capability of Member States to meet the requirements and delivery phases of the S100 implementation plan (2026: 50%).</w:t>
            </w:r>
          </w:p>
        </w:tc>
        <w:tc>
          <w:tcPr>
            <w:tcW w:w="2340" w:type="dxa"/>
          </w:tcPr>
          <w:p w:rsidR="00F829F5" w:rsidRDefault="00F829F5" w:rsidP="008F3375">
            <w:r>
              <w:t>IRCC</w:t>
            </w:r>
          </w:p>
        </w:tc>
      </w:tr>
    </w:tbl>
    <w:p w:rsidR="008843A7" w:rsidRDefault="008843A7"/>
    <w:p w:rsidR="008F3375" w:rsidRDefault="008F3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220"/>
        <w:gridCol w:w="2340"/>
      </w:tblGrid>
      <w:tr w:rsidR="00F829F5" w:rsidTr="00F24C7E">
        <w:tc>
          <w:tcPr>
            <w:tcW w:w="2965" w:type="dxa"/>
            <w:shd w:val="clear" w:color="auto" w:fill="D9D9D9" w:themeFill="background1" w:themeFillShade="D9"/>
          </w:tcPr>
          <w:p w:rsidR="00F829F5" w:rsidRPr="008F3375" w:rsidRDefault="00F829F5" w:rsidP="00C6494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Targets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F829F5" w:rsidRPr="008F3375" w:rsidRDefault="00F829F5" w:rsidP="00C64948">
            <w:pPr>
              <w:rPr>
                <w:b/>
                <w:i/>
              </w:rPr>
            </w:pPr>
            <w:r>
              <w:rPr>
                <w:b/>
                <w:i/>
              </w:rPr>
              <w:t>Strategic Performance Indicator (SPI)-measurement for success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829F5" w:rsidRPr="008F3375" w:rsidRDefault="00F829F5" w:rsidP="00C64948">
            <w:pPr>
              <w:rPr>
                <w:b/>
                <w:i/>
              </w:rPr>
            </w:pPr>
            <w:r>
              <w:rPr>
                <w:b/>
                <w:i/>
              </w:rPr>
              <w:t>Proposed Lead</w:t>
            </w:r>
          </w:p>
        </w:tc>
      </w:tr>
      <w:tr w:rsidR="00F829F5" w:rsidTr="00CE64C3">
        <w:tc>
          <w:tcPr>
            <w:tcW w:w="10525" w:type="dxa"/>
            <w:gridSpan w:val="3"/>
            <w:shd w:val="clear" w:color="auto" w:fill="F2F2F2" w:themeFill="background1" w:themeFillShade="F2"/>
          </w:tcPr>
          <w:p w:rsidR="00F829F5" w:rsidRPr="008F3375" w:rsidRDefault="00F829F5" w:rsidP="00C64948">
            <w:pPr>
              <w:rPr>
                <w:b/>
                <w:i/>
              </w:rPr>
            </w:pPr>
            <w:r w:rsidRPr="008F3375">
              <w:rPr>
                <w:b/>
                <w:i/>
              </w:rPr>
              <w:t>Goal 2: Increasing the use of hydrographic data for the benefit of society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2.1 Build a portal to support and promote regional and international cooperation in marine spatial data infrastructures (MSDI).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spacing w:before="98"/>
              <w:ind w:left="108"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2.1.1 Number of hits downloading data/information from the portal.</w:t>
            </w:r>
          </w:p>
        </w:tc>
        <w:tc>
          <w:tcPr>
            <w:tcW w:w="2340" w:type="dxa"/>
          </w:tcPr>
          <w:p w:rsidR="00F829F5" w:rsidRPr="008F3375" w:rsidRDefault="00F829F5" w:rsidP="008F3375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IHO Secretariat/Corporate Affairs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2.2 Promote new tools and methods to accelerate and increase coverage, consistency, quality of surveys in poorly surveyed areas.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numPr>
                <w:ilvl w:val="2"/>
                <w:numId w:val="4"/>
              </w:numPr>
              <w:tabs>
                <w:tab w:val="left" w:pos="660"/>
              </w:tabs>
              <w:spacing w:before="98" w:line="250" w:lineRule="exact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Percentage of adequately surveyed area per coastal state.</w:t>
            </w:r>
          </w:p>
          <w:p w:rsidR="00F829F5" w:rsidRPr="008F3375" w:rsidRDefault="00F829F5" w:rsidP="008F3375">
            <w:pPr>
              <w:pStyle w:val="TableParagraph"/>
              <w:spacing w:before="98"/>
              <w:ind w:left="0"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29F5" w:rsidRPr="008F3375" w:rsidRDefault="00F829F5" w:rsidP="008F3375">
            <w:pPr>
              <w:pStyle w:val="TableParagraph"/>
              <w:numPr>
                <w:ilvl w:val="2"/>
                <w:numId w:val="4"/>
              </w:numPr>
              <w:tabs>
                <w:tab w:val="left" w:pos="661"/>
              </w:tabs>
              <w:spacing w:before="98" w:line="273" w:lineRule="auto"/>
              <w:ind w:left="108" w:right="15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of new applications of the new version of Standards for Hydrographic Surveys (S-44)</w:t>
            </w:r>
          </w:p>
        </w:tc>
        <w:tc>
          <w:tcPr>
            <w:tcW w:w="2340" w:type="dxa"/>
          </w:tcPr>
          <w:p w:rsidR="00F829F5" w:rsidRDefault="00F829F5" w:rsidP="008F3375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  <w:p w:rsidR="00F829F5" w:rsidRDefault="00F829F5" w:rsidP="008F3375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</w:p>
          <w:p w:rsidR="00F829F5" w:rsidRDefault="00F829F5" w:rsidP="008F3375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</w:p>
          <w:p w:rsidR="00F829F5" w:rsidRPr="008F3375" w:rsidRDefault="00F829F5" w:rsidP="008F3375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HSSC</w:t>
            </w:r>
          </w:p>
        </w:tc>
      </w:tr>
      <w:tr w:rsidR="00F829F5" w:rsidTr="00F24C7E">
        <w:tc>
          <w:tcPr>
            <w:tcW w:w="2965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 Apply UN shared guiding principles for geospatial information management in order to ensure interoperability and extended use of hydrographic data in combination with other marine- related data.</w:t>
            </w:r>
          </w:p>
        </w:tc>
        <w:tc>
          <w:tcPr>
            <w:tcW w:w="5220" w:type="dxa"/>
          </w:tcPr>
          <w:p w:rsidR="00F829F5" w:rsidRPr="008F3375" w:rsidRDefault="00F829F5" w:rsidP="008F3375">
            <w:pPr>
              <w:pStyle w:val="TableParagraph"/>
              <w:spacing w:before="98" w:line="276" w:lineRule="auto"/>
              <w:ind w:left="108"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33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2.3.1 Number of HOs reporting success applying the principles in their national contexts (2026: 70%).</w:t>
            </w:r>
          </w:p>
        </w:tc>
        <w:tc>
          <w:tcPr>
            <w:tcW w:w="2340" w:type="dxa"/>
          </w:tcPr>
          <w:p w:rsidR="00F829F5" w:rsidRPr="008F3375" w:rsidRDefault="00F829F5" w:rsidP="008F3375">
            <w:pPr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</w:tc>
      </w:tr>
    </w:tbl>
    <w:p w:rsidR="008F3375" w:rsidRDefault="008F3375"/>
    <w:p w:rsidR="008F3375" w:rsidRDefault="008F3375"/>
    <w:p w:rsidR="00F829F5" w:rsidRDefault="00F829F5"/>
    <w:p w:rsidR="00F829F5" w:rsidRDefault="00F829F5"/>
    <w:p w:rsidR="00F829F5" w:rsidRDefault="00F829F5"/>
    <w:p w:rsidR="008F3375" w:rsidRDefault="008F3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220"/>
        <w:gridCol w:w="2340"/>
      </w:tblGrid>
      <w:tr w:rsidR="00F829F5" w:rsidTr="00F24C7E">
        <w:tc>
          <w:tcPr>
            <w:tcW w:w="2965" w:type="dxa"/>
            <w:shd w:val="clear" w:color="auto" w:fill="D9D9D9" w:themeFill="background1" w:themeFillShade="D9"/>
          </w:tcPr>
          <w:p w:rsidR="00F829F5" w:rsidRDefault="00F829F5" w:rsidP="00C64948">
            <w:r>
              <w:rPr>
                <w:b/>
                <w:i/>
              </w:rPr>
              <w:lastRenderedPageBreak/>
              <w:t>Targets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F829F5" w:rsidRDefault="00F829F5" w:rsidP="00C64948">
            <w:r>
              <w:rPr>
                <w:b/>
                <w:i/>
              </w:rPr>
              <w:t>Strategic Performance Indicator (SPI)-measurement for success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E428A" w:rsidRPr="008F3375" w:rsidRDefault="00EE428A" w:rsidP="00EE42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Proposed </w:t>
            </w:r>
            <w:bookmarkStart w:id="0" w:name="_GoBack"/>
            <w:bookmarkEnd w:id="0"/>
            <w:r w:rsidR="00F829F5">
              <w:rPr>
                <w:b/>
                <w:i/>
              </w:rPr>
              <w:t xml:space="preserve">Lead </w:t>
            </w:r>
          </w:p>
          <w:p w:rsidR="00F829F5" w:rsidRPr="008F3375" w:rsidRDefault="00F829F5" w:rsidP="00C64948">
            <w:pPr>
              <w:rPr>
                <w:b/>
                <w:i/>
              </w:rPr>
            </w:pPr>
          </w:p>
        </w:tc>
      </w:tr>
      <w:tr w:rsidR="00F829F5" w:rsidTr="008B12F6">
        <w:tc>
          <w:tcPr>
            <w:tcW w:w="10525" w:type="dxa"/>
            <w:gridSpan w:val="3"/>
            <w:shd w:val="clear" w:color="auto" w:fill="F2F2F2" w:themeFill="background1" w:themeFillShade="F2"/>
          </w:tcPr>
          <w:p w:rsidR="00F829F5" w:rsidRPr="00D868BA" w:rsidRDefault="00F829F5" w:rsidP="008F3375">
            <w:pPr>
              <w:pStyle w:val="TableParagraph"/>
              <w:spacing w:before="72"/>
              <w:rPr>
                <w:b/>
                <w:lang w:val="en-US"/>
              </w:rPr>
            </w:pPr>
            <w:r w:rsidRPr="008F3375">
              <w:rPr>
                <w:rFonts w:asciiTheme="minorHAnsi" w:eastAsiaTheme="minorHAnsi" w:hAnsiTheme="minorHAnsi" w:cstheme="minorBidi"/>
                <w:b/>
                <w:lang w:val="en-US" w:eastAsia="en-US" w:bidi="ar-SA"/>
              </w:rPr>
              <w:t>Goal 3: Participating actively in international initiatives related to the knowledge and the sustainable use of the Ocean</w:t>
            </w:r>
          </w:p>
        </w:tc>
      </w:tr>
      <w:tr w:rsidR="00F829F5" w:rsidTr="00F24C7E">
        <w:tc>
          <w:tcPr>
            <w:tcW w:w="2965" w:type="dxa"/>
          </w:tcPr>
          <w:p w:rsidR="00F829F5" w:rsidRPr="00F24C7E" w:rsidRDefault="00F829F5" w:rsidP="00F24C7E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3.1 Collaborate with other bodies who deliver capacity building and training to improve effectiveness of capacity building activities and programmes</w:t>
            </w:r>
          </w:p>
        </w:tc>
        <w:tc>
          <w:tcPr>
            <w:tcW w:w="5220" w:type="dxa"/>
          </w:tcPr>
          <w:p w:rsidR="00F829F5" w:rsidRPr="00F24C7E" w:rsidRDefault="00F829F5" w:rsidP="00F24C7E">
            <w:pPr>
              <w:pStyle w:val="TableParagraph"/>
              <w:spacing w:before="98" w:line="276" w:lineRule="auto"/>
              <w:ind w:left="108"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3.1.1 Percentage of Coastal States that are capable to provide marine safety information (MSI) according to the joint IMO/IHO/WMO manual on MSI (2026 90%).</w:t>
            </w:r>
          </w:p>
        </w:tc>
        <w:tc>
          <w:tcPr>
            <w:tcW w:w="2340" w:type="dxa"/>
          </w:tcPr>
          <w:p w:rsidR="00F829F5" w:rsidRPr="00F24C7E" w:rsidRDefault="00F829F5" w:rsidP="00F24C7E">
            <w:pPr>
              <w:spacing w:before="98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</w:tc>
      </w:tr>
      <w:tr w:rsidR="00F829F5" w:rsidTr="00F24C7E">
        <w:tc>
          <w:tcPr>
            <w:tcW w:w="2965" w:type="dxa"/>
          </w:tcPr>
          <w:p w:rsidR="00F829F5" w:rsidRPr="00F24C7E" w:rsidRDefault="00F829F5" w:rsidP="00F24C7E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3.2 Improve knowledge of the world's seafloors</w:t>
            </w:r>
          </w:p>
        </w:tc>
        <w:tc>
          <w:tcPr>
            <w:tcW w:w="5220" w:type="dxa"/>
          </w:tcPr>
          <w:p w:rsidR="00F829F5" w:rsidRPr="00F24C7E" w:rsidRDefault="00F829F5" w:rsidP="00F24C7E">
            <w:pPr>
              <w:pStyle w:val="TableParagraph"/>
              <w:numPr>
                <w:ilvl w:val="2"/>
                <w:numId w:val="5"/>
              </w:numPr>
              <w:tabs>
                <w:tab w:val="left" w:pos="660"/>
              </w:tabs>
              <w:spacing w:before="98" w:line="276" w:lineRule="auto"/>
              <w:ind w:right="15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Amount of data received per year by the IHO Data Centre for Digital Bathymetry (DCDB).</w:t>
            </w:r>
          </w:p>
          <w:p w:rsidR="00F829F5" w:rsidRPr="00F24C7E" w:rsidRDefault="00F829F5" w:rsidP="00F24C7E">
            <w:pPr>
              <w:pStyle w:val="TableParagraph"/>
              <w:numPr>
                <w:ilvl w:val="2"/>
                <w:numId w:val="5"/>
              </w:numPr>
              <w:tabs>
                <w:tab w:val="left" w:pos="660"/>
              </w:tabs>
              <w:spacing w:before="103" w:line="276" w:lineRule="auto"/>
              <w:ind w:left="659"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of contributors to DCDB who are not hydrographic offices.</w:t>
            </w:r>
          </w:p>
          <w:p w:rsidR="00F829F5" w:rsidRPr="00F24C7E" w:rsidRDefault="00F829F5" w:rsidP="00F24C7E">
            <w:pPr>
              <w:pStyle w:val="TableParagraph"/>
              <w:numPr>
                <w:ilvl w:val="2"/>
                <w:numId w:val="5"/>
              </w:numPr>
              <w:tabs>
                <w:tab w:val="left" w:pos="661"/>
              </w:tabs>
              <w:spacing w:before="140" w:line="276" w:lineRule="auto"/>
              <w:ind w:right="153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Percentage of total sea area that is Seabed 2030 compliant for ingestion into the GEBCO dataset and services</w:t>
            </w:r>
          </w:p>
        </w:tc>
        <w:tc>
          <w:tcPr>
            <w:tcW w:w="2340" w:type="dxa"/>
          </w:tcPr>
          <w:p w:rsidR="00F829F5" w:rsidRDefault="00F829F5" w:rsidP="00F24C7E">
            <w:pPr>
              <w:spacing w:line="276" w:lineRule="auto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  <w:p w:rsidR="00F829F5" w:rsidRDefault="00F829F5" w:rsidP="00F24C7E">
            <w:pPr>
              <w:spacing w:line="276" w:lineRule="auto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  <w:p w:rsidR="00F829F5" w:rsidRPr="00F24C7E" w:rsidRDefault="00F829F5" w:rsidP="00F24C7E">
            <w:pPr>
              <w:spacing w:line="276" w:lineRule="auto"/>
              <w:ind w:right="153"/>
              <w:rPr>
                <w:rFonts w:eastAsia="Arial" w:cstheme="minorHAnsi"/>
                <w:sz w:val="20"/>
                <w:szCs w:val="20"/>
                <w:lang w:eastAsia="fr-FR" w:bidi="fr-FR"/>
              </w:rPr>
            </w:pPr>
            <w:r>
              <w:rPr>
                <w:rFonts w:eastAsia="Arial" w:cstheme="minorHAnsi"/>
                <w:sz w:val="20"/>
                <w:szCs w:val="20"/>
                <w:lang w:eastAsia="fr-FR" w:bidi="fr-FR"/>
              </w:rPr>
              <w:t>IRCC</w:t>
            </w:r>
          </w:p>
        </w:tc>
      </w:tr>
      <w:tr w:rsidR="00F829F5" w:rsidTr="00F24C7E">
        <w:tc>
          <w:tcPr>
            <w:tcW w:w="2965" w:type="dxa"/>
          </w:tcPr>
          <w:p w:rsidR="00F829F5" w:rsidRPr="00F24C7E" w:rsidRDefault="00F829F5" w:rsidP="00F24C7E">
            <w:pPr>
              <w:pStyle w:val="TableParagraph"/>
              <w:spacing w:before="98" w:line="276" w:lineRule="auto"/>
              <w:ind w:right="15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3.3 Implement a comprehensive IHO digital communication strategy in order to enhance its visibility and accessibility to its work</w:t>
            </w:r>
          </w:p>
        </w:tc>
        <w:tc>
          <w:tcPr>
            <w:tcW w:w="5220" w:type="dxa"/>
          </w:tcPr>
          <w:p w:rsidR="00F829F5" w:rsidRPr="00F24C7E" w:rsidRDefault="00F829F5" w:rsidP="00F24C7E">
            <w:pPr>
              <w:pStyle w:val="TableParagraph"/>
              <w:numPr>
                <w:ilvl w:val="2"/>
                <w:numId w:val="6"/>
              </w:numPr>
              <w:tabs>
                <w:tab w:val="left" w:pos="660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of visits, likes, re-postings, etc. associated to the IHO social media sites.</w:t>
            </w:r>
          </w:p>
          <w:p w:rsidR="00F829F5" w:rsidRPr="00F24C7E" w:rsidRDefault="00F829F5" w:rsidP="00F24C7E">
            <w:pPr>
              <w:pStyle w:val="TableParagraph"/>
              <w:numPr>
                <w:ilvl w:val="2"/>
                <w:numId w:val="6"/>
              </w:numPr>
              <w:tabs>
                <w:tab w:val="left" w:pos="660"/>
              </w:tabs>
              <w:rPr>
                <w:lang w:val="en-US"/>
              </w:rPr>
            </w:pPr>
            <w:r w:rsidRPr="00F24C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Volume downloaded from the IHO website and Geographical Information System (GIS).</w:t>
            </w:r>
          </w:p>
        </w:tc>
        <w:tc>
          <w:tcPr>
            <w:tcW w:w="2340" w:type="dxa"/>
          </w:tcPr>
          <w:p w:rsidR="00F829F5" w:rsidRDefault="00F829F5" w:rsidP="00F24C7E">
            <w:r>
              <w:t>IHO Secretariat/Corporate Affairs</w:t>
            </w:r>
          </w:p>
        </w:tc>
      </w:tr>
    </w:tbl>
    <w:p w:rsidR="008F3375" w:rsidRDefault="008F3375"/>
    <w:sectPr w:rsidR="008F3375" w:rsidSect="008F3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B5F"/>
    <w:multiLevelType w:val="multilevel"/>
    <w:tmpl w:val="97367058"/>
    <w:lvl w:ilvl="0">
      <w:start w:val="2"/>
      <w:numFmt w:val="decimal"/>
      <w:lvlText w:val="%1"/>
      <w:lvlJc w:val="left"/>
      <w:pPr>
        <w:ind w:left="659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659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659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053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51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46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44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42" w:hanging="552"/>
      </w:pPr>
      <w:rPr>
        <w:rFonts w:hint="default"/>
        <w:lang w:val="fr-FR" w:eastAsia="fr-FR" w:bidi="fr-FR"/>
      </w:rPr>
    </w:lvl>
  </w:abstractNum>
  <w:abstractNum w:abstractNumId="1" w15:restartNumberingAfterBreak="0">
    <w:nsid w:val="0700375E"/>
    <w:multiLevelType w:val="multilevel"/>
    <w:tmpl w:val="0916E0A4"/>
    <w:lvl w:ilvl="0">
      <w:start w:val="3"/>
      <w:numFmt w:val="decimal"/>
      <w:lvlText w:val="%1"/>
      <w:lvlJc w:val="left"/>
      <w:pPr>
        <w:ind w:left="659" w:hanging="552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659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659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3053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51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64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46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44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42" w:hanging="552"/>
      </w:pPr>
      <w:rPr>
        <w:rFonts w:hint="default"/>
        <w:lang w:val="fr-FR" w:eastAsia="fr-FR" w:bidi="fr-FR"/>
      </w:rPr>
    </w:lvl>
  </w:abstractNum>
  <w:abstractNum w:abstractNumId="2" w15:restartNumberingAfterBreak="0">
    <w:nsid w:val="0BE6210C"/>
    <w:multiLevelType w:val="multilevel"/>
    <w:tmpl w:val="ADEA5A64"/>
    <w:lvl w:ilvl="0">
      <w:start w:val="2"/>
      <w:numFmt w:val="decimal"/>
      <w:lvlText w:val="%1"/>
      <w:lvlJc w:val="left"/>
      <w:pPr>
        <w:ind w:left="660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660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660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1309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1525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1742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1958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2174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2391" w:hanging="552"/>
      </w:pPr>
      <w:rPr>
        <w:rFonts w:hint="default"/>
        <w:lang w:val="fr-FR" w:eastAsia="fr-FR" w:bidi="fr-FR"/>
      </w:rPr>
    </w:lvl>
  </w:abstractNum>
  <w:abstractNum w:abstractNumId="3" w15:restartNumberingAfterBreak="0">
    <w:nsid w:val="275E761B"/>
    <w:multiLevelType w:val="multilevel"/>
    <w:tmpl w:val="4D02AF0E"/>
    <w:lvl w:ilvl="0">
      <w:start w:val="3"/>
      <w:numFmt w:val="decimal"/>
      <w:lvlText w:val="%1"/>
      <w:lvlJc w:val="left"/>
      <w:pPr>
        <w:ind w:left="108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108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08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661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5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6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222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76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0" w:hanging="552"/>
      </w:pPr>
      <w:rPr>
        <w:rFonts w:hint="default"/>
        <w:lang w:val="fr-FR" w:eastAsia="fr-FR" w:bidi="fr-FR"/>
      </w:rPr>
    </w:lvl>
  </w:abstractNum>
  <w:abstractNum w:abstractNumId="4" w15:restartNumberingAfterBreak="0">
    <w:nsid w:val="2E662D2E"/>
    <w:multiLevelType w:val="multilevel"/>
    <w:tmpl w:val="4C223F42"/>
    <w:lvl w:ilvl="0">
      <w:start w:val="1"/>
      <w:numFmt w:val="decimal"/>
      <w:lvlText w:val="%1"/>
      <w:lvlJc w:val="left"/>
      <w:pPr>
        <w:ind w:left="108" w:hanging="553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08" w:hanging="553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08" w:hanging="553"/>
        <w:jc w:val="right"/>
      </w:pPr>
      <w:rPr>
        <w:rFonts w:asciiTheme="minorHAnsi" w:eastAsia="Arial" w:hAnsiTheme="minorHAnsi" w:cstheme="minorHAnsi" w:hint="default"/>
        <w:spacing w:val="-3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661" w:hanging="55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5" w:hanging="55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69" w:hanging="55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222" w:hanging="55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76" w:hanging="55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0" w:hanging="553"/>
      </w:pPr>
      <w:rPr>
        <w:rFonts w:hint="default"/>
        <w:lang w:val="fr-FR" w:eastAsia="fr-FR" w:bidi="fr-FR"/>
      </w:rPr>
    </w:lvl>
  </w:abstractNum>
  <w:abstractNum w:abstractNumId="5" w15:restartNumberingAfterBreak="0">
    <w:nsid w:val="2F0D3412"/>
    <w:multiLevelType w:val="multilevel"/>
    <w:tmpl w:val="FF6C64A8"/>
    <w:lvl w:ilvl="0">
      <w:start w:val="1"/>
      <w:numFmt w:val="decimal"/>
      <w:lvlText w:val="%1"/>
      <w:lvlJc w:val="left"/>
      <w:pPr>
        <w:ind w:left="108" w:hanging="552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108" w:hanging="552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08" w:hanging="552"/>
      </w:pPr>
      <w:rPr>
        <w:rFonts w:asciiTheme="minorHAnsi" w:eastAsia="Arial" w:hAnsiTheme="minorHAnsi" w:cstheme="minorHAnsi" w:hint="default"/>
        <w:w w:val="100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2661" w:hanging="552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515" w:hanging="552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69" w:hanging="552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222" w:hanging="552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076" w:hanging="552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6930" w:hanging="552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5"/>
    <w:rsid w:val="00425DDC"/>
    <w:rsid w:val="004D7C8F"/>
    <w:rsid w:val="0068324E"/>
    <w:rsid w:val="008843A7"/>
    <w:rsid w:val="008F3375"/>
    <w:rsid w:val="00C329E2"/>
    <w:rsid w:val="00E44C89"/>
    <w:rsid w:val="00EE428A"/>
    <w:rsid w:val="00F24C7E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7517"/>
  <w15:chartTrackingRefBased/>
  <w15:docId w15:val="{D725B4D2-7505-4FBE-92AB-2A3BCA99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3375"/>
    <w:pPr>
      <w:widowControl w:val="0"/>
      <w:autoSpaceDE w:val="0"/>
      <w:autoSpaceDN w:val="0"/>
      <w:spacing w:before="96" w:after="0" w:line="240" w:lineRule="auto"/>
      <w:ind w:left="110"/>
    </w:pPr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Douglas</dc:creator>
  <cp:keywords/>
  <dc:description/>
  <cp:lastModifiedBy>Brunt, Douglas</cp:lastModifiedBy>
  <cp:revision>4</cp:revision>
  <dcterms:created xsi:type="dcterms:W3CDTF">2020-11-17T17:06:00Z</dcterms:created>
  <dcterms:modified xsi:type="dcterms:W3CDTF">2020-11-17T17:16:00Z</dcterms:modified>
</cp:coreProperties>
</file>