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21822" w14:textId="5C3492E3" w:rsidR="00FB783A" w:rsidRDefault="00FB783A">
      <w:bookmarkStart w:id="0" w:name="_GoBack"/>
      <w:bookmarkEnd w:id="0"/>
    </w:p>
    <w:p w14:paraId="67F3F3B1" w14:textId="1D826FD0" w:rsidR="00FB783A" w:rsidRPr="00FB783A" w:rsidRDefault="005B177D">
      <w:pPr>
        <w:rPr>
          <w:b/>
          <w:bCs/>
          <w:u w:val="single"/>
        </w:rPr>
      </w:pPr>
      <w:r>
        <w:rPr>
          <w:b/>
          <w:bCs/>
          <w:u w:val="single"/>
        </w:rPr>
        <w:t xml:space="preserve">Project Team </w:t>
      </w:r>
      <w:r w:rsidR="007E7111">
        <w:rPr>
          <w:b/>
          <w:bCs/>
          <w:u w:val="single"/>
        </w:rPr>
        <w:t>S</w:t>
      </w:r>
      <w:r>
        <w:rPr>
          <w:b/>
          <w:bCs/>
          <w:u w:val="single"/>
        </w:rPr>
        <w:t xml:space="preserve">-131 </w:t>
      </w:r>
      <w:r w:rsidR="00FD0AC4">
        <w:rPr>
          <w:b/>
          <w:bCs/>
          <w:u w:val="single"/>
        </w:rPr>
        <w:t>–</w:t>
      </w:r>
      <w:r>
        <w:rPr>
          <w:b/>
          <w:bCs/>
          <w:u w:val="single"/>
        </w:rPr>
        <w:t xml:space="preserve"> </w:t>
      </w:r>
      <w:r w:rsidR="00FD0AC4">
        <w:rPr>
          <w:b/>
          <w:bCs/>
          <w:u w:val="single"/>
        </w:rPr>
        <w:t xml:space="preserve">Part 1 Assessment </w:t>
      </w:r>
      <w:r w:rsidR="00F8285F" w:rsidRPr="00F8285F">
        <w:rPr>
          <w:b/>
          <w:bCs/>
          <w:u w:val="single"/>
        </w:rPr>
        <w:t xml:space="preserve">of Project Proposal </w:t>
      </w:r>
      <w:r w:rsidR="00FD0AC4">
        <w:rPr>
          <w:b/>
          <w:bCs/>
          <w:u w:val="single"/>
        </w:rPr>
        <w:t xml:space="preserve">submitted </w:t>
      </w:r>
      <w:r w:rsidR="00F8285F" w:rsidRPr="00F8285F">
        <w:rPr>
          <w:b/>
          <w:bCs/>
          <w:u w:val="single"/>
        </w:rPr>
        <w:t xml:space="preserve">by Project Team Leader for Consideration by IHO-Singapore Innovation and Technology Laboratory Governing Board </w:t>
      </w:r>
    </w:p>
    <w:tbl>
      <w:tblPr>
        <w:tblStyle w:val="TableGrid"/>
        <w:tblW w:w="0" w:type="auto"/>
        <w:tblLook w:val="04A0" w:firstRow="1" w:lastRow="0" w:firstColumn="1" w:lastColumn="0" w:noHBand="0" w:noVBand="1"/>
      </w:tblPr>
      <w:tblGrid>
        <w:gridCol w:w="704"/>
        <w:gridCol w:w="3161"/>
        <w:gridCol w:w="5151"/>
      </w:tblGrid>
      <w:tr w:rsidR="00E8563B" w14:paraId="30F0E682" w14:textId="77777777" w:rsidTr="00A05051">
        <w:tc>
          <w:tcPr>
            <w:tcW w:w="704" w:type="dxa"/>
          </w:tcPr>
          <w:p w14:paraId="3BB01221" w14:textId="74BF2FFD" w:rsidR="00E8563B" w:rsidRPr="00FB783A" w:rsidRDefault="00E8563B">
            <w:pPr>
              <w:rPr>
                <w:b/>
                <w:bCs/>
              </w:rPr>
            </w:pPr>
            <w:r w:rsidRPr="00FB783A">
              <w:rPr>
                <w:b/>
                <w:bCs/>
              </w:rPr>
              <w:t>S/No</w:t>
            </w:r>
          </w:p>
        </w:tc>
        <w:tc>
          <w:tcPr>
            <w:tcW w:w="3161" w:type="dxa"/>
          </w:tcPr>
          <w:p w14:paraId="6CB45CB8" w14:textId="184F051F" w:rsidR="00E8563B" w:rsidRPr="00FB783A" w:rsidRDefault="00E8563B">
            <w:pPr>
              <w:rPr>
                <w:b/>
                <w:bCs/>
              </w:rPr>
            </w:pPr>
            <w:r w:rsidRPr="00FB783A">
              <w:rPr>
                <w:b/>
                <w:bCs/>
              </w:rPr>
              <w:t>Description</w:t>
            </w:r>
          </w:p>
        </w:tc>
        <w:tc>
          <w:tcPr>
            <w:tcW w:w="5151" w:type="dxa"/>
          </w:tcPr>
          <w:p w14:paraId="35EF1B23" w14:textId="7AD12861" w:rsidR="00E8563B" w:rsidRPr="00FB783A" w:rsidRDefault="00491745" w:rsidP="00E8563B">
            <w:pPr>
              <w:jc w:val="center"/>
              <w:rPr>
                <w:b/>
                <w:bCs/>
              </w:rPr>
            </w:pPr>
            <w:r>
              <w:rPr>
                <w:b/>
                <w:bCs/>
              </w:rPr>
              <w:t>Summary of Proposal</w:t>
            </w:r>
          </w:p>
        </w:tc>
      </w:tr>
      <w:tr w:rsidR="00E8563B" w14:paraId="54291A96" w14:textId="77777777" w:rsidTr="002F25FD">
        <w:tc>
          <w:tcPr>
            <w:tcW w:w="704" w:type="dxa"/>
          </w:tcPr>
          <w:p w14:paraId="3D736DFF" w14:textId="26F2B9FF" w:rsidR="00E8563B" w:rsidRPr="00FB783A" w:rsidRDefault="00E8563B">
            <w:r>
              <w:t>1</w:t>
            </w:r>
          </w:p>
        </w:tc>
        <w:tc>
          <w:tcPr>
            <w:tcW w:w="3161" w:type="dxa"/>
          </w:tcPr>
          <w:p w14:paraId="0690D575" w14:textId="4F48F889" w:rsidR="00E8563B" w:rsidRDefault="00E8563B">
            <w:r w:rsidRPr="00FB783A">
              <w:t>Project objective</w:t>
            </w:r>
          </w:p>
        </w:tc>
        <w:tc>
          <w:tcPr>
            <w:tcW w:w="5151" w:type="dxa"/>
          </w:tcPr>
          <w:p w14:paraId="1A121ECE" w14:textId="77777777" w:rsidR="00E8563B" w:rsidRDefault="00FD6BD9">
            <w:r w:rsidRPr="00FD6BD9">
              <w:t>The Marine Harbour Infrastructure Database Project aims to create a database that will improve the information exchange between harbours and hydrographic offices by acting as a neutral repository of harbour information</w:t>
            </w:r>
          </w:p>
          <w:p w14:paraId="43274259" w14:textId="696D1D83" w:rsidR="00D52B72" w:rsidRDefault="00D52B72"/>
        </w:tc>
      </w:tr>
      <w:tr w:rsidR="00E8563B" w14:paraId="6CEAA3A0" w14:textId="77777777" w:rsidTr="00FC3B60">
        <w:tc>
          <w:tcPr>
            <w:tcW w:w="704" w:type="dxa"/>
          </w:tcPr>
          <w:p w14:paraId="5909174E" w14:textId="48D62927" w:rsidR="00E8563B" w:rsidRDefault="00E8563B">
            <w:r>
              <w:t>2</w:t>
            </w:r>
          </w:p>
        </w:tc>
        <w:tc>
          <w:tcPr>
            <w:tcW w:w="3161" w:type="dxa"/>
          </w:tcPr>
          <w:p w14:paraId="515F7E19" w14:textId="104F9B64" w:rsidR="00E8563B" w:rsidRPr="00FB783A" w:rsidRDefault="00E8563B">
            <w:r>
              <w:t>I</w:t>
            </w:r>
            <w:r w:rsidRPr="00FB783A">
              <w:t>ndicative budget duration</w:t>
            </w:r>
          </w:p>
        </w:tc>
        <w:tc>
          <w:tcPr>
            <w:tcW w:w="5151" w:type="dxa"/>
          </w:tcPr>
          <w:p w14:paraId="13C0F7AF" w14:textId="53047BF0" w:rsidR="00E8563B" w:rsidRDefault="00FD6BD9">
            <w:r>
              <w:t>Not indicated.</w:t>
            </w:r>
          </w:p>
        </w:tc>
      </w:tr>
      <w:tr w:rsidR="00E8563B" w14:paraId="7F2146C2" w14:textId="77777777" w:rsidTr="003B5A76">
        <w:tc>
          <w:tcPr>
            <w:tcW w:w="704" w:type="dxa"/>
          </w:tcPr>
          <w:p w14:paraId="5FA5F4DC" w14:textId="5AF59BE0" w:rsidR="00E8563B" w:rsidRDefault="00E8563B">
            <w:r>
              <w:t>3</w:t>
            </w:r>
          </w:p>
        </w:tc>
        <w:tc>
          <w:tcPr>
            <w:tcW w:w="3161" w:type="dxa"/>
          </w:tcPr>
          <w:p w14:paraId="34BA1618" w14:textId="4CCFEC38" w:rsidR="00E8563B" w:rsidRPr="00FB783A" w:rsidRDefault="00E8563B">
            <w:r>
              <w:t>Duration</w:t>
            </w:r>
          </w:p>
        </w:tc>
        <w:tc>
          <w:tcPr>
            <w:tcW w:w="5151" w:type="dxa"/>
          </w:tcPr>
          <w:p w14:paraId="55ECF935" w14:textId="16460DBE" w:rsidR="00E8563B" w:rsidRDefault="00FD6BD9">
            <w:r>
              <w:t>Not indicated.</w:t>
            </w:r>
          </w:p>
        </w:tc>
      </w:tr>
      <w:tr w:rsidR="00E8563B" w14:paraId="0541F334" w14:textId="77777777" w:rsidTr="00452982">
        <w:tc>
          <w:tcPr>
            <w:tcW w:w="704" w:type="dxa"/>
          </w:tcPr>
          <w:p w14:paraId="77645089" w14:textId="1B69D0FF" w:rsidR="00E8563B" w:rsidRPr="00FB783A" w:rsidRDefault="00E8563B">
            <w:r>
              <w:t>4</w:t>
            </w:r>
          </w:p>
        </w:tc>
        <w:tc>
          <w:tcPr>
            <w:tcW w:w="3161" w:type="dxa"/>
          </w:tcPr>
          <w:p w14:paraId="47EDC68E" w14:textId="250A4332" w:rsidR="00E8563B" w:rsidRDefault="00E8563B">
            <w:r>
              <w:t>T</w:t>
            </w:r>
            <w:r w:rsidRPr="00FB783A">
              <w:t>eam composition and Project Team Leader</w:t>
            </w:r>
          </w:p>
        </w:tc>
        <w:tc>
          <w:tcPr>
            <w:tcW w:w="5151" w:type="dxa"/>
          </w:tcPr>
          <w:p w14:paraId="3022D6C1" w14:textId="77777777" w:rsidR="00E8563B" w:rsidRDefault="00FD6BD9">
            <w:r>
              <w:t>S-131 WG headed by Eivind Mong, Canada</w:t>
            </w:r>
            <w:r w:rsidR="00892EA2">
              <w:t>, including assistance from NIPWG.</w:t>
            </w:r>
          </w:p>
          <w:p w14:paraId="7EB873DD" w14:textId="4434941C" w:rsidR="00D52B72" w:rsidRDefault="00D52B72"/>
        </w:tc>
      </w:tr>
      <w:tr w:rsidR="00E8563B" w14:paraId="2636B859" w14:textId="77777777" w:rsidTr="003B2566">
        <w:tc>
          <w:tcPr>
            <w:tcW w:w="704" w:type="dxa"/>
          </w:tcPr>
          <w:p w14:paraId="6D487CAF" w14:textId="45837A56" w:rsidR="00E8563B" w:rsidRPr="00FB783A" w:rsidRDefault="00E8563B">
            <w:r>
              <w:t>5</w:t>
            </w:r>
          </w:p>
        </w:tc>
        <w:tc>
          <w:tcPr>
            <w:tcW w:w="3161" w:type="dxa"/>
          </w:tcPr>
          <w:p w14:paraId="4E1BC691" w14:textId="5E729845" w:rsidR="00E8563B" w:rsidRDefault="00E8563B">
            <w:r w:rsidRPr="00FB783A">
              <w:t>Project scope, challenges identified, innovation opportunities and potential benefits.</w:t>
            </w:r>
          </w:p>
        </w:tc>
        <w:tc>
          <w:tcPr>
            <w:tcW w:w="5151" w:type="dxa"/>
          </w:tcPr>
          <w:p w14:paraId="159A72BB" w14:textId="77777777" w:rsidR="00E5222E" w:rsidRDefault="00E5222E">
            <w:r w:rsidRPr="00E5222E">
              <w:t>Mariners must currently collect harbour information from many sources. Some information in</w:t>
            </w:r>
            <w:r>
              <w:t xml:space="preserve"> </w:t>
            </w:r>
            <w:r w:rsidRPr="00E5222E">
              <w:t>navigational charts, which may not be updated with the latest harbour information</w:t>
            </w:r>
            <w:r>
              <w:t xml:space="preserve">. </w:t>
            </w:r>
            <w:r w:rsidRPr="00E5222E">
              <w:t xml:space="preserve">Other harbour information may be found in sailing directions or coast pilots, but these may suffer from the same challenges the navigational chart has. </w:t>
            </w:r>
          </w:p>
          <w:p w14:paraId="0D753436" w14:textId="77777777" w:rsidR="00E5222E" w:rsidRDefault="00E5222E"/>
          <w:p w14:paraId="550265D3" w14:textId="01D76A13" w:rsidR="00E5222E" w:rsidRDefault="00E5222E" w:rsidP="00E5222E">
            <w:r>
              <w:t>I</w:t>
            </w:r>
            <w:r w:rsidRPr="00E5222E">
              <w:t>t is common that a ship's agent acts as an intermediary between the harbour and the ship as to provide the ship with the necessary information to plan a berth-to-berth voyage.</w:t>
            </w:r>
            <w:r>
              <w:t xml:space="preserve"> Several benefits are created and issues in current processes are addressed:</w:t>
            </w:r>
          </w:p>
          <w:p w14:paraId="400D0E14" w14:textId="77777777" w:rsidR="00E5222E" w:rsidRDefault="00E5222E" w:rsidP="00E5222E"/>
          <w:p w14:paraId="58092AD7" w14:textId="29F7E37A" w:rsidR="00E5222E" w:rsidRDefault="00E5222E" w:rsidP="00E5222E">
            <w:r>
              <w:t>1. There is one access point for both the contributors and users,</w:t>
            </w:r>
          </w:p>
          <w:p w14:paraId="72BD561D" w14:textId="6453B1D8" w:rsidR="00E5222E" w:rsidRDefault="00E5222E" w:rsidP="00E5222E">
            <w:r>
              <w:t>2. Harbours can define what information they would like to share with hydrographic offices,</w:t>
            </w:r>
          </w:p>
          <w:p w14:paraId="649D98D5" w14:textId="53BC8562" w:rsidR="00E5222E" w:rsidRDefault="00E5222E" w:rsidP="00E5222E">
            <w:r>
              <w:t>3. Hydrographic offices can harvest and further process the data,</w:t>
            </w:r>
          </w:p>
          <w:p w14:paraId="0CFD1ECA" w14:textId="318A7FA8" w:rsidR="00E5222E" w:rsidRDefault="00E5222E" w:rsidP="00E5222E">
            <w:r>
              <w:t>4. Formally defined API based interchange enables automated data exchange for all stakeholders,</w:t>
            </w:r>
          </w:p>
          <w:p w14:paraId="6592E513" w14:textId="01D68A8A" w:rsidR="00E5222E" w:rsidRDefault="00E5222E" w:rsidP="00E5222E">
            <w:r>
              <w:t>5. The International Maritime Organization (IMO) can be encouraged Contracting Governments to reach out to ports and terminals that are not contributing, keeping in mind the harbour’s contribution to the fulfilment of the relevant IMO resolution on berth-to berth route planning, and</w:t>
            </w:r>
          </w:p>
          <w:p w14:paraId="2D3F1DF5" w14:textId="77777777" w:rsidR="00E5222E" w:rsidRDefault="00E5222E" w:rsidP="00E5222E">
            <w:r>
              <w:t>6. An IHO-operated database will help to build up a neutral and trusted environment.</w:t>
            </w:r>
          </w:p>
          <w:p w14:paraId="582889AE" w14:textId="1B29CA35" w:rsidR="00D52B72" w:rsidRDefault="00D52B72" w:rsidP="00E5222E"/>
        </w:tc>
      </w:tr>
      <w:tr w:rsidR="00E8563B" w14:paraId="7C2458D0" w14:textId="77777777" w:rsidTr="00F531CF">
        <w:tc>
          <w:tcPr>
            <w:tcW w:w="704" w:type="dxa"/>
          </w:tcPr>
          <w:p w14:paraId="1ED76651" w14:textId="5FF91BD1" w:rsidR="00E8563B" w:rsidRPr="00FB783A" w:rsidRDefault="00E8563B">
            <w:r>
              <w:t>6</w:t>
            </w:r>
          </w:p>
        </w:tc>
        <w:tc>
          <w:tcPr>
            <w:tcW w:w="3161" w:type="dxa"/>
          </w:tcPr>
          <w:p w14:paraId="1C4AE389" w14:textId="10E43BD0" w:rsidR="00E8563B" w:rsidRDefault="00E8563B">
            <w:r w:rsidRPr="00FB783A">
              <w:t>R&amp;D or test-bedding work descriptions</w:t>
            </w:r>
          </w:p>
        </w:tc>
        <w:tc>
          <w:tcPr>
            <w:tcW w:w="5151" w:type="dxa"/>
          </w:tcPr>
          <w:p w14:paraId="0D94A926" w14:textId="77777777" w:rsidR="00E8563B" w:rsidRDefault="00D52B72">
            <w:r w:rsidRPr="00D52B72">
              <w:t xml:space="preserve">API and web interfaces to be developed and to be compatible with relevant industry standards.  The web interface should match the guidance set forth in IMO </w:t>
            </w:r>
            <w:r w:rsidRPr="00D52B72">
              <w:lastRenderedPageBreak/>
              <w:t>Circ. 1512 in terms of software quality and its human-centered design, making the tool easy to use.</w:t>
            </w:r>
          </w:p>
          <w:p w14:paraId="01859150" w14:textId="2D2F6078" w:rsidR="00D52B72" w:rsidRDefault="00D52B72"/>
        </w:tc>
      </w:tr>
      <w:tr w:rsidR="00E8563B" w14:paraId="4B8E0BCC" w14:textId="77777777" w:rsidTr="009E1450">
        <w:tc>
          <w:tcPr>
            <w:tcW w:w="704" w:type="dxa"/>
          </w:tcPr>
          <w:p w14:paraId="7E12394C" w14:textId="72AD1450" w:rsidR="00E8563B" w:rsidRPr="00FB783A" w:rsidRDefault="00E8563B">
            <w:r>
              <w:lastRenderedPageBreak/>
              <w:t>7</w:t>
            </w:r>
          </w:p>
        </w:tc>
        <w:tc>
          <w:tcPr>
            <w:tcW w:w="3161" w:type="dxa"/>
          </w:tcPr>
          <w:p w14:paraId="197030F5" w14:textId="487CFD67" w:rsidR="00E8563B" w:rsidRDefault="00E8563B">
            <w:r w:rsidRPr="00FB783A">
              <w:t>Key milestones and deliverables for each milestone</w:t>
            </w:r>
          </w:p>
        </w:tc>
        <w:tc>
          <w:tcPr>
            <w:tcW w:w="5151" w:type="dxa"/>
          </w:tcPr>
          <w:p w14:paraId="24F44F2C" w14:textId="4CED8670" w:rsidR="00E8563B" w:rsidRDefault="00FD6BD9">
            <w:r>
              <w:t>Completed by mid 2022.</w:t>
            </w:r>
          </w:p>
        </w:tc>
      </w:tr>
      <w:tr w:rsidR="00E8563B" w14:paraId="57FDB598" w14:textId="77777777" w:rsidTr="009655BD">
        <w:tc>
          <w:tcPr>
            <w:tcW w:w="704" w:type="dxa"/>
          </w:tcPr>
          <w:p w14:paraId="08519E6C" w14:textId="74F136C6" w:rsidR="00E8563B" w:rsidRPr="00FB783A" w:rsidRDefault="00E8563B">
            <w:r>
              <w:t>8</w:t>
            </w:r>
          </w:p>
        </w:tc>
        <w:tc>
          <w:tcPr>
            <w:tcW w:w="3161" w:type="dxa"/>
          </w:tcPr>
          <w:p w14:paraId="23676F85" w14:textId="1C2D137F" w:rsidR="00E8563B" w:rsidRDefault="00E8563B">
            <w:r w:rsidRPr="00FB783A">
              <w:t>Profile and respective of industry partner(s) participating in the industry consortium (if the company is forming a consortium) including their role and contributions (financial or in-kind).</w:t>
            </w:r>
          </w:p>
        </w:tc>
        <w:tc>
          <w:tcPr>
            <w:tcW w:w="5151" w:type="dxa"/>
          </w:tcPr>
          <w:p w14:paraId="263846B8" w14:textId="57C663A3" w:rsidR="00E8563B" w:rsidRDefault="00D52B72">
            <w:r>
              <w:t>Needed but not identified yet.</w:t>
            </w:r>
          </w:p>
        </w:tc>
      </w:tr>
      <w:tr w:rsidR="00E8563B" w14:paraId="542E8E54" w14:textId="77777777" w:rsidTr="0005132F">
        <w:tc>
          <w:tcPr>
            <w:tcW w:w="704" w:type="dxa"/>
          </w:tcPr>
          <w:p w14:paraId="67B6F944" w14:textId="64CF318E" w:rsidR="00E8563B" w:rsidRPr="00FB783A" w:rsidRDefault="00E8563B">
            <w:r>
              <w:t>9</w:t>
            </w:r>
          </w:p>
        </w:tc>
        <w:tc>
          <w:tcPr>
            <w:tcW w:w="3161" w:type="dxa"/>
          </w:tcPr>
          <w:p w14:paraId="3B2C5D43" w14:textId="3E3739F3" w:rsidR="00E8563B" w:rsidRDefault="00E8563B">
            <w:r w:rsidRPr="00FB783A">
              <w:t>Project risk assessment and mitigation plan</w:t>
            </w:r>
          </w:p>
        </w:tc>
        <w:tc>
          <w:tcPr>
            <w:tcW w:w="5151" w:type="dxa"/>
          </w:tcPr>
          <w:p w14:paraId="240D0231" w14:textId="77777777" w:rsidR="00D52B72" w:rsidRDefault="00D52B72">
            <w:r>
              <w:t>N</w:t>
            </w:r>
            <w:r w:rsidRPr="00D52B72">
              <w:t xml:space="preserve">eed to first determine a common agreed upon set of information that harbour authorities are willing to share.  </w:t>
            </w:r>
          </w:p>
          <w:p w14:paraId="521981CF" w14:textId="77777777" w:rsidR="00D52B72" w:rsidRDefault="00D52B72"/>
          <w:p w14:paraId="38BC37F3" w14:textId="77777777" w:rsidR="00E8563B" w:rsidRDefault="00D52B72">
            <w:r w:rsidRPr="00D52B72">
              <w:t>It was also agreed that the project has to adopt a global perspective. Therefore, it would be essential to identify like-minded harbours representing different regions for the testing phase of the development</w:t>
            </w:r>
            <w:r>
              <w:t>.</w:t>
            </w:r>
          </w:p>
          <w:p w14:paraId="5DEFD0EA" w14:textId="070DD54A" w:rsidR="00D52B72" w:rsidRDefault="00D52B72"/>
        </w:tc>
      </w:tr>
      <w:tr w:rsidR="00E8563B" w14:paraId="617CC593" w14:textId="77777777" w:rsidTr="0080741D">
        <w:tc>
          <w:tcPr>
            <w:tcW w:w="704" w:type="dxa"/>
          </w:tcPr>
          <w:p w14:paraId="2A581F36" w14:textId="357A0F4E" w:rsidR="00E8563B" w:rsidRPr="00FB783A" w:rsidRDefault="00E8563B">
            <w:r>
              <w:t>10</w:t>
            </w:r>
          </w:p>
        </w:tc>
        <w:tc>
          <w:tcPr>
            <w:tcW w:w="3161" w:type="dxa"/>
          </w:tcPr>
          <w:p w14:paraId="70CE844C" w14:textId="7185854F" w:rsidR="00E8563B" w:rsidRPr="00FB783A" w:rsidRDefault="00E8563B">
            <w:r w:rsidRPr="00FB783A">
              <w:t>Brief description of the Intellectual Property (IP) arrangements to facilitate eventual commercialisation of the project IP developed</w:t>
            </w:r>
          </w:p>
        </w:tc>
        <w:tc>
          <w:tcPr>
            <w:tcW w:w="5151" w:type="dxa"/>
          </w:tcPr>
          <w:p w14:paraId="2CC01F48" w14:textId="0420C6DE" w:rsidR="00E8563B" w:rsidRDefault="00FD6BD9">
            <w:r>
              <w:t>None.</w:t>
            </w:r>
          </w:p>
        </w:tc>
      </w:tr>
      <w:tr w:rsidR="00FD0AC4" w14:paraId="7EE3E000" w14:textId="77777777" w:rsidTr="0080741D">
        <w:tc>
          <w:tcPr>
            <w:tcW w:w="704" w:type="dxa"/>
          </w:tcPr>
          <w:p w14:paraId="45AF4B9D" w14:textId="77777777" w:rsidR="00FD0AC4" w:rsidRDefault="00FD0AC4"/>
        </w:tc>
        <w:tc>
          <w:tcPr>
            <w:tcW w:w="3161" w:type="dxa"/>
          </w:tcPr>
          <w:p w14:paraId="70F4AC16" w14:textId="43F17E85" w:rsidR="00FD0AC4" w:rsidRPr="00FD0AC4" w:rsidRDefault="00FD0AC4">
            <w:pPr>
              <w:rPr>
                <w:b/>
                <w:bCs/>
              </w:rPr>
            </w:pPr>
            <w:r>
              <w:rPr>
                <w:b/>
                <w:bCs/>
              </w:rPr>
              <w:t>Recommendation</w:t>
            </w:r>
            <w:r w:rsidR="00275566">
              <w:rPr>
                <w:b/>
                <w:bCs/>
              </w:rPr>
              <w:t>s</w:t>
            </w:r>
          </w:p>
        </w:tc>
        <w:tc>
          <w:tcPr>
            <w:tcW w:w="5151" w:type="dxa"/>
          </w:tcPr>
          <w:p w14:paraId="3C0747BC" w14:textId="77777777" w:rsidR="00FD0AC4" w:rsidRDefault="00FD0AC4">
            <w:pPr>
              <w:rPr>
                <w:b/>
                <w:bCs/>
              </w:rPr>
            </w:pPr>
            <w:r>
              <w:rPr>
                <w:b/>
                <w:bCs/>
              </w:rPr>
              <w:t xml:space="preserve">The identification of key partners important for the proposed project to be successful. Need to clarify the support required to undertake the project ie. funding and/or resources. </w:t>
            </w:r>
          </w:p>
          <w:p w14:paraId="757AB0F7" w14:textId="7C7F55B0" w:rsidR="00FD0AC4" w:rsidRPr="00FD0AC4" w:rsidRDefault="00FD0AC4">
            <w:pPr>
              <w:rPr>
                <w:b/>
                <w:bCs/>
              </w:rPr>
            </w:pPr>
          </w:p>
        </w:tc>
      </w:tr>
    </w:tbl>
    <w:p w14:paraId="6AFF2E80" w14:textId="399E4036" w:rsidR="00FB783A" w:rsidRDefault="00FB783A" w:rsidP="00FB783A"/>
    <w:sectPr w:rsidR="00FB7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C98F4" w14:textId="77777777" w:rsidR="00615539" w:rsidRDefault="00615539" w:rsidP="00FB783A">
      <w:pPr>
        <w:spacing w:after="0" w:line="240" w:lineRule="auto"/>
      </w:pPr>
      <w:r>
        <w:separator/>
      </w:r>
    </w:p>
  </w:endnote>
  <w:endnote w:type="continuationSeparator" w:id="0">
    <w:p w14:paraId="697B028F" w14:textId="77777777" w:rsidR="00615539" w:rsidRDefault="00615539" w:rsidP="00FB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229CC" w14:textId="77777777" w:rsidR="00615539" w:rsidRDefault="00615539" w:rsidP="00FB783A">
      <w:pPr>
        <w:spacing w:after="0" w:line="240" w:lineRule="auto"/>
      </w:pPr>
      <w:r>
        <w:separator/>
      </w:r>
    </w:p>
  </w:footnote>
  <w:footnote w:type="continuationSeparator" w:id="0">
    <w:p w14:paraId="5898EB8F" w14:textId="77777777" w:rsidR="00615539" w:rsidRDefault="00615539" w:rsidP="00FB78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3A"/>
    <w:rsid w:val="002136FC"/>
    <w:rsid w:val="00275566"/>
    <w:rsid w:val="00491745"/>
    <w:rsid w:val="005B177D"/>
    <w:rsid w:val="00615539"/>
    <w:rsid w:val="007E7111"/>
    <w:rsid w:val="00892EA2"/>
    <w:rsid w:val="00CA7D0A"/>
    <w:rsid w:val="00D52B72"/>
    <w:rsid w:val="00DF3812"/>
    <w:rsid w:val="00E5222E"/>
    <w:rsid w:val="00E8563B"/>
    <w:rsid w:val="00F741D6"/>
    <w:rsid w:val="00F8285F"/>
    <w:rsid w:val="00FB783A"/>
    <w:rsid w:val="00FD0AC4"/>
    <w:rsid w:val="00FD6BD9"/>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A348"/>
  <w15:chartTrackingRefBased/>
  <w15:docId w15:val="{1D2C02C7-FC9E-4710-9C3D-8EEFEC1C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7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83A"/>
  </w:style>
  <w:style w:type="paragraph" w:styleId="Footer">
    <w:name w:val="footer"/>
    <w:basedOn w:val="Normal"/>
    <w:link w:val="FooterChar"/>
    <w:uiPriority w:val="99"/>
    <w:unhideWhenUsed/>
    <w:rsid w:val="00FB7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OEI (MPA)</dc:creator>
  <cp:keywords/>
  <dc:description/>
  <cp:lastModifiedBy>Yong</cp:lastModifiedBy>
  <cp:revision>2</cp:revision>
  <dcterms:created xsi:type="dcterms:W3CDTF">2021-09-08T07:22:00Z</dcterms:created>
  <dcterms:modified xsi:type="dcterms:W3CDTF">2021-09-08T07:22:00Z</dcterms:modified>
</cp:coreProperties>
</file>