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6DFD" w14:textId="42C87F6F" w:rsidR="00FE3763" w:rsidRPr="000A54EF" w:rsidRDefault="00FE3763" w:rsidP="00F638F6">
      <w:pPr>
        <w:ind w:firstLine="360"/>
        <w:jc w:val="center"/>
        <w:rPr>
          <w:b/>
          <w:sz w:val="32"/>
        </w:rPr>
      </w:pPr>
      <w:r w:rsidRPr="000A54EF">
        <w:rPr>
          <w:b/>
          <w:sz w:val="32"/>
        </w:rPr>
        <w:t>IHO</w:t>
      </w:r>
      <w:r w:rsidR="00E70712">
        <w:rPr>
          <w:b/>
          <w:sz w:val="32"/>
        </w:rPr>
        <w:t>-SGP</w:t>
      </w:r>
      <w:r w:rsidRPr="000A54EF">
        <w:rPr>
          <w:b/>
          <w:sz w:val="32"/>
        </w:rPr>
        <w:t xml:space="preserve"> Innovation and Technology Laboratory</w:t>
      </w:r>
    </w:p>
    <w:p w14:paraId="6D8A6451" w14:textId="06783319" w:rsidR="00FE3763" w:rsidRPr="000A54EF" w:rsidRDefault="007E7AA7" w:rsidP="00FE3763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7E7AA7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FE3763" w:rsidRPr="000A54EF">
        <w:rPr>
          <w:sz w:val="26"/>
          <w:szCs w:val="26"/>
        </w:rPr>
        <w:t>Governing Board</w:t>
      </w:r>
      <w:r w:rsidR="00FE3763">
        <w:rPr>
          <w:sz w:val="26"/>
          <w:szCs w:val="26"/>
        </w:rPr>
        <w:t xml:space="preserve"> Meeting, </w:t>
      </w:r>
      <w:r w:rsidR="00FE3763" w:rsidRPr="002135B3">
        <w:rPr>
          <w:sz w:val="26"/>
          <w:szCs w:val="26"/>
        </w:rPr>
        <w:t>VTC</w:t>
      </w:r>
    </w:p>
    <w:p w14:paraId="7137565B" w14:textId="29AD1BF3" w:rsidR="00FE3763" w:rsidRDefault="007E7AA7" w:rsidP="00FE3763">
      <w:pPr>
        <w:jc w:val="center"/>
      </w:pPr>
      <w:r>
        <w:t>16</w:t>
      </w:r>
      <w:r w:rsidR="00FE3763">
        <w:t xml:space="preserve"> </w:t>
      </w:r>
      <w:r>
        <w:t xml:space="preserve">March </w:t>
      </w:r>
      <w:r w:rsidR="00FE3763">
        <w:t>2021, 10:00 ~ 1</w:t>
      </w:r>
      <w:r w:rsidR="00306959">
        <w:t>2</w:t>
      </w:r>
      <w:r w:rsidR="00FE3763">
        <w:t>:00 am (UT</w:t>
      </w:r>
      <w:r w:rsidR="000D676F">
        <w:t>C</w:t>
      </w:r>
      <w:r w:rsidR="00FE3763">
        <w:t>+</w:t>
      </w:r>
      <w:r w:rsidR="000D676F">
        <w:t>1</w:t>
      </w:r>
      <w:r w:rsidR="00FE3763">
        <w:t>, C</w:t>
      </w:r>
      <w:bookmarkStart w:id="0" w:name="_GoBack"/>
      <w:bookmarkEnd w:id="0"/>
      <w:r w:rsidR="00FE3763">
        <w:t>ET)</w:t>
      </w:r>
    </w:p>
    <w:p w14:paraId="72F8E6A7" w14:textId="619D4702" w:rsidR="00FE3763" w:rsidRDefault="00E70712" w:rsidP="007F2309">
      <w:pPr>
        <w:pStyle w:val="NormalWeb"/>
        <w:jc w:val="center"/>
      </w:pPr>
      <w:r>
        <w:t>List of Decisions and Actions from the 3</w:t>
      </w:r>
      <w:r w:rsidRPr="00E70712">
        <w:rPr>
          <w:vertAlign w:val="superscript"/>
        </w:rPr>
        <w:t>rd</w:t>
      </w:r>
      <w:r>
        <w:t xml:space="preserve"> Governing Board Meeting: </w:t>
      </w:r>
      <w:r w:rsidR="003E6D33" w:rsidRPr="003E6D33">
        <w:rPr>
          <w:b/>
          <w:i/>
        </w:rPr>
        <w:t xml:space="preserve">Final </w:t>
      </w:r>
      <w:r w:rsidRPr="00E70712">
        <w:rPr>
          <w:b/>
          <w:i/>
        </w:rPr>
        <w:t>Draft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7470"/>
        <w:gridCol w:w="1800"/>
      </w:tblGrid>
      <w:tr w:rsidR="00E70712" w14:paraId="2EFED245" w14:textId="78E61D57" w:rsidTr="00E70712">
        <w:trPr>
          <w:trHeight w:val="378"/>
        </w:trPr>
        <w:tc>
          <w:tcPr>
            <w:tcW w:w="1525" w:type="dxa"/>
            <w:shd w:val="clear" w:color="auto" w:fill="D9D9D9" w:themeFill="background1" w:themeFillShade="D9"/>
          </w:tcPr>
          <w:p w14:paraId="51B58FC6" w14:textId="353D9DAD" w:rsidR="00E70712" w:rsidRPr="00FE3763" w:rsidRDefault="00E70712" w:rsidP="002D3F84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 xml:space="preserve">Doc </w:t>
            </w:r>
            <w:r w:rsidRPr="00FE3763">
              <w:rPr>
                <w:b/>
              </w:rPr>
              <w:t>No.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898E" w14:textId="77777777" w:rsidR="00E70712" w:rsidRPr="00FE3763" w:rsidRDefault="00E70712" w:rsidP="00FE3763">
            <w:pPr>
              <w:pStyle w:val="NormalWeb"/>
              <w:jc w:val="center"/>
              <w:rPr>
                <w:b/>
              </w:rPr>
            </w:pPr>
            <w:r w:rsidRPr="00FE3763">
              <w:rPr>
                <w:b/>
              </w:rPr>
              <w:t>Title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008D90" w14:textId="3367EEB6" w:rsidR="00E70712" w:rsidRPr="00FE3763" w:rsidRDefault="00E70712" w:rsidP="00FE376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70712" w14:paraId="75D39D2F" w14:textId="4343AA00" w:rsidTr="00403AE1">
        <w:trPr>
          <w:trHeight w:val="306"/>
        </w:trPr>
        <w:tc>
          <w:tcPr>
            <w:tcW w:w="1525" w:type="dxa"/>
            <w:shd w:val="clear" w:color="auto" w:fill="FFF2CC" w:themeFill="accent4" w:themeFillTint="33"/>
          </w:tcPr>
          <w:p w14:paraId="00D57810" w14:textId="17D6BC5C" w:rsidR="00E70712" w:rsidRPr="00E8519B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E8519B">
              <w:rPr>
                <w:b/>
                <w:sz w:val="22"/>
                <w:szCs w:val="22"/>
              </w:rPr>
              <w:t>GBM03-01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86BACDF" w14:textId="4C8826E3" w:rsidR="00E70712" w:rsidRPr="00E8519B" w:rsidRDefault="00403AE1" w:rsidP="00403AE1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Confirmation of Minutes of last Meeting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5DD8FEE" w14:textId="77777777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70712" w14:paraId="21F04A46" w14:textId="77777777" w:rsidTr="00E70712">
        <w:trPr>
          <w:trHeight w:val="306"/>
        </w:trPr>
        <w:tc>
          <w:tcPr>
            <w:tcW w:w="1525" w:type="dxa"/>
          </w:tcPr>
          <w:p w14:paraId="12500D15" w14:textId="554FDDD3" w:rsidR="00E70712" w:rsidRPr="00ED30F6" w:rsidRDefault="00E70712" w:rsidP="00E70712">
            <w:pPr>
              <w:pStyle w:val="NormalWeb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ED30F6">
              <w:rPr>
                <w:b/>
                <w:i/>
                <w:sz w:val="22"/>
                <w:szCs w:val="22"/>
              </w:rPr>
              <w:t>Decision3/1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2412A896" w14:textId="4DAE2BAD" w:rsidR="00E70712" w:rsidRPr="00E8519B" w:rsidRDefault="00E70712" w:rsidP="00403AE1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E8519B">
              <w:rPr>
                <w:b/>
                <w:sz w:val="22"/>
                <w:szCs w:val="22"/>
              </w:rPr>
              <w:t>The Meeting approved</w:t>
            </w:r>
            <w:r w:rsidRPr="00E8519B">
              <w:rPr>
                <w:sz w:val="22"/>
                <w:szCs w:val="22"/>
              </w:rPr>
              <w:t xml:space="preserve"> the</w:t>
            </w:r>
            <w:r w:rsidR="00403AE1">
              <w:rPr>
                <w:sz w:val="22"/>
                <w:szCs w:val="22"/>
              </w:rPr>
              <w:t xml:space="preserve"> </w:t>
            </w:r>
            <w:r w:rsidRPr="00E8519B">
              <w:rPr>
                <w:sz w:val="22"/>
                <w:szCs w:val="22"/>
              </w:rPr>
              <w:t xml:space="preserve">draft decision and actions </w:t>
            </w:r>
            <w:r w:rsidR="00403AE1">
              <w:rPr>
                <w:sz w:val="22"/>
                <w:szCs w:val="22"/>
              </w:rPr>
              <w:t>of the 2</w:t>
            </w:r>
            <w:r w:rsidR="00403AE1" w:rsidRPr="00403AE1">
              <w:rPr>
                <w:sz w:val="22"/>
                <w:szCs w:val="22"/>
                <w:vertAlign w:val="superscript"/>
              </w:rPr>
              <w:t>nd</w:t>
            </w:r>
            <w:r w:rsidR="00403AE1">
              <w:rPr>
                <w:sz w:val="22"/>
                <w:szCs w:val="22"/>
              </w:rPr>
              <w:t xml:space="preserve"> GB Meeting </w:t>
            </w:r>
            <w:r w:rsidRPr="00E8519B">
              <w:rPr>
                <w:sz w:val="22"/>
                <w:szCs w:val="22"/>
              </w:rPr>
              <w:t xml:space="preserve">posted on the </w:t>
            </w:r>
            <w:r w:rsidR="00403AE1">
              <w:rPr>
                <w:sz w:val="22"/>
                <w:szCs w:val="22"/>
              </w:rPr>
              <w:t>IHO Lab</w:t>
            </w:r>
            <w:r w:rsidRPr="00E8519B">
              <w:rPr>
                <w:sz w:val="22"/>
                <w:szCs w:val="22"/>
              </w:rPr>
              <w:t xml:space="preserve"> GB</w:t>
            </w:r>
            <w:r w:rsidR="00403AE1">
              <w:rPr>
                <w:sz w:val="22"/>
                <w:szCs w:val="22"/>
              </w:rPr>
              <w:t>2</w:t>
            </w:r>
            <w:r w:rsidRPr="00E8519B">
              <w:rPr>
                <w:sz w:val="22"/>
                <w:szCs w:val="22"/>
              </w:rPr>
              <w:t xml:space="preserve"> webpage.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ADA40AE" w14:textId="77777777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70712" w14:paraId="3AFD1D7E" w14:textId="6FE74D56" w:rsidTr="00403AE1">
        <w:trPr>
          <w:trHeight w:val="287"/>
        </w:trPr>
        <w:tc>
          <w:tcPr>
            <w:tcW w:w="1525" w:type="dxa"/>
            <w:shd w:val="clear" w:color="auto" w:fill="FFF2CC" w:themeFill="accent4" w:themeFillTint="33"/>
          </w:tcPr>
          <w:p w14:paraId="524205ED" w14:textId="2404C5FA" w:rsidR="00E70712" w:rsidRPr="00403AE1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403AE1">
              <w:rPr>
                <w:b/>
                <w:sz w:val="22"/>
                <w:szCs w:val="22"/>
              </w:rPr>
              <w:t>GBM03-02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9EA4245" w14:textId="77777777" w:rsidR="00E70712" w:rsidRPr="00403AE1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403AE1">
              <w:rPr>
                <w:b/>
                <w:sz w:val="22"/>
                <w:szCs w:val="22"/>
              </w:rPr>
              <w:t>Review and Update actions of last Meeting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78EDF12" w14:textId="77777777" w:rsidR="00E70712" w:rsidRPr="00403AE1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70712" w14:paraId="35803DD6" w14:textId="5F106EB5" w:rsidTr="00E70712">
        <w:trPr>
          <w:trHeight w:val="287"/>
        </w:trPr>
        <w:tc>
          <w:tcPr>
            <w:tcW w:w="1525" w:type="dxa"/>
          </w:tcPr>
          <w:p w14:paraId="1B614F1B" w14:textId="77777777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7F247A99" w14:textId="5471C0DC" w:rsidR="00E70712" w:rsidRPr="00E8519B" w:rsidRDefault="00E70712" w:rsidP="00403AE1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E8519B">
              <w:rPr>
                <w:b/>
                <w:sz w:val="22"/>
                <w:szCs w:val="22"/>
              </w:rPr>
              <w:t xml:space="preserve">The </w:t>
            </w:r>
            <w:r w:rsidRPr="00403AE1">
              <w:rPr>
                <w:b/>
                <w:sz w:val="22"/>
                <w:szCs w:val="22"/>
              </w:rPr>
              <w:t>Meeting reviewed and updated</w:t>
            </w:r>
            <w:r w:rsidRPr="00E8519B">
              <w:rPr>
                <w:sz w:val="22"/>
                <w:szCs w:val="22"/>
              </w:rPr>
              <w:t xml:space="preserve"> the actions from the 2</w:t>
            </w:r>
            <w:r w:rsidRPr="00E8519B">
              <w:rPr>
                <w:sz w:val="22"/>
                <w:szCs w:val="22"/>
                <w:vertAlign w:val="superscript"/>
              </w:rPr>
              <w:t>nd</w:t>
            </w:r>
            <w:r w:rsidR="00770B30" w:rsidRPr="00E8519B">
              <w:rPr>
                <w:sz w:val="22"/>
                <w:szCs w:val="22"/>
              </w:rPr>
              <w:t xml:space="preserve"> GBM</w:t>
            </w:r>
            <w:r w:rsidR="00792210">
              <w:rPr>
                <w:sz w:val="22"/>
                <w:szCs w:val="22"/>
              </w:rPr>
              <w:t xml:space="preserve"> and concluded</w:t>
            </w:r>
            <w:r w:rsidR="00770B30" w:rsidRPr="00E8519B">
              <w:rPr>
                <w:sz w:val="22"/>
                <w:szCs w:val="22"/>
              </w:rPr>
              <w:t xml:space="preserve"> that all action items have been completed including</w:t>
            </w:r>
            <w:r w:rsidR="00403AE1">
              <w:rPr>
                <w:sz w:val="22"/>
                <w:szCs w:val="22"/>
              </w:rPr>
              <w:t xml:space="preserve"> Action-</w:t>
            </w:r>
            <w:r w:rsidR="00770B30" w:rsidRPr="00E8519B">
              <w:rPr>
                <w:sz w:val="22"/>
                <w:szCs w:val="22"/>
              </w:rPr>
              <w:t xml:space="preserve">No. 2/6 and 2/7 </w:t>
            </w:r>
            <w:r w:rsidR="00403AE1">
              <w:rPr>
                <w:sz w:val="22"/>
                <w:szCs w:val="22"/>
              </w:rPr>
              <w:t>that</w:t>
            </w:r>
            <w:r w:rsidR="00770B30" w:rsidRPr="00E8519B">
              <w:rPr>
                <w:sz w:val="22"/>
                <w:szCs w:val="22"/>
              </w:rPr>
              <w:t xml:space="preserve"> would discussed during the </w:t>
            </w:r>
            <w:r w:rsidR="00403AE1">
              <w:rPr>
                <w:sz w:val="22"/>
                <w:szCs w:val="22"/>
              </w:rPr>
              <w:t>3</w:t>
            </w:r>
            <w:r w:rsidR="00403AE1" w:rsidRPr="00403AE1">
              <w:rPr>
                <w:sz w:val="22"/>
                <w:szCs w:val="22"/>
                <w:vertAlign w:val="superscript"/>
              </w:rPr>
              <w:t>rd</w:t>
            </w:r>
            <w:r w:rsidR="00403AE1">
              <w:rPr>
                <w:sz w:val="22"/>
                <w:szCs w:val="22"/>
              </w:rPr>
              <w:t xml:space="preserve"> </w:t>
            </w:r>
            <w:r w:rsidR="00770B30" w:rsidRPr="00E8519B">
              <w:rPr>
                <w:sz w:val="22"/>
                <w:szCs w:val="22"/>
              </w:rPr>
              <w:t xml:space="preserve">meeting.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474064D" w14:textId="77777777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70712" w14:paraId="2AB4C725" w14:textId="422264B4" w:rsidTr="00403AE1">
        <w:trPr>
          <w:trHeight w:val="612"/>
        </w:trPr>
        <w:tc>
          <w:tcPr>
            <w:tcW w:w="1525" w:type="dxa"/>
            <w:shd w:val="clear" w:color="auto" w:fill="FFF2CC" w:themeFill="accent4" w:themeFillTint="33"/>
          </w:tcPr>
          <w:p w14:paraId="13D11722" w14:textId="57A7269B" w:rsidR="00E70712" w:rsidRPr="00403AE1" w:rsidRDefault="00403AE1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403AE1">
              <w:rPr>
                <w:b/>
                <w:sz w:val="22"/>
                <w:szCs w:val="22"/>
              </w:rPr>
              <w:t>GBM03-2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7712567" w14:textId="35D4423F" w:rsidR="00E70712" w:rsidRPr="008A3AE5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8A3AE5">
              <w:rPr>
                <w:b/>
                <w:sz w:val="22"/>
                <w:szCs w:val="22"/>
              </w:rPr>
              <w:t>Assessment of Part 2 Project Proposals submitted by Chairs of ENCWG and NIPWG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C7E3817" w14:textId="77777777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70712" w14:paraId="30E451D7" w14:textId="513A9702" w:rsidTr="00E70712">
        <w:trPr>
          <w:trHeight w:val="287"/>
        </w:trPr>
        <w:tc>
          <w:tcPr>
            <w:tcW w:w="1525" w:type="dxa"/>
          </w:tcPr>
          <w:p w14:paraId="7448B167" w14:textId="3F8E65D7" w:rsidR="00E70712" w:rsidRPr="00403AE1" w:rsidRDefault="000604CE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403AE1">
              <w:rPr>
                <w:sz w:val="22"/>
                <w:szCs w:val="22"/>
              </w:rPr>
              <w:t>GBM03-2.a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23CAA9E4" w14:textId="77777777" w:rsidR="00E70712" w:rsidRPr="00E8519B" w:rsidRDefault="00E70712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>S-57 to S-101 Conversion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FBFFA99" w14:textId="77777777" w:rsidR="00E70712" w:rsidRPr="00E8519B" w:rsidRDefault="00E70712" w:rsidP="009641CD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0604CE" w14:paraId="5311EBCE" w14:textId="77777777" w:rsidTr="00E70712">
        <w:trPr>
          <w:trHeight w:val="287"/>
        </w:trPr>
        <w:tc>
          <w:tcPr>
            <w:tcW w:w="1525" w:type="dxa"/>
          </w:tcPr>
          <w:p w14:paraId="5C4FC1F3" w14:textId="77777777" w:rsidR="000604CE" w:rsidRDefault="000604CE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AD06156" w14:textId="77777777" w:rsidR="00ED30F6" w:rsidRDefault="00ED30F6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7332D2F" w14:textId="77777777" w:rsidR="00ED30F6" w:rsidRDefault="00ED30F6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6F4A2AC" w14:textId="77777777" w:rsidR="00ED30F6" w:rsidRDefault="00ED30F6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32118AF5" w14:textId="77777777" w:rsidR="00ED30F6" w:rsidRDefault="00ED30F6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1349BC66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0ECD4F5A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7569EF4E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7C0E8BB4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551268B5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6378A344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10D9B2C6" w14:textId="77777777" w:rsidR="00ED30F6" w:rsidRPr="00ED30F6" w:rsidRDefault="00ED30F6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32"/>
                <w:szCs w:val="22"/>
              </w:rPr>
            </w:pPr>
          </w:p>
          <w:p w14:paraId="331C65C6" w14:textId="77777777" w:rsidR="00ED30F6" w:rsidRDefault="00ED30F6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D30F6">
              <w:rPr>
                <w:b/>
                <w:i/>
                <w:sz w:val="22"/>
                <w:szCs w:val="22"/>
              </w:rPr>
              <w:t>Decision3/2</w:t>
            </w:r>
          </w:p>
          <w:p w14:paraId="033EA11F" w14:textId="77777777" w:rsidR="00C321FB" w:rsidRDefault="00C321FB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5276FFFF" w14:textId="77777777" w:rsidR="00C321FB" w:rsidRDefault="00C321FB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2807E0C5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5146A8ED" w14:textId="77777777" w:rsidR="00313418" w:rsidRPr="00C321FB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744BB575" w14:textId="77777777" w:rsidR="00C321FB" w:rsidRDefault="00C321FB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Action </w:t>
            </w:r>
            <w:r w:rsidRPr="00ED30F6">
              <w:rPr>
                <w:b/>
                <w:i/>
                <w:sz w:val="22"/>
                <w:szCs w:val="22"/>
              </w:rPr>
              <w:t>3/</w:t>
            </w:r>
            <w:r>
              <w:rPr>
                <w:b/>
                <w:i/>
                <w:sz w:val="22"/>
                <w:szCs w:val="22"/>
              </w:rPr>
              <w:t>1</w:t>
            </w:r>
          </w:p>
          <w:p w14:paraId="177D4CB5" w14:textId="77777777" w:rsidR="00C321FB" w:rsidRDefault="00C321FB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7DC48654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7871A6B1" w14:textId="057320B9" w:rsidR="00C321FB" w:rsidRPr="00C321FB" w:rsidRDefault="00C321FB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D30F6">
              <w:rPr>
                <w:b/>
                <w:i/>
                <w:sz w:val="22"/>
                <w:szCs w:val="22"/>
              </w:rPr>
              <w:t>Decision3/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4280FCD2" w14:textId="3F7D017A" w:rsidR="00403AE1" w:rsidRDefault="002B13F6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957E5">
              <w:rPr>
                <w:b/>
                <w:sz w:val="22"/>
                <w:szCs w:val="22"/>
              </w:rPr>
              <w:t>GM noted</w:t>
            </w:r>
            <w:r w:rsidRPr="002B13F6">
              <w:rPr>
                <w:sz w:val="22"/>
                <w:szCs w:val="22"/>
              </w:rPr>
              <w:t xml:space="preserve"> that the proposal for the second phase of the S-57 to </w:t>
            </w:r>
            <w:r>
              <w:rPr>
                <w:sz w:val="22"/>
                <w:szCs w:val="22"/>
              </w:rPr>
              <w:t>S</w:t>
            </w:r>
            <w:r w:rsidRPr="002B13F6">
              <w:rPr>
                <w:sz w:val="22"/>
                <w:szCs w:val="22"/>
              </w:rPr>
              <w:t xml:space="preserve">-101 conversion project was submitted just before the </w:t>
            </w:r>
            <w:r w:rsidR="00891C65">
              <w:rPr>
                <w:sz w:val="22"/>
                <w:szCs w:val="22"/>
              </w:rPr>
              <w:t>GB3 m</w:t>
            </w:r>
            <w:r>
              <w:rPr>
                <w:sz w:val="22"/>
                <w:szCs w:val="22"/>
              </w:rPr>
              <w:t>eeting</w:t>
            </w:r>
            <w:r w:rsidRPr="002B13F6">
              <w:rPr>
                <w:sz w:val="22"/>
                <w:szCs w:val="22"/>
              </w:rPr>
              <w:t>. The</w:t>
            </w:r>
            <w:r w:rsidR="00891C65" w:rsidRPr="002B13F6">
              <w:rPr>
                <w:sz w:val="22"/>
                <w:szCs w:val="22"/>
              </w:rPr>
              <w:t xml:space="preserve"> </w:t>
            </w:r>
            <w:r w:rsidRPr="002B13F6">
              <w:rPr>
                <w:sz w:val="22"/>
                <w:szCs w:val="22"/>
              </w:rPr>
              <w:t>purpose</w:t>
            </w:r>
            <w:r w:rsidR="00891C65">
              <w:rPr>
                <w:sz w:val="22"/>
                <w:szCs w:val="22"/>
              </w:rPr>
              <w:t>, the main project</w:t>
            </w:r>
            <w:r w:rsidRPr="002B13F6">
              <w:rPr>
                <w:sz w:val="22"/>
                <w:szCs w:val="22"/>
              </w:rPr>
              <w:t xml:space="preserve"> items, the relationship with the S-100 implementation road map, the</w:t>
            </w:r>
            <w:r w:rsidR="00ED30F6">
              <w:rPr>
                <w:sz w:val="22"/>
                <w:szCs w:val="22"/>
              </w:rPr>
              <w:t xml:space="preserve"> key deliverable items, and composition of </w:t>
            </w:r>
            <w:r w:rsidRPr="002B13F6">
              <w:rPr>
                <w:sz w:val="22"/>
                <w:szCs w:val="22"/>
              </w:rPr>
              <w:t xml:space="preserve">the project team participants </w:t>
            </w:r>
            <w:r w:rsidR="00ED30F6">
              <w:rPr>
                <w:sz w:val="22"/>
                <w:szCs w:val="22"/>
              </w:rPr>
              <w:t>were presented</w:t>
            </w:r>
            <w:r w:rsidRPr="002B13F6">
              <w:rPr>
                <w:sz w:val="22"/>
                <w:szCs w:val="22"/>
              </w:rPr>
              <w:t>.</w:t>
            </w:r>
            <w:r w:rsidRPr="002B13F6">
              <w:rPr>
                <w:sz w:val="22"/>
                <w:szCs w:val="22"/>
              </w:rPr>
              <w:br/>
            </w:r>
            <w:r w:rsidRPr="002B13F6">
              <w:rPr>
                <w:sz w:val="22"/>
                <w:szCs w:val="22"/>
              </w:rPr>
              <w:br/>
            </w:r>
            <w:r w:rsidR="00ED30F6">
              <w:rPr>
                <w:sz w:val="22"/>
                <w:szCs w:val="22"/>
              </w:rPr>
              <w:t>During the meeting, members of GB</w:t>
            </w:r>
            <w:r w:rsidRPr="002B13F6">
              <w:rPr>
                <w:sz w:val="22"/>
                <w:szCs w:val="22"/>
              </w:rPr>
              <w:t xml:space="preserve"> inquired about the proposal, for example, whether the </w:t>
            </w:r>
            <w:r w:rsidR="00ED30F6">
              <w:rPr>
                <w:sz w:val="22"/>
                <w:szCs w:val="22"/>
              </w:rPr>
              <w:t xml:space="preserve">S/W </w:t>
            </w:r>
            <w:r w:rsidRPr="002B13F6">
              <w:rPr>
                <w:sz w:val="22"/>
                <w:szCs w:val="22"/>
              </w:rPr>
              <w:t>compan</w:t>
            </w:r>
            <w:r w:rsidR="00792210">
              <w:rPr>
                <w:sz w:val="22"/>
                <w:szCs w:val="22"/>
              </w:rPr>
              <w:t>ies</w:t>
            </w:r>
            <w:r w:rsidRPr="002B13F6">
              <w:rPr>
                <w:sz w:val="22"/>
                <w:szCs w:val="22"/>
              </w:rPr>
              <w:t xml:space="preserve"> can </w:t>
            </w:r>
            <w:r w:rsidR="00ED30F6">
              <w:rPr>
                <w:sz w:val="22"/>
                <w:szCs w:val="22"/>
              </w:rPr>
              <w:t xml:space="preserve">provide </w:t>
            </w:r>
            <w:r w:rsidRPr="002B13F6">
              <w:rPr>
                <w:sz w:val="22"/>
                <w:szCs w:val="22"/>
              </w:rPr>
              <w:t>in</w:t>
            </w:r>
            <w:r w:rsidR="00ED30F6">
              <w:rPr>
                <w:sz w:val="22"/>
                <w:szCs w:val="22"/>
              </w:rPr>
              <w:t>-kind support</w:t>
            </w:r>
            <w:r w:rsidRPr="002B13F6">
              <w:rPr>
                <w:sz w:val="22"/>
                <w:szCs w:val="22"/>
              </w:rPr>
              <w:t>, the production schedule of the test dataset, and cooperation with other projects such as RENC</w:t>
            </w:r>
            <w:r w:rsidR="00ED30F6">
              <w:rPr>
                <w:sz w:val="22"/>
                <w:szCs w:val="22"/>
              </w:rPr>
              <w:t>’s S-101 test dataset project</w:t>
            </w:r>
            <w:r w:rsidRPr="002B13F6">
              <w:rPr>
                <w:sz w:val="22"/>
                <w:szCs w:val="22"/>
              </w:rPr>
              <w:t xml:space="preserve">, </w:t>
            </w:r>
            <w:r w:rsidR="00ED30F6">
              <w:rPr>
                <w:sz w:val="22"/>
                <w:szCs w:val="22"/>
              </w:rPr>
              <w:t>however they</w:t>
            </w:r>
            <w:r w:rsidRPr="002B13F6">
              <w:rPr>
                <w:sz w:val="22"/>
                <w:szCs w:val="22"/>
              </w:rPr>
              <w:t xml:space="preserve"> recognized that there was a limit to specific discussion without the participation of the proposer.</w:t>
            </w:r>
          </w:p>
          <w:p w14:paraId="3E47CC62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F4C3334" w14:textId="7828845B" w:rsidR="00ED30F6" w:rsidRDefault="00ED30F6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GBM3</w:t>
            </w:r>
            <w:r w:rsidRPr="00ED30F6">
              <w:rPr>
                <w:b/>
                <w:sz w:val="22"/>
                <w:szCs w:val="22"/>
              </w:rPr>
              <w:t xml:space="preserve"> decided</w:t>
            </w:r>
            <w:r w:rsidRPr="00ED30F6">
              <w:rPr>
                <w:sz w:val="22"/>
                <w:szCs w:val="22"/>
              </w:rPr>
              <w:t xml:space="preserve"> to </w:t>
            </w:r>
            <w:r w:rsidR="00792210">
              <w:rPr>
                <w:sz w:val="22"/>
                <w:szCs w:val="22"/>
              </w:rPr>
              <w:t>conduct</w:t>
            </w:r>
            <w:r w:rsidRPr="00ED30F6">
              <w:rPr>
                <w:sz w:val="22"/>
                <w:szCs w:val="22"/>
              </w:rPr>
              <w:t xml:space="preserve"> a separate proposal session that can have a presentation and question and answer</w:t>
            </w:r>
            <w:r w:rsidR="00C321FB">
              <w:rPr>
                <w:sz w:val="22"/>
                <w:szCs w:val="22"/>
              </w:rPr>
              <w:t xml:space="preserve"> with</w:t>
            </w:r>
            <w:r w:rsidRPr="00ED30F6">
              <w:rPr>
                <w:sz w:val="22"/>
                <w:szCs w:val="22"/>
              </w:rPr>
              <w:t xml:space="preserve"> the proposer</w:t>
            </w:r>
            <w:r w:rsidR="00C321FB">
              <w:rPr>
                <w:sz w:val="22"/>
                <w:szCs w:val="22"/>
              </w:rPr>
              <w:t xml:space="preserve"> in order to discuss details and make a proper decision </w:t>
            </w:r>
            <w:r w:rsidR="00792210">
              <w:rPr>
                <w:sz w:val="22"/>
                <w:szCs w:val="22"/>
              </w:rPr>
              <w:t>on</w:t>
            </w:r>
            <w:r w:rsidR="00C321FB">
              <w:rPr>
                <w:sz w:val="22"/>
                <w:szCs w:val="22"/>
              </w:rPr>
              <w:t xml:space="preserve"> </w:t>
            </w:r>
            <w:r w:rsidRPr="00ED30F6">
              <w:rPr>
                <w:sz w:val="22"/>
                <w:szCs w:val="22"/>
              </w:rPr>
              <w:t>the proposal. Proposer</w:t>
            </w:r>
            <w:r w:rsidR="00C321FB">
              <w:rPr>
                <w:sz w:val="22"/>
                <w:szCs w:val="22"/>
              </w:rPr>
              <w:t xml:space="preserve"> can only participate in their</w:t>
            </w:r>
            <w:r w:rsidRPr="00ED30F6">
              <w:rPr>
                <w:sz w:val="22"/>
                <w:szCs w:val="22"/>
              </w:rPr>
              <w:t xml:space="preserve"> proposal session.</w:t>
            </w:r>
          </w:p>
          <w:p w14:paraId="261C557A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F019B5B" w14:textId="456A7F22" w:rsidR="005D39CC" w:rsidRDefault="00C321FB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321FB">
              <w:rPr>
                <w:b/>
                <w:sz w:val="22"/>
                <w:szCs w:val="22"/>
              </w:rPr>
              <w:t>GM</w:t>
            </w:r>
            <w:r>
              <w:rPr>
                <w:b/>
                <w:sz w:val="22"/>
                <w:szCs w:val="22"/>
              </w:rPr>
              <w:t xml:space="preserve"> to</w:t>
            </w:r>
            <w:r w:rsidRPr="00C321F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contact</w:t>
            </w:r>
            <w:r w:rsidRPr="00C321FB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project leader o</w:t>
            </w:r>
            <w:r w:rsidRPr="00C321FB">
              <w:rPr>
                <w:sz w:val="22"/>
                <w:szCs w:val="22"/>
              </w:rPr>
              <w:t xml:space="preserve">f the S-57 to S-101 conversion and </w:t>
            </w:r>
            <w:r>
              <w:rPr>
                <w:sz w:val="22"/>
                <w:szCs w:val="22"/>
              </w:rPr>
              <w:t>invite</w:t>
            </w:r>
            <w:r w:rsidRPr="00C321FB">
              <w:rPr>
                <w:sz w:val="22"/>
                <w:szCs w:val="22"/>
              </w:rPr>
              <w:t xml:space="preserve"> them to </w:t>
            </w:r>
            <w:r>
              <w:rPr>
                <w:sz w:val="22"/>
                <w:szCs w:val="22"/>
              </w:rPr>
              <w:t>join</w:t>
            </w:r>
            <w:r w:rsidRPr="00C321FB">
              <w:rPr>
                <w:sz w:val="22"/>
                <w:szCs w:val="22"/>
              </w:rPr>
              <w:t xml:space="preserve"> in the proposal session </w:t>
            </w:r>
            <w:r w:rsidR="00792210">
              <w:rPr>
                <w:sz w:val="22"/>
                <w:szCs w:val="22"/>
              </w:rPr>
              <w:t>at</w:t>
            </w:r>
            <w:r w:rsidRPr="00C321FB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next opportunity. </w:t>
            </w:r>
          </w:p>
          <w:p w14:paraId="1ECB7141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B14C644" w14:textId="1C5C5B32" w:rsidR="00C321FB" w:rsidRPr="00E8519B" w:rsidRDefault="00C321FB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E356A">
              <w:rPr>
                <w:b/>
                <w:sz w:val="22"/>
                <w:szCs w:val="22"/>
              </w:rPr>
              <w:t>GBM3 approved</w:t>
            </w:r>
            <w:r>
              <w:rPr>
                <w:sz w:val="22"/>
                <w:szCs w:val="22"/>
              </w:rPr>
              <w:t xml:space="preserve"> the phase 2 of the S-57 to S-101 conversion project and confirm to commence</w:t>
            </w:r>
            <w:r w:rsidR="00792210">
              <w:rPr>
                <w:sz w:val="22"/>
                <w:szCs w:val="22"/>
              </w:rPr>
              <w:t xml:space="preserve"> with</w:t>
            </w:r>
            <w:r>
              <w:rPr>
                <w:sz w:val="22"/>
                <w:szCs w:val="22"/>
              </w:rPr>
              <w:t xml:space="preserve"> the project.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707032F" w14:textId="77777777" w:rsidR="000604CE" w:rsidRPr="00E8519B" w:rsidRDefault="000604CE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70712" w14:paraId="40564376" w14:textId="12FD9561" w:rsidTr="00E70712">
        <w:trPr>
          <w:trHeight w:val="287"/>
        </w:trPr>
        <w:tc>
          <w:tcPr>
            <w:tcW w:w="1525" w:type="dxa"/>
          </w:tcPr>
          <w:p w14:paraId="42247FEB" w14:textId="3328BBAE" w:rsidR="00E70712" w:rsidRPr="00EE356A" w:rsidRDefault="000604CE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E356A">
              <w:rPr>
                <w:sz w:val="22"/>
                <w:szCs w:val="22"/>
              </w:rPr>
              <w:t>GBM03-2.b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0D4C39E8" w14:textId="77777777" w:rsidR="00E70712" w:rsidRPr="00E8519B" w:rsidRDefault="00E70712" w:rsidP="0031341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>Marine Harbor Infrastructure Database Project (S-131)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5585CE4" w14:textId="77777777" w:rsidR="00E70712" w:rsidRPr="00E8519B" w:rsidRDefault="00E7071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70712" w14:paraId="4E0C98D4" w14:textId="49F06893" w:rsidTr="00E70712">
        <w:trPr>
          <w:trHeight w:val="306"/>
        </w:trPr>
        <w:tc>
          <w:tcPr>
            <w:tcW w:w="1525" w:type="dxa"/>
          </w:tcPr>
          <w:p w14:paraId="454A4DDF" w14:textId="77777777" w:rsidR="00E70712" w:rsidRDefault="00E7071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E9A30AA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C49BCA2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3D64249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DB99D2C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4CF72BB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71504C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7221759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1E6A3D3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8279E1C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2E96474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EBF662C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FBF6A05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D5318F5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F1525C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F167B7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B24BE95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FD4C334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051798F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0B12A5B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7B2C2DE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FEAA85F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2D40D7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31D491A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58A51D9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672BEC8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0DED66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0594DBA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D07B316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B03192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16A86E8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022389D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BE29FA0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B3443A4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D30F6">
              <w:rPr>
                <w:b/>
                <w:i/>
                <w:sz w:val="22"/>
                <w:szCs w:val="22"/>
              </w:rPr>
              <w:t>Decision3/</w:t>
            </w:r>
            <w:r>
              <w:rPr>
                <w:b/>
                <w:i/>
                <w:sz w:val="22"/>
                <w:szCs w:val="22"/>
              </w:rPr>
              <w:t>4</w:t>
            </w:r>
          </w:p>
          <w:p w14:paraId="7F13DA38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32FC09D6" w14:textId="77777777" w:rsidR="00783472" w:rsidRDefault="00783472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6B6E16A6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6AF6B490" w14:textId="022BBE1F" w:rsidR="00783472" w:rsidRDefault="00783472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Action </w:t>
            </w:r>
            <w:r w:rsidRPr="00ED30F6">
              <w:rPr>
                <w:b/>
                <w:i/>
                <w:sz w:val="22"/>
                <w:szCs w:val="22"/>
              </w:rPr>
              <w:t>3/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14:paraId="4866D8F6" w14:textId="46FC985C" w:rsidR="00783472" w:rsidRPr="00E8519B" w:rsidRDefault="0078347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5EB3D35C" w14:textId="79517240" w:rsidR="000F0076" w:rsidRDefault="000F0076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519B">
              <w:rPr>
                <w:b/>
                <w:sz w:val="22"/>
                <w:szCs w:val="22"/>
              </w:rPr>
              <w:lastRenderedPageBreak/>
              <w:t>The GBM3</w:t>
            </w:r>
            <w:r w:rsidRPr="00E8519B">
              <w:rPr>
                <w:sz w:val="22"/>
                <w:szCs w:val="22"/>
              </w:rPr>
              <w:t xml:space="preserve"> reviewed the proposal </w:t>
            </w:r>
            <w:r w:rsidR="003957E5">
              <w:rPr>
                <w:sz w:val="22"/>
                <w:szCs w:val="22"/>
              </w:rPr>
              <w:t>p</w:t>
            </w:r>
            <w:r w:rsidRPr="00E8519B">
              <w:rPr>
                <w:sz w:val="22"/>
                <w:szCs w:val="22"/>
              </w:rPr>
              <w:t>hase 2 of the S-131 project and discussed the evaluation that GM carried out in advance.</w:t>
            </w:r>
          </w:p>
          <w:p w14:paraId="77623BCC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FC8CDC4" w14:textId="77777777" w:rsidR="000F0076" w:rsidRPr="00E8519B" w:rsidRDefault="000F0076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>Consideration given three points following:</w:t>
            </w:r>
          </w:p>
          <w:p w14:paraId="3D6921B2" w14:textId="5DA5D294" w:rsidR="002361D7" w:rsidRDefault="002361D7" w:rsidP="003134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>Centralized or de-centralized database</w:t>
            </w:r>
          </w:p>
          <w:p w14:paraId="2DB6BDE6" w14:textId="77777777" w:rsidR="00313418" w:rsidRPr="00E8519B" w:rsidRDefault="00313418" w:rsidP="00313418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14:paraId="357F0577" w14:textId="219C20BB" w:rsidR="002361D7" w:rsidRDefault="003957E5" w:rsidP="00313418">
            <w:pPr>
              <w:pStyle w:val="NormalWeb"/>
              <w:spacing w:before="0" w:beforeAutospacing="0" w:after="0" w:afterAutospacing="0"/>
              <w:ind w:left="720"/>
              <w:rPr>
                <w:color w:val="000000" w:themeColor="text1"/>
                <w:sz w:val="22"/>
                <w:szCs w:val="22"/>
              </w:rPr>
            </w:pPr>
            <w:r w:rsidRPr="003957E5">
              <w:rPr>
                <w:b/>
                <w:color w:val="000000" w:themeColor="text1"/>
                <w:sz w:val="22"/>
                <w:szCs w:val="22"/>
              </w:rPr>
              <w:t>GBM3 noted</w:t>
            </w:r>
            <w:r w:rsidRPr="003957E5">
              <w:rPr>
                <w:color w:val="000000" w:themeColor="text1"/>
                <w:sz w:val="22"/>
                <w:szCs w:val="22"/>
              </w:rPr>
              <w:t xml:space="preserve"> that it is</w:t>
            </w:r>
            <w:r w:rsidR="002361D7" w:rsidRPr="003957E5">
              <w:rPr>
                <w:color w:val="000000" w:themeColor="text1"/>
                <w:sz w:val="22"/>
                <w:szCs w:val="22"/>
              </w:rPr>
              <w:t xml:space="preserve"> premature to be decided at this initial stage and waiting for testing and proposal from the Project Team including the data flow and options IHO can take into consideration. </w:t>
            </w:r>
          </w:p>
          <w:p w14:paraId="0E9D07E9" w14:textId="77777777" w:rsidR="00313418" w:rsidRPr="003957E5" w:rsidRDefault="00313418" w:rsidP="00313418">
            <w:pPr>
              <w:pStyle w:val="NormalWeb"/>
              <w:spacing w:before="0" w:beforeAutospacing="0" w:after="0" w:afterAutospacing="0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549A786D" w14:textId="441B17D5" w:rsidR="00E70712" w:rsidRPr="00E8519B" w:rsidRDefault="000F0076" w:rsidP="003134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 xml:space="preserve"> </w:t>
            </w:r>
            <w:r w:rsidR="002361D7" w:rsidRPr="00E8519B">
              <w:rPr>
                <w:sz w:val="22"/>
                <w:szCs w:val="22"/>
              </w:rPr>
              <w:t>IHO’s capacity to host the project server after the project</w:t>
            </w:r>
          </w:p>
          <w:p w14:paraId="491276FF" w14:textId="7DA0768E" w:rsidR="002361D7" w:rsidRDefault="003957E5" w:rsidP="00313418">
            <w:pPr>
              <w:pStyle w:val="NormalWeb"/>
              <w:spacing w:before="0" w:beforeAutospacing="0" w:after="0" w:afterAutospacing="0"/>
              <w:ind w:left="720"/>
              <w:rPr>
                <w:color w:val="000000" w:themeColor="text1"/>
                <w:sz w:val="22"/>
                <w:szCs w:val="22"/>
              </w:rPr>
            </w:pPr>
            <w:r w:rsidRPr="003957E5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GBM3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realized </w:t>
            </w:r>
            <w:r w:rsidRPr="003957E5">
              <w:rPr>
                <w:color w:val="000000" w:themeColor="text1"/>
                <w:sz w:val="22"/>
                <w:szCs w:val="22"/>
              </w:rPr>
              <w:t>that t</w:t>
            </w:r>
            <w:r w:rsidR="000604CE" w:rsidRPr="003957E5">
              <w:rPr>
                <w:color w:val="000000" w:themeColor="text1"/>
                <w:sz w:val="22"/>
                <w:szCs w:val="22"/>
              </w:rPr>
              <w:t xml:space="preserve">he issue </w:t>
            </w:r>
            <w:r w:rsidRPr="003957E5">
              <w:rPr>
                <w:color w:val="000000" w:themeColor="text1"/>
                <w:sz w:val="22"/>
                <w:szCs w:val="22"/>
              </w:rPr>
              <w:t>has</w:t>
            </w:r>
            <w:r w:rsidR="000604CE" w:rsidRPr="003957E5">
              <w:rPr>
                <w:color w:val="000000" w:themeColor="text1"/>
                <w:sz w:val="22"/>
                <w:szCs w:val="22"/>
              </w:rPr>
              <w:t xml:space="preserve"> be addressed in the HSSC and Council supporting maint</w:t>
            </w:r>
            <w:r w:rsidR="00792210">
              <w:rPr>
                <w:color w:val="000000" w:themeColor="text1"/>
                <w:sz w:val="22"/>
                <w:szCs w:val="22"/>
              </w:rPr>
              <w:t>enance</w:t>
            </w:r>
            <w:r w:rsidR="000604CE" w:rsidRPr="003957E5">
              <w:rPr>
                <w:color w:val="000000" w:themeColor="text1"/>
                <w:sz w:val="22"/>
                <w:szCs w:val="22"/>
              </w:rPr>
              <w:t xml:space="preserve"> of the system and operation as a daily business.</w:t>
            </w:r>
          </w:p>
          <w:p w14:paraId="3945206E" w14:textId="77777777" w:rsidR="00313418" w:rsidRPr="003957E5" w:rsidRDefault="00313418" w:rsidP="00313418">
            <w:pPr>
              <w:pStyle w:val="NormalWeb"/>
              <w:spacing w:before="0" w:beforeAutospacing="0" w:after="0" w:afterAutospacing="0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5E6E15CD" w14:textId="0FF11083" w:rsidR="002361D7" w:rsidRDefault="002361D7" w:rsidP="0031341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>Funding support from IHO and Host Country ie. Total €24k (€14k + €10k). IHO and Host Country to co</w:t>
            </w:r>
            <w:r w:rsidR="00792210">
              <w:rPr>
                <w:sz w:val="22"/>
                <w:szCs w:val="22"/>
              </w:rPr>
              <w:t>-</w:t>
            </w:r>
            <w:r w:rsidRPr="00E8519B">
              <w:rPr>
                <w:sz w:val="22"/>
                <w:szCs w:val="22"/>
              </w:rPr>
              <w:t>share this portion of funding request.</w:t>
            </w:r>
          </w:p>
          <w:p w14:paraId="2BF9EAF0" w14:textId="77777777" w:rsidR="00313418" w:rsidRPr="00E8519B" w:rsidRDefault="00313418" w:rsidP="00313418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14:paraId="7F0B0D43" w14:textId="65D6E6F3" w:rsidR="000604CE" w:rsidRDefault="003957E5" w:rsidP="00313418">
            <w:pPr>
              <w:pStyle w:val="NormalWeb"/>
              <w:spacing w:before="0" w:beforeAutospacing="0" w:after="0" w:afterAutospacing="0"/>
              <w:ind w:left="720"/>
              <w:rPr>
                <w:color w:val="000000" w:themeColor="text1"/>
                <w:sz w:val="22"/>
                <w:szCs w:val="22"/>
              </w:rPr>
            </w:pPr>
            <w:r w:rsidRPr="003957E5">
              <w:rPr>
                <w:b/>
                <w:color w:val="000000" w:themeColor="text1"/>
                <w:sz w:val="22"/>
                <w:szCs w:val="22"/>
              </w:rPr>
              <w:t>AK mentioned</w:t>
            </w:r>
            <w:r w:rsidRPr="003957E5">
              <w:rPr>
                <w:color w:val="000000" w:themeColor="text1"/>
                <w:sz w:val="22"/>
                <w:szCs w:val="22"/>
              </w:rPr>
              <w:t xml:space="preserve"> that IHO speci</w:t>
            </w:r>
            <w:r>
              <w:rPr>
                <w:color w:val="000000" w:themeColor="text1"/>
                <w:sz w:val="22"/>
                <w:szCs w:val="22"/>
              </w:rPr>
              <w:t xml:space="preserve">al fund could contribute to this </w:t>
            </w:r>
            <w:r w:rsidR="00305602">
              <w:rPr>
                <w:color w:val="000000" w:themeColor="text1"/>
                <w:sz w:val="22"/>
                <w:szCs w:val="22"/>
              </w:rPr>
              <w:t>project however</w:t>
            </w:r>
            <w:r w:rsidRPr="003957E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2210">
              <w:rPr>
                <w:color w:val="000000" w:themeColor="text1"/>
                <w:sz w:val="22"/>
                <w:szCs w:val="22"/>
              </w:rPr>
              <w:t xml:space="preserve">more details </w:t>
            </w:r>
            <w:r w:rsidR="00305602">
              <w:rPr>
                <w:color w:val="000000" w:themeColor="text1"/>
                <w:sz w:val="22"/>
                <w:szCs w:val="22"/>
              </w:rPr>
              <w:t xml:space="preserve">should be provided and </w:t>
            </w:r>
            <w:r w:rsidR="00792210">
              <w:rPr>
                <w:color w:val="000000" w:themeColor="text1"/>
                <w:sz w:val="22"/>
                <w:szCs w:val="22"/>
              </w:rPr>
              <w:t xml:space="preserve">the fund will not </w:t>
            </w:r>
            <w:r w:rsidR="00305602">
              <w:rPr>
                <w:color w:val="000000" w:themeColor="text1"/>
                <w:sz w:val="22"/>
                <w:szCs w:val="22"/>
              </w:rPr>
              <w:t xml:space="preserve">support </w:t>
            </w:r>
            <w:r w:rsidR="00792210">
              <w:rPr>
                <w:color w:val="000000" w:themeColor="text1"/>
                <w:sz w:val="22"/>
                <w:szCs w:val="22"/>
              </w:rPr>
              <w:t xml:space="preserve">establishment of </w:t>
            </w:r>
            <w:r w:rsidR="00305602">
              <w:rPr>
                <w:color w:val="000000" w:themeColor="text1"/>
                <w:sz w:val="22"/>
                <w:szCs w:val="22"/>
              </w:rPr>
              <w:t>infra</w:t>
            </w:r>
            <w:r w:rsidR="00792210">
              <w:rPr>
                <w:color w:val="000000" w:themeColor="text1"/>
                <w:sz w:val="22"/>
                <w:szCs w:val="22"/>
              </w:rPr>
              <w:t>structure</w:t>
            </w:r>
            <w:r w:rsidR="0030560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2210">
              <w:rPr>
                <w:color w:val="000000" w:themeColor="text1"/>
                <w:sz w:val="22"/>
                <w:szCs w:val="22"/>
              </w:rPr>
              <w:t>or</w:t>
            </w:r>
            <w:r w:rsidR="00305602">
              <w:rPr>
                <w:color w:val="000000" w:themeColor="text1"/>
                <w:sz w:val="22"/>
                <w:szCs w:val="22"/>
              </w:rPr>
              <w:t xml:space="preserve"> maintenance of the system. </w:t>
            </w:r>
            <w:r w:rsidRPr="003957E5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569FE9AF" w14:textId="77777777" w:rsidR="00313418" w:rsidRDefault="00313418" w:rsidP="00313418">
            <w:pPr>
              <w:pStyle w:val="NormalWeb"/>
              <w:spacing w:before="0" w:beforeAutospacing="0" w:after="0" w:afterAutospacing="0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2C9E4011" w14:textId="0066F004" w:rsidR="00AD347F" w:rsidRPr="00E8519B" w:rsidRDefault="00C2141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141E">
              <w:rPr>
                <w:sz w:val="22"/>
                <w:szCs w:val="22"/>
              </w:rPr>
              <w:t>During the meeting, there was a discussion about the test data</w:t>
            </w:r>
            <w:r>
              <w:rPr>
                <w:sz w:val="22"/>
                <w:szCs w:val="22"/>
              </w:rPr>
              <w:t>set</w:t>
            </w:r>
            <w:r w:rsidRPr="00C2141E">
              <w:rPr>
                <w:sz w:val="22"/>
                <w:szCs w:val="22"/>
              </w:rPr>
              <w:t xml:space="preserve"> area of the project. Currently, Singapore, Canada, and Rotterdam ports are mentioned as </w:t>
            </w:r>
            <w:r>
              <w:rPr>
                <w:sz w:val="22"/>
                <w:szCs w:val="22"/>
              </w:rPr>
              <w:t xml:space="preserve">test bed </w:t>
            </w:r>
            <w:r w:rsidRPr="00C2141E">
              <w:rPr>
                <w:sz w:val="22"/>
                <w:szCs w:val="22"/>
              </w:rPr>
              <w:t xml:space="preserve">ports that can participate in the project, and </w:t>
            </w:r>
            <w:r w:rsidRPr="00C2141E">
              <w:rPr>
                <w:b/>
                <w:sz w:val="22"/>
                <w:szCs w:val="22"/>
              </w:rPr>
              <w:t>GM to contact</w:t>
            </w:r>
            <w:r>
              <w:rPr>
                <w:sz w:val="22"/>
                <w:szCs w:val="22"/>
              </w:rPr>
              <w:t xml:space="preserve"> the project team to consider </w:t>
            </w:r>
            <w:r w:rsidR="00792210">
              <w:rPr>
                <w:sz w:val="22"/>
                <w:szCs w:val="22"/>
              </w:rPr>
              <w:t xml:space="preserve">if </w:t>
            </w:r>
            <w:r w:rsidRPr="00C2141E">
              <w:rPr>
                <w:sz w:val="22"/>
                <w:szCs w:val="22"/>
              </w:rPr>
              <w:t>more major ports can participate.</w:t>
            </w:r>
            <w:r w:rsidRPr="00C2141E">
              <w:rPr>
                <w:sz w:val="22"/>
                <w:szCs w:val="22"/>
              </w:rPr>
              <w:br/>
            </w:r>
            <w:r w:rsidRPr="00C2141E">
              <w:rPr>
                <w:sz w:val="22"/>
                <w:szCs w:val="22"/>
              </w:rPr>
              <w:br/>
              <w:t xml:space="preserve">In addition to the test </w:t>
            </w:r>
            <w:r>
              <w:rPr>
                <w:sz w:val="22"/>
                <w:szCs w:val="22"/>
              </w:rPr>
              <w:t xml:space="preserve">bed </w:t>
            </w:r>
            <w:r w:rsidRPr="00C2141E">
              <w:rPr>
                <w:sz w:val="22"/>
                <w:szCs w:val="22"/>
              </w:rPr>
              <w:t>area, it was discussed that data</w:t>
            </w:r>
            <w:r w:rsidR="00783472">
              <w:rPr>
                <w:sz w:val="22"/>
                <w:szCs w:val="22"/>
              </w:rPr>
              <w:t xml:space="preserve"> contents</w:t>
            </w:r>
            <w:r w:rsidRPr="00C2141E">
              <w:rPr>
                <w:sz w:val="22"/>
                <w:szCs w:val="22"/>
              </w:rPr>
              <w:t xml:space="preserve"> from </w:t>
            </w:r>
            <w:r w:rsidR="00783472">
              <w:rPr>
                <w:sz w:val="22"/>
                <w:szCs w:val="22"/>
              </w:rPr>
              <w:t>the port authority</w:t>
            </w:r>
            <w:r w:rsidRPr="00C2141E">
              <w:rPr>
                <w:sz w:val="22"/>
                <w:szCs w:val="22"/>
              </w:rPr>
              <w:t xml:space="preserve">, update cycles, and </w:t>
            </w:r>
            <w:r w:rsidR="00783472">
              <w:rPr>
                <w:sz w:val="22"/>
                <w:szCs w:val="22"/>
              </w:rPr>
              <w:t xml:space="preserve">from </w:t>
            </w:r>
            <w:r w:rsidRPr="00C2141E">
              <w:rPr>
                <w:sz w:val="22"/>
                <w:szCs w:val="22"/>
              </w:rPr>
              <w:t xml:space="preserve">data </w:t>
            </w:r>
            <w:r w:rsidR="00783472">
              <w:rPr>
                <w:sz w:val="22"/>
                <w:szCs w:val="22"/>
              </w:rPr>
              <w:t>entry</w:t>
            </w:r>
            <w:r w:rsidRPr="00C2141E">
              <w:rPr>
                <w:sz w:val="22"/>
                <w:szCs w:val="22"/>
              </w:rPr>
              <w:t xml:space="preserve"> to the use of the </w:t>
            </w:r>
            <w:r w:rsidR="00783472">
              <w:rPr>
                <w:sz w:val="22"/>
                <w:szCs w:val="22"/>
              </w:rPr>
              <w:t>Hydrographic Office for S-131 products</w:t>
            </w:r>
            <w:r w:rsidRPr="00C2141E">
              <w:rPr>
                <w:sz w:val="22"/>
                <w:szCs w:val="22"/>
              </w:rPr>
              <w:t xml:space="preserve"> was also </w:t>
            </w:r>
            <w:r w:rsidR="00783472">
              <w:rPr>
                <w:sz w:val="22"/>
                <w:szCs w:val="22"/>
              </w:rPr>
              <w:t>tested</w:t>
            </w:r>
            <w:r w:rsidRPr="00C2141E">
              <w:rPr>
                <w:sz w:val="22"/>
                <w:szCs w:val="22"/>
              </w:rPr>
              <w:t>.</w:t>
            </w:r>
            <w:r w:rsidRPr="00C2141E">
              <w:rPr>
                <w:sz w:val="22"/>
                <w:szCs w:val="22"/>
              </w:rPr>
              <w:br/>
            </w:r>
            <w:r w:rsidRPr="00C2141E">
              <w:rPr>
                <w:sz w:val="22"/>
                <w:szCs w:val="22"/>
              </w:rPr>
              <w:br/>
              <w:t>Considering the geographical characteristics and size of Singapore's port, it was recognized as a very suitable area for testing.</w:t>
            </w:r>
            <w:r w:rsidRPr="00C2141E">
              <w:rPr>
                <w:sz w:val="22"/>
                <w:szCs w:val="22"/>
              </w:rPr>
              <w:br/>
            </w:r>
            <w:r w:rsidRPr="00C2141E">
              <w:rPr>
                <w:sz w:val="22"/>
                <w:szCs w:val="22"/>
              </w:rPr>
              <w:br/>
            </w:r>
            <w:r w:rsidRPr="00783472">
              <w:rPr>
                <w:b/>
                <w:sz w:val="22"/>
                <w:szCs w:val="22"/>
              </w:rPr>
              <w:t>GBM3 approved</w:t>
            </w:r>
            <w:r w:rsidRPr="00C2141E">
              <w:rPr>
                <w:sz w:val="22"/>
                <w:szCs w:val="22"/>
              </w:rPr>
              <w:t xml:space="preserve"> the proposal for the second phase of the S-131 project and decided to invite the project proposer to the proposal session </w:t>
            </w:r>
            <w:r w:rsidR="00783472">
              <w:rPr>
                <w:sz w:val="22"/>
                <w:szCs w:val="22"/>
              </w:rPr>
              <w:t xml:space="preserve">at the </w:t>
            </w:r>
            <w:r w:rsidRPr="00C2141E">
              <w:rPr>
                <w:sz w:val="22"/>
                <w:szCs w:val="22"/>
              </w:rPr>
              <w:t xml:space="preserve">next </w:t>
            </w:r>
            <w:r w:rsidR="00783472">
              <w:rPr>
                <w:sz w:val="22"/>
                <w:szCs w:val="22"/>
              </w:rPr>
              <w:t>opportunity.</w:t>
            </w:r>
            <w:r w:rsidRPr="00C2141E">
              <w:rPr>
                <w:sz w:val="22"/>
                <w:szCs w:val="22"/>
              </w:rPr>
              <w:br/>
            </w:r>
            <w:r w:rsidRPr="00C2141E">
              <w:rPr>
                <w:sz w:val="22"/>
                <w:szCs w:val="22"/>
              </w:rPr>
              <w:br/>
            </w:r>
            <w:r w:rsidRPr="00783472">
              <w:rPr>
                <w:b/>
                <w:sz w:val="22"/>
                <w:szCs w:val="22"/>
              </w:rPr>
              <w:t xml:space="preserve">GM </w:t>
            </w:r>
            <w:r w:rsidR="00783472" w:rsidRPr="00783472">
              <w:rPr>
                <w:b/>
                <w:sz w:val="22"/>
                <w:szCs w:val="22"/>
              </w:rPr>
              <w:t>to contact</w:t>
            </w:r>
            <w:r w:rsidRPr="00C2141E">
              <w:rPr>
                <w:sz w:val="22"/>
                <w:szCs w:val="22"/>
              </w:rPr>
              <w:t xml:space="preserve"> the project leader to confirm the </w:t>
            </w:r>
            <w:r w:rsidR="00783472">
              <w:rPr>
                <w:sz w:val="22"/>
                <w:szCs w:val="22"/>
              </w:rPr>
              <w:t xml:space="preserve">test data production plan </w:t>
            </w:r>
            <w:r w:rsidRPr="00C2141E">
              <w:rPr>
                <w:sz w:val="22"/>
                <w:szCs w:val="22"/>
              </w:rPr>
              <w:t>and to share it with the</w:t>
            </w:r>
            <w:r w:rsidR="00783472">
              <w:rPr>
                <w:sz w:val="22"/>
                <w:szCs w:val="22"/>
              </w:rPr>
              <w:t xml:space="preserve"> GBM, and invite</w:t>
            </w:r>
            <w:r w:rsidRPr="00C2141E">
              <w:rPr>
                <w:sz w:val="22"/>
                <w:szCs w:val="22"/>
              </w:rPr>
              <w:t xml:space="preserve"> the proposer to the proposal session for the next meeting.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6E8AFC3" w14:textId="77777777" w:rsidR="00E70712" w:rsidRPr="00E8519B" w:rsidRDefault="00E70712" w:rsidP="003134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70712" w14:paraId="7EF475FD" w14:textId="47AB95F2" w:rsidTr="00783472">
        <w:trPr>
          <w:trHeight w:val="287"/>
        </w:trPr>
        <w:tc>
          <w:tcPr>
            <w:tcW w:w="1525" w:type="dxa"/>
            <w:shd w:val="clear" w:color="auto" w:fill="FFF2CC" w:themeFill="accent4" w:themeFillTint="33"/>
          </w:tcPr>
          <w:p w14:paraId="544FCFE3" w14:textId="2D728DE8" w:rsidR="00E70712" w:rsidRPr="00783472" w:rsidRDefault="0078347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E8519B">
              <w:rPr>
                <w:b/>
                <w:sz w:val="22"/>
                <w:szCs w:val="22"/>
              </w:rPr>
              <w:lastRenderedPageBreak/>
              <w:t>GBM03</w:t>
            </w:r>
            <w:r w:rsidRPr="00783472">
              <w:rPr>
                <w:b/>
                <w:sz w:val="22"/>
                <w:szCs w:val="22"/>
              </w:rPr>
              <w:t>-3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4E70D43" w14:textId="695329A8" w:rsidR="00E70712" w:rsidRPr="00783472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783472">
              <w:rPr>
                <w:b/>
                <w:sz w:val="22"/>
                <w:szCs w:val="22"/>
              </w:rPr>
              <w:t xml:space="preserve">Potential Projects under discussion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CA4310B" w14:textId="77777777" w:rsidR="00E70712" w:rsidRPr="00783472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604CE" w14:paraId="63C54352" w14:textId="61FA3B73" w:rsidTr="00313418">
        <w:trPr>
          <w:trHeight w:val="593"/>
        </w:trPr>
        <w:tc>
          <w:tcPr>
            <w:tcW w:w="1525" w:type="dxa"/>
          </w:tcPr>
          <w:p w14:paraId="035F6306" w14:textId="33949DFF" w:rsidR="000604CE" w:rsidRPr="00E8519B" w:rsidRDefault="000604CE" w:rsidP="00313418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8519B">
              <w:rPr>
                <w:b/>
                <w:sz w:val="22"/>
                <w:szCs w:val="22"/>
              </w:rPr>
              <w:t>GBM03-</w:t>
            </w:r>
            <w:r w:rsidRPr="00E8519B">
              <w:rPr>
                <w:sz w:val="22"/>
                <w:szCs w:val="22"/>
              </w:rPr>
              <w:t>3.a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7D66973F" w14:textId="603A7770" w:rsidR="000604CE" w:rsidRPr="00E8519B" w:rsidRDefault="000604CE" w:rsidP="0031341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 xml:space="preserve">Creation and test-bedding of ECDIS capable of displaying S-102 Bathymetric Surface and S-104 Water Level products on S-57 and S-101 ENCs.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7C79D6B" w14:textId="77777777" w:rsidR="000604CE" w:rsidRPr="00E8519B" w:rsidRDefault="000604CE" w:rsidP="00313418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0604CE" w14:paraId="309CBD51" w14:textId="77777777" w:rsidTr="000604CE">
        <w:trPr>
          <w:trHeight w:val="645"/>
        </w:trPr>
        <w:tc>
          <w:tcPr>
            <w:tcW w:w="1525" w:type="dxa"/>
          </w:tcPr>
          <w:p w14:paraId="1E75144B" w14:textId="77777777" w:rsidR="000604CE" w:rsidRDefault="000604CE" w:rsidP="002D256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21B8158" w14:textId="77777777" w:rsidR="00783472" w:rsidRDefault="00783472" w:rsidP="002D256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43E06A8" w14:textId="77777777" w:rsidR="00783472" w:rsidRDefault="00783472" w:rsidP="002D256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C985492" w14:textId="77777777" w:rsidR="00783472" w:rsidRDefault="00783472" w:rsidP="0078347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4AF117EA" w14:textId="77777777" w:rsidR="00783472" w:rsidRDefault="00783472" w:rsidP="002D256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E2F52A9" w14:textId="77777777" w:rsidR="00783472" w:rsidRDefault="00783472" w:rsidP="002D256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882F164" w14:textId="77777777" w:rsidR="00783472" w:rsidRDefault="00783472" w:rsidP="002D256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273548E" w14:textId="37168008" w:rsidR="00783472" w:rsidRDefault="00783472" w:rsidP="00783472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D30F6">
              <w:rPr>
                <w:b/>
                <w:i/>
                <w:sz w:val="22"/>
                <w:szCs w:val="22"/>
              </w:rPr>
              <w:t>Decision3/</w:t>
            </w:r>
            <w:r>
              <w:rPr>
                <w:b/>
                <w:i/>
                <w:sz w:val="22"/>
                <w:szCs w:val="22"/>
              </w:rPr>
              <w:t>5</w:t>
            </w:r>
          </w:p>
          <w:p w14:paraId="7B9F0BDF" w14:textId="77777777" w:rsidR="002D2561" w:rsidRDefault="002D2561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5A54AEC4" w14:textId="77777777" w:rsidR="002D2561" w:rsidRDefault="002D2561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260E8163" w14:textId="77777777" w:rsid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2C97322E" w14:textId="4FC36AAA" w:rsidR="002D2561" w:rsidRDefault="002D2561" w:rsidP="002D2561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D30F6">
              <w:rPr>
                <w:b/>
                <w:i/>
                <w:sz w:val="22"/>
                <w:szCs w:val="22"/>
              </w:rPr>
              <w:t>Decision3/</w:t>
            </w:r>
            <w:r>
              <w:rPr>
                <w:b/>
                <w:i/>
                <w:sz w:val="22"/>
                <w:szCs w:val="22"/>
              </w:rPr>
              <w:t>6</w:t>
            </w:r>
          </w:p>
          <w:p w14:paraId="7DC17436" w14:textId="77777777" w:rsidR="002D2561" w:rsidRDefault="002D2561" w:rsidP="00783472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2C98C891" w14:textId="77777777" w:rsidR="002D2561" w:rsidRDefault="002D2561" w:rsidP="00783472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14:paraId="049BA210" w14:textId="458A3D16" w:rsidR="00783472" w:rsidRPr="002D2561" w:rsidRDefault="002D2561" w:rsidP="002D2561">
            <w:pPr>
              <w:pStyle w:val="NormalWeb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Action </w:t>
            </w:r>
            <w:r w:rsidRPr="00ED30F6">
              <w:rPr>
                <w:b/>
                <w:i/>
                <w:sz w:val="22"/>
                <w:szCs w:val="22"/>
              </w:rPr>
              <w:t>3/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676E35C3" w14:textId="081286F9" w:rsidR="00E8519B" w:rsidRDefault="00783472" w:rsidP="000604C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 presented that t</w:t>
            </w:r>
            <w:r w:rsidR="00E8519B" w:rsidRPr="00E8519B">
              <w:rPr>
                <w:sz w:val="22"/>
                <w:szCs w:val="22"/>
              </w:rPr>
              <w:t>his project</w:t>
            </w:r>
            <w:r>
              <w:rPr>
                <w:sz w:val="22"/>
                <w:szCs w:val="22"/>
              </w:rPr>
              <w:t xml:space="preserve"> proposal</w:t>
            </w:r>
            <w:r w:rsidR="00E8519B" w:rsidRPr="00E8519B">
              <w:rPr>
                <w:sz w:val="22"/>
                <w:szCs w:val="22"/>
              </w:rPr>
              <w:t xml:space="preserve"> resulted from the discussion at the S-100 WG meeting. There were concerns on how to integrate the S-102 overlay on S-101 </w:t>
            </w:r>
            <w:r>
              <w:rPr>
                <w:sz w:val="22"/>
                <w:szCs w:val="22"/>
              </w:rPr>
              <w:t>and possible impact when S-104 was</w:t>
            </w:r>
            <w:r w:rsidR="00E8519B" w:rsidRPr="00E8519B">
              <w:rPr>
                <w:sz w:val="22"/>
                <w:szCs w:val="22"/>
              </w:rPr>
              <w:t xml:space="preserve"> introduced. However, the important step forward is to evaluate and </w:t>
            </w:r>
            <w:r w:rsidRPr="00E8519B">
              <w:rPr>
                <w:sz w:val="22"/>
                <w:szCs w:val="22"/>
              </w:rPr>
              <w:t>test</w:t>
            </w:r>
            <w:r w:rsidR="00E8519B" w:rsidRPr="00E8519B">
              <w:rPr>
                <w:sz w:val="22"/>
                <w:szCs w:val="22"/>
              </w:rPr>
              <w:t xml:space="preserve"> the products and examine any possible constraints and different displays, especially on an ECDIS. Worthwhile project to support.</w:t>
            </w:r>
          </w:p>
          <w:p w14:paraId="08F7B5DE" w14:textId="6701D577" w:rsidR="00884DEC" w:rsidRDefault="00783472" w:rsidP="00313418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83472">
              <w:rPr>
                <w:b/>
                <w:sz w:val="22"/>
                <w:szCs w:val="22"/>
              </w:rPr>
              <w:t>GBM3 agreed</w:t>
            </w:r>
            <w:r w:rsidRPr="00783472">
              <w:rPr>
                <w:sz w:val="22"/>
                <w:szCs w:val="22"/>
              </w:rPr>
              <w:t xml:space="preserve"> that S-57 should not be included and focus </w:t>
            </w:r>
            <w:r w:rsidR="00B76598">
              <w:rPr>
                <w:sz w:val="22"/>
                <w:szCs w:val="22"/>
              </w:rPr>
              <w:t xml:space="preserve">to be </w:t>
            </w:r>
            <w:r w:rsidRPr="00783472">
              <w:rPr>
                <w:sz w:val="22"/>
                <w:szCs w:val="22"/>
              </w:rPr>
              <w:t xml:space="preserve">on the </w:t>
            </w:r>
            <w:r>
              <w:rPr>
                <w:sz w:val="22"/>
                <w:szCs w:val="22"/>
              </w:rPr>
              <w:t xml:space="preserve">S-98 </w:t>
            </w:r>
            <w:r w:rsidRPr="00783472">
              <w:rPr>
                <w:sz w:val="22"/>
                <w:szCs w:val="22"/>
              </w:rPr>
              <w:t>interoperability issue.</w:t>
            </w:r>
            <w:r w:rsidRPr="00783472">
              <w:rPr>
                <w:sz w:val="22"/>
                <w:szCs w:val="22"/>
              </w:rPr>
              <w:br/>
            </w:r>
            <w:r w:rsidRPr="00783472">
              <w:rPr>
                <w:sz w:val="22"/>
                <w:szCs w:val="22"/>
              </w:rPr>
              <w:br/>
            </w:r>
            <w:r w:rsidRPr="002D2561">
              <w:rPr>
                <w:b/>
                <w:sz w:val="22"/>
                <w:szCs w:val="22"/>
              </w:rPr>
              <w:t xml:space="preserve">GBM3 </w:t>
            </w:r>
            <w:r w:rsidR="002D2561" w:rsidRPr="002D2561">
              <w:rPr>
                <w:b/>
                <w:sz w:val="22"/>
                <w:szCs w:val="22"/>
              </w:rPr>
              <w:t>approved</w:t>
            </w:r>
            <w:r w:rsidR="002D2561">
              <w:rPr>
                <w:sz w:val="22"/>
                <w:szCs w:val="22"/>
              </w:rPr>
              <w:t xml:space="preserve"> th</w:t>
            </w:r>
            <w:r w:rsidR="00B76598">
              <w:rPr>
                <w:sz w:val="22"/>
                <w:szCs w:val="22"/>
              </w:rPr>
              <w:t>e</w:t>
            </w:r>
            <w:r w:rsidR="002D2561">
              <w:rPr>
                <w:sz w:val="22"/>
                <w:szCs w:val="22"/>
              </w:rPr>
              <w:t xml:space="preserve"> project </w:t>
            </w:r>
            <w:r w:rsidR="00B76598">
              <w:rPr>
                <w:sz w:val="22"/>
                <w:szCs w:val="22"/>
              </w:rPr>
              <w:t>for the submission of</w:t>
            </w:r>
            <w:r w:rsidR="002D2561">
              <w:rPr>
                <w:sz w:val="22"/>
                <w:szCs w:val="22"/>
              </w:rPr>
              <w:t xml:space="preserve"> </w:t>
            </w:r>
            <w:r w:rsidRPr="00783472">
              <w:rPr>
                <w:sz w:val="22"/>
                <w:szCs w:val="22"/>
              </w:rPr>
              <w:t xml:space="preserve">a second-phase proposal and </w:t>
            </w:r>
            <w:r w:rsidR="002D2561">
              <w:rPr>
                <w:sz w:val="22"/>
                <w:szCs w:val="22"/>
              </w:rPr>
              <w:t xml:space="preserve">proposed that </w:t>
            </w:r>
            <w:r w:rsidR="002D2561" w:rsidRPr="00783472">
              <w:rPr>
                <w:sz w:val="22"/>
                <w:szCs w:val="22"/>
              </w:rPr>
              <w:t>the</w:t>
            </w:r>
            <w:r w:rsidRPr="00783472">
              <w:rPr>
                <w:sz w:val="22"/>
                <w:szCs w:val="22"/>
              </w:rPr>
              <w:t xml:space="preserve"> contents of the proposal </w:t>
            </w:r>
            <w:r w:rsidR="002D2561">
              <w:rPr>
                <w:sz w:val="22"/>
                <w:szCs w:val="22"/>
              </w:rPr>
              <w:t xml:space="preserve">should be discussed </w:t>
            </w:r>
            <w:r w:rsidRPr="00783472">
              <w:rPr>
                <w:sz w:val="22"/>
                <w:szCs w:val="22"/>
              </w:rPr>
              <w:t>with</w:t>
            </w:r>
            <w:r w:rsidR="002D2561">
              <w:rPr>
                <w:sz w:val="22"/>
                <w:szCs w:val="22"/>
              </w:rPr>
              <w:t xml:space="preserve"> the IHO</w:t>
            </w:r>
            <w:r w:rsidRPr="00783472">
              <w:rPr>
                <w:sz w:val="22"/>
                <w:szCs w:val="22"/>
              </w:rPr>
              <w:t xml:space="preserve"> working groups related to interoperability.</w:t>
            </w:r>
          </w:p>
          <w:p w14:paraId="61A4EA25" w14:textId="2208C56A" w:rsidR="002D2561" w:rsidRPr="00E8519B" w:rsidRDefault="002D2561" w:rsidP="002D2561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2D2561">
              <w:rPr>
                <w:b/>
                <w:sz w:val="22"/>
                <w:szCs w:val="22"/>
              </w:rPr>
              <w:t>GM to contact</w:t>
            </w:r>
            <w:r>
              <w:rPr>
                <w:sz w:val="22"/>
                <w:szCs w:val="22"/>
              </w:rPr>
              <w:t xml:space="preserve"> the project leader to inform them of the preparation of the next step proposal and delivers the suggestions discussed at the meeting.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EB77F56" w14:textId="77777777" w:rsidR="000604CE" w:rsidRPr="00E8519B" w:rsidRDefault="000604CE" w:rsidP="009641CD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0604CE" w14:paraId="294161BF" w14:textId="77777777" w:rsidTr="000E1256">
        <w:trPr>
          <w:trHeight w:val="395"/>
        </w:trPr>
        <w:tc>
          <w:tcPr>
            <w:tcW w:w="1525" w:type="dxa"/>
          </w:tcPr>
          <w:p w14:paraId="7F8EFE24" w14:textId="27CDB710" w:rsidR="002D2561" w:rsidRPr="00E8519B" w:rsidRDefault="000604CE" w:rsidP="000E1256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8519B">
              <w:rPr>
                <w:b/>
                <w:sz w:val="22"/>
                <w:szCs w:val="22"/>
              </w:rPr>
              <w:t>GBM03-</w:t>
            </w:r>
            <w:r w:rsidRPr="00E8519B">
              <w:rPr>
                <w:sz w:val="22"/>
                <w:szCs w:val="22"/>
              </w:rPr>
              <w:t>3.b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2BB8A789" w14:textId="19F4A78C" w:rsidR="006643A9" w:rsidRPr="00E8519B" w:rsidRDefault="000604CE" w:rsidP="000E125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>Involvement in IHO Mass Autonomous Surface Ships Project Team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600015E" w14:textId="77777777" w:rsidR="000604CE" w:rsidRPr="00E8519B" w:rsidRDefault="000604CE" w:rsidP="000E1256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0C278A" w14:paraId="48748C78" w14:textId="77777777" w:rsidTr="00313418">
        <w:trPr>
          <w:trHeight w:val="350"/>
        </w:trPr>
        <w:tc>
          <w:tcPr>
            <w:tcW w:w="1525" w:type="dxa"/>
          </w:tcPr>
          <w:p w14:paraId="4DAF94B3" w14:textId="0FBB8443" w:rsidR="000C278A" w:rsidRPr="00E8519B" w:rsidRDefault="000C278A" w:rsidP="00313418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Action </w:t>
            </w:r>
            <w:r w:rsidRPr="00ED30F6">
              <w:rPr>
                <w:b/>
                <w:i/>
                <w:sz w:val="22"/>
                <w:szCs w:val="22"/>
              </w:rPr>
              <w:t>3/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63E881CC" w14:textId="0D9A8B63" w:rsidR="000C278A" w:rsidRPr="00E8519B" w:rsidRDefault="000C278A" w:rsidP="00313418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D2561">
              <w:rPr>
                <w:rFonts w:hint="eastAsia"/>
                <w:b/>
                <w:sz w:val="22"/>
                <w:szCs w:val="22"/>
              </w:rPr>
              <w:t>GM to monitor</w:t>
            </w:r>
            <w:r w:rsidRPr="002D2561">
              <w:rPr>
                <w:rFonts w:hint="eastAsia"/>
                <w:sz w:val="22"/>
                <w:szCs w:val="22"/>
              </w:rPr>
              <w:t xml:space="preserve"> the progress of MASS and reports to GBM if necessary.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9C86917" w14:textId="77777777" w:rsidR="000C278A" w:rsidRPr="00E8519B" w:rsidRDefault="000C278A" w:rsidP="00313418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70712" w14:paraId="121ADC1C" w14:textId="1FEEE844" w:rsidTr="000C278A">
        <w:trPr>
          <w:trHeight w:val="287"/>
        </w:trPr>
        <w:tc>
          <w:tcPr>
            <w:tcW w:w="1525" w:type="dxa"/>
            <w:shd w:val="clear" w:color="auto" w:fill="FFF2CC" w:themeFill="accent4" w:themeFillTint="33"/>
          </w:tcPr>
          <w:p w14:paraId="21B48F4F" w14:textId="6364593F" w:rsidR="00E70712" w:rsidRPr="00E8519B" w:rsidRDefault="009641CD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E8519B">
              <w:rPr>
                <w:b/>
                <w:sz w:val="22"/>
                <w:szCs w:val="22"/>
              </w:rPr>
              <w:t>GBM03-</w:t>
            </w:r>
            <w:r w:rsidR="00E70712" w:rsidRPr="00E8519B">
              <w:rPr>
                <w:sz w:val="22"/>
                <w:szCs w:val="22"/>
              </w:rPr>
              <w:t>4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6EAA078" w14:textId="0679D590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E8519B">
              <w:rPr>
                <w:sz w:val="22"/>
                <w:szCs w:val="22"/>
              </w:rPr>
              <w:t>Rules of Procedure for the IHO Lab Governing Board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B513CBD" w14:textId="77777777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70712" w14:paraId="4D247BE1" w14:textId="6693F5CD" w:rsidTr="00E70712">
        <w:trPr>
          <w:trHeight w:val="306"/>
        </w:trPr>
        <w:tc>
          <w:tcPr>
            <w:tcW w:w="1525" w:type="dxa"/>
          </w:tcPr>
          <w:p w14:paraId="4E19FC99" w14:textId="039F275A" w:rsidR="00E70712" w:rsidRPr="00313418" w:rsidRDefault="00313418" w:rsidP="00313418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D30F6">
              <w:rPr>
                <w:b/>
                <w:i/>
                <w:sz w:val="22"/>
                <w:szCs w:val="22"/>
              </w:rPr>
              <w:t>Decision3/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55FC5A63" w14:textId="25351742" w:rsidR="002D2561" w:rsidRPr="00E8519B" w:rsidRDefault="002D2561" w:rsidP="000C278A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2D2561">
              <w:rPr>
                <w:b/>
                <w:sz w:val="22"/>
                <w:szCs w:val="22"/>
              </w:rPr>
              <w:t>GBM3 approved</w:t>
            </w:r>
            <w:r>
              <w:rPr>
                <w:sz w:val="22"/>
                <w:szCs w:val="22"/>
              </w:rPr>
              <w:t xml:space="preserve"> the amended draft Rules of Procedure for the IHO Lab Governing Board as posted on the meeting page.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5499CD4" w14:textId="77777777" w:rsidR="00E70712" w:rsidRPr="00E8519B" w:rsidRDefault="00E70712" w:rsidP="009641CD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70712" w14:paraId="04D31B31" w14:textId="04124550" w:rsidTr="000C278A">
        <w:trPr>
          <w:trHeight w:val="287"/>
        </w:trPr>
        <w:tc>
          <w:tcPr>
            <w:tcW w:w="1525" w:type="dxa"/>
            <w:shd w:val="clear" w:color="auto" w:fill="FFF2CC" w:themeFill="accent4" w:themeFillTint="33"/>
          </w:tcPr>
          <w:p w14:paraId="0BB14082" w14:textId="380C7D07" w:rsidR="00E70712" w:rsidRPr="000C278A" w:rsidRDefault="009641CD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C278A">
              <w:rPr>
                <w:b/>
                <w:sz w:val="22"/>
                <w:szCs w:val="22"/>
              </w:rPr>
              <w:lastRenderedPageBreak/>
              <w:t>GBM03-</w:t>
            </w:r>
            <w:r w:rsidR="00E70712" w:rsidRPr="000C27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A045F92" w14:textId="77777777" w:rsidR="00E70712" w:rsidRPr="000C278A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C278A">
              <w:rPr>
                <w:b/>
                <w:sz w:val="22"/>
                <w:szCs w:val="22"/>
              </w:rPr>
              <w:t>Any Other Business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BF9CECD" w14:textId="77777777" w:rsidR="00E70712" w:rsidRPr="000C278A" w:rsidRDefault="00E70712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70712" w14:paraId="1E185BB5" w14:textId="497F65EA" w:rsidTr="00E70712">
        <w:trPr>
          <w:trHeight w:val="287"/>
        </w:trPr>
        <w:tc>
          <w:tcPr>
            <w:tcW w:w="1525" w:type="dxa"/>
          </w:tcPr>
          <w:p w14:paraId="5669D68B" w14:textId="77777777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355878A0" w14:textId="5F1675EC" w:rsidR="00E70712" w:rsidRPr="00E8519B" w:rsidRDefault="000C278A" w:rsidP="000C278A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7759AE0" w14:textId="77777777" w:rsidR="00E70712" w:rsidRPr="00E8519B" w:rsidRDefault="00E70712" w:rsidP="009641CD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9641CD" w14:paraId="736EDCC5" w14:textId="77777777" w:rsidTr="000C278A">
        <w:trPr>
          <w:trHeight w:val="287"/>
        </w:trPr>
        <w:tc>
          <w:tcPr>
            <w:tcW w:w="1525" w:type="dxa"/>
            <w:shd w:val="clear" w:color="auto" w:fill="FFF2CC" w:themeFill="accent4" w:themeFillTint="33"/>
          </w:tcPr>
          <w:p w14:paraId="2F7F622B" w14:textId="36D47BEA" w:rsidR="009641CD" w:rsidRPr="000C278A" w:rsidRDefault="000C278A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C278A">
              <w:rPr>
                <w:b/>
                <w:sz w:val="22"/>
                <w:szCs w:val="22"/>
              </w:rPr>
              <w:t>GBM03-6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4E5C5C4" w14:textId="0B4B7521" w:rsidR="009641CD" w:rsidRPr="000C278A" w:rsidRDefault="000C278A" w:rsidP="000C278A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C278A">
              <w:rPr>
                <w:b/>
                <w:sz w:val="22"/>
                <w:szCs w:val="22"/>
              </w:rPr>
              <w:t>Next meeting (Venue and Date)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DE0C83F" w14:textId="77777777" w:rsidR="009641CD" w:rsidRPr="000C278A" w:rsidRDefault="009641CD" w:rsidP="009641CD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70712" w14:paraId="0AAA61DA" w14:textId="35C34730" w:rsidTr="00E70712">
        <w:trPr>
          <w:trHeight w:val="287"/>
        </w:trPr>
        <w:tc>
          <w:tcPr>
            <w:tcW w:w="1525" w:type="dxa"/>
          </w:tcPr>
          <w:p w14:paraId="0EDB36E4" w14:textId="48A82AF3" w:rsidR="000C278A" w:rsidRDefault="000C278A" w:rsidP="000C278A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ED30F6">
              <w:rPr>
                <w:b/>
                <w:i/>
                <w:sz w:val="22"/>
                <w:szCs w:val="22"/>
              </w:rPr>
              <w:t>Decision3/</w:t>
            </w:r>
            <w:r w:rsidR="00313418">
              <w:rPr>
                <w:b/>
                <w:i/>
                <w:sz w:val="22"/>
                <w:szCs w:val="22"/>
              </w:rPr>
              <w:t>8</w:t>
            </w:r>
          </w:p>
          <w:p w14:paraId="09BE4548" w14:textId="6C8EA172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14:paraId="637495F9" w14:textId="3B090EC8" w:rsidR="005622F4" w:rsidRPr="000C278A" w:rsidRDefault="000C278A" w:rsidP="000C278A">
            <w:pPr>
              <w:pStyle w:val="NormalWeb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278A">
              <w:rPr>
                <w:b/>
                <w:sz w:val="22"/>
                <w:szCs w:val="22"/>
              </w:rPr>
              <w:t>GBM3 decided</w:t>
            </w:r>
            <w:r w:rsidRPr="000C278A">
              <w:rPr>
                <w:sz w:val="22"/>
                <w:szCs w:val="22"/>
              </w:rPr>
              <w:t xml:space="preserve"> to hold the 4th Meeting of GB as a face to face meeting and circulate the tentative date/venue</w:t>
            </w:r>
            <w:r w:rsidR="005622F4" w:rsidRPr="000C278A">
              <w:rPr>
                <w:sz w:val="22"/>
                <w:szCs w:val="22"/>
              </w:rPr>
              <w:t xml:space="preserve"> </w:t>
            </w:r>
            <w:r w:rsidRPr="000C278A">
              <w:rPr>
                <w:sz w:val="22"/>
                <w:szCs w:val="22"/>
              </w:rPr>
              <w:t>taking into consideration with other IHO meetings in the second half of 2022.</w:t>
            </w:r>
            <w:r w:rsidR="005622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F8EBEAD" w14:textId="77777777" w:rsidR="00E70712" w:rsidRPr="00E8519B" w:rsidRDefault="00E70712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578AD5B" w14:textId="77777777" w:rsidR="00BC6EF6" w:rsidRDefault="00BC6EF6"/>
    <w:p w14:paraId="65534106" w14:textId="77777777" w:rsidR="009641CD" w:rsidRPr="00CA0CD3" w:rsidRDefault="009641CD" w:rsidP="009641CD">
      <w:pPr>
        <w:pStyle w:val="NormalWeb"/>
        <w:spacing w:before="0" w:beforeAutospacing="0" w:after="0" w:afterAutospacing="0"/>
        <w:rPr>
          <w:b/>
        </w:rPr>
      </w:pPr>
      <w:r w:rsidRPr="00CA0CD3">
        <w:rPr>
          <w:b/>
        </w:rPr>
        <w:t>List of Participants</w:t>
      </w:r>
    </w:p>
    <w:p w14:paraId="45F25DC5" w14:textId="72DBB601" w:rsidR="009641CD" w:rsidRPr="00F26B4C" w:rsidRDefault="009641CD" w:rsidP="009641CD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  <w:lang w:val="de-DE"/>
        </w:rPr>
      </w:pPr>
      <w:r w:rsidRPr="00CE7793">
        <w:rPr>
          <w:sz w:val="22"/>
          <w:szCs w:val="22"/>
          <w:lang w:val="de-DE"/>
        </w:rPr>
        <w:t xml:space="preserve">Abri Kampfer (abri.kampfer@iho.int) </w:t>
      </w:r>
      <w:r w:rsidR="00F26B4C">
        <w:rPr>
          <w:sz w:val="22"/>
          <w:szCs w:val="22"/>
          <w:lang w:val="de-DE"/>
        </w:rPr>
        <w:t xml:space="preserve">: </w:t>
      </w:r>
      <w:r w:rsidR="00F26B4C" w:rsidRPr="00F26B4C">
        <w:rPr>
          <w:b/>
          <w:sz w:val="22"/>
          <w:szCs w:val="22"/>
          <w:lang w:val="de-DE"/>
        </w:rPr>
        <w:t>Chair</w:t>
      </w:r>
    </w:p>
    <w:p w14:paraId="7E041931" w14:textId="77777777" w:rsidR="009641CD" w:rsidRPr="00CE7793" w:rsidRDefault="009641CD" w:rsidP="009641CD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de-DE"/>
        </w:rPr>
      </w:pPr>
      <w:r w:rsidRPr="00CE7793">
        <w:rPr>
          <w:sz w:val="22"/>
          <w:szCs w:val="22"/>
          <w:lang w:val="de-DE"/>
        </w:rPr>
        <w:t>Magnus Wallhagen (Magnus.Wallhagen@Sjofartsverket.se)</w:t>
      </w:r>
    </w:p>
    <w:p w14:paraId="7E4769B4" w14:textId="77777777" w:rsidR="009641CD" w:rsidRPr="00CE7793" w:rsidRDefault="009641CD" w:rsidP="009641CD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Thomas Dehling (Thomas.Dehling@bsh.de)</w:t>
      </w:r>
    </w:p>
    <w:p w14:paraId="14AF16CE" w14:textId="73FC7667" w:rsidR="009641CD" w:rsidRPr="00F26B4C" w:rsidRDefault="009641CD" w:rsidP="009641CD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CE7793">
        <w:rPr>
          <w:sz w:val="22"/>
          <w:szCs w:val="22"/>
        </w:rPr>
        <w:t xml:space="preserve">Parry OEI </w:t>
      </w:r>
      <w:r w:rsidRPr="00F26B4C">
        <w:rPr>
          <w:sz w:val="22"/>
          <w:szCs w:val="22"/>
          <w:lang w:val="de-DE"/>
        </w:rPr>
        <w:t>(</w:t>
      </w:r>
      <w:hyperlink r:id="rId7" w:history="1">
        <w:r w:rsidR="00F26B4C" w:rsidRPr="00F26B4C">
          <w:rPr>
            <w:sz w:val="22"/>
            <w:szCs w:val="22"/>
            <w:lang w:val="de-DE"/>
          </w:rPr>
          <w:t>Parry_OEI@mpa.gov.sg</w:t>
        </w:r>
      </w:hyperlink>
      <w:r w:rsidRPr="00F26B4C">
        <w:rPr>
          <w:sz w:val="22"/>
          <w:szCs w:val="22"/>
          <w:lang w:val="de-DE"/>
        </w:rPr>
        <w:t>)</w:t>
      </w:r>
      <w:r w:rsidR="00F26B4C" w:rsidRPr="00F26B4C">
        <w:rPr>
          <w:sz w:val="22"/>
          <w:szCs w:val="22"/>
          <w:lang w:val="de-DE"/>
        </w:rPr>
        <w:t xml:space="preserve"> : </w:t>
      </w:r>
      <w:r w:rsidR="00F26B4C" w:rsidRPr="00F26B4C">
        <w:rPr>
          <w:b/>
          <w:sz w:val="22"/>
          <w:szCs w:val="22"/>
        </w:rPr>
        <w:t>General Manager</w:t>
      </w:r>
    </w:p>
    <w:p w14:paraId="1C0A8C6B" w14:textId="77777777" w:rsidR="009641CD" w:rsidRPr="00CE7793" w:rsidRDefault="009641CD" w:rsidP="009641CD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Thomas Ting (</w:t>
      </w:r>
      <w:hyperlink r:id="rId8" w:history="1">
        <w:r w:rsidRPr="00CE7793">
          <w:rPr>
            <w:sz w:val="22"/>
            <w:szCs w:val="22"/>
          </w:rPr>
          <w:t>Thomas.TING@mpa.gov.sg</w:t>
        </w:r>
      </w:hyperlink>
      <w:r w:rsidRPr="00CE7793">
        <w:rPr>
          <w:sz w:val="22"/>
          <w:szCs w:val="22"/>
        </w:rPr>
        <w:t>)</w:t>
      </w:r>
    </w:p>
    <w:p w14:paraId="5BB9A575" w14:textId="77777777" w:rsidR="009641CD" w:rsidRPr="00CE7793" w:rsidRDefault="009641CD" w:rsidP="009641CD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Yong BAEK (</w:t>
      </w:r>
      <w:hyperlink r:id="rId9" w:history="1">
        <w:r w:rsidRPr="00CE7793">
          <w:rPr>
            <w:sz w:val="22"/>
            <w:szCs w:val="22"/>
          </w:rPr>
          <w:t>yong.baek@iho.int</w:t>
        </w:r>
      </w:hyperlink>
      <w:r w:rsidRPr="00CE7793">
        <w:rPr>
          <w:sz w:val="22"/>
          <w:szCs w:val="22"/>
        </w:rPr>
        <w:t xml:space="preserve">) </w:t>
      </w:r>
    </w:p>
    <w:p w14:paraId="7F186122" w14:textId="0999655D" w:rsidR="009641CD" w:rsidRPr="00403AE1" w:rsidRDefault="000C13BB" w:rsidP="00403AE1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fr-FR"/>
        </w:rPr>
      </w:pPr>
      <w:r w:rsidRPr="00313418">
        <w:rPr>
          <w:sz w:val="22"/>
          <w:szCs w:val="22"/>
          <w:lang w:val="fr-FR"/>
        </w:rPr>
        <w:t>Mathias Jonas (</w:t>
      </w:r>
      <w:hyperlink r:id="rId10" w:history="1">
        <w:r w:rsidR="00403AE1" w:rsidRPr="00313418">
          <w:rPr>
            <w:sz w:val="22"/>
            <w:szCs w:val="22"/>
            <w:lang w:val="fr-FR"/>
          </w:rPr>
          <w:t>mathias.jonas@iho.int</w:t>
        </w:r>
      </w:hyperlink>
      <w:r w:rsidRPr="00313418">
        <w:rPr>
          <w:sz w:val="22"/>
          <w:szCs w:val="22"/>
          <w:lang w:val="fr-FR"/>
        </w:rPr>
        <w:t>)</w:t>
      </w:r>
      <w:r w:rsidR="00403AE1" w:rsidRPr="00313418">
        <w:rPr>
          <w:sz w:val="22"/>
          <w:szCs w:val="22"/>
          <w:lang w:val="fr-FR"/>
        </w:rPr>
        <w:t xml:space="preserve"> :</w:t>
      </w:r>
      <w:r w:rsidR="00403AE1" w:rsidRPr="00403AE1">
        <w:rPr>
          <w:sz w:val="22"/>
          <w:szCs w:val="22"/>
          <w:lang w:val="fr-FR"/>
        </w:rPr>
        <w:t xml:space="preserve"> </w:t>
      </w:r>
      <w:r w:rsidR="00403AE1" w:rsidRPr="000C278A">
        <w:rPr>
          <w:b/>
          <w:sz w:val="22"/>
          <w:szCs w:val="22"/>
          <w:lang w:val="fr-FR"/>
        </w:rPr>
        <w:t>Observer</w:t>
      </w:r>
    </w:p>
    <w:sectPr w:rsidR="009641CD" w:rsidRPr="00403AE1" w:rsidSect="00E707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F36F" w14:textId="77777777" w:rsidR="00E8125D" w:rsidRDefault="00E8125D" w:rsidP="007E7AA7">
      <w:pPr>
        <w:spacing w:after="0" w:line="240" w:lineRule="auto"/>
      </w:pPr>
      <w:r>
        <w:separator/>
      </w:r>
    </w:p>
  </w:endnote>
  <w:endnote w:type="continuationSeparator" w:id="0">
    <w:p w14:paraId="151DD3B1" w14:textId="77777777" w:rsidR="00E8125D" w:rsidRDefault="00E8125D" w:rsidP="007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0524" w14:textId="77777777" w:rsidR="00E8125D" w:rsidRDefault="00E8125D" w:rsidP="007E7AA7">
      <w:pPr>
        <w:spacing w:after="0" w:line="240" w:lineRule="auto"/>
      </w:pPr>
      <w:r>
        <w:separator/>
      </w:r>
    </w:p>
  </w:footnote>
  <w:footnote w:type="continuationSeparator" w:id="0">
    <w:p w14:paraId="20ED877B" w14:textId="77777777" w:rsidR="00E8125D" w:rsidRDefault="00E8125D" w:rsidP="007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19E4"/>
    <w:multiLevelType w:val="hybridMultilevel"/>
    <w:tmpl w:val="F67E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627"/>
    <w:multiLevelType w:val="hybridMultilevel"/>
    <w:tmpl w:val="61F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175"/>
    <w:multiLevelType w:val="hybridMultilevel"/>
    <w:tmpl w:val="953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644A"/>
    <w:multiLevelType w:val="hybridMultilevel"/>
    <w:tmpl w:val="0772E240"/>
    <w:lvl w:ilvl="0" w:tplc="01DEE6A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07094"/>
    <w:multiLevelType w:val="hybridMultilevel"/>
    <w:tmpl w:val="5D40E202"/>
    <w:lvl w:ilvl="0" w:tplc="D116EFB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55F8B"/>
    <w:multiLevelType w:val="hybridMultilevel"/>
    <w:tmpl w:val="EFFE76EA"/>
    <w:lvl w:ilvl="0" w:tplc="9FC60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53B0"/>
    <w:multiLevelType w:val="hybridMultilevel"/>
    <w:tmpl w:val="8A6CE7B8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854F9"/>
    <w:multiLevelType w:val="hybridMultilevel"/>
    <w:tmpl w:val="ED0EB556"/>
    <w:lvl w:ilvl="0" w:tplc="55344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D71BB"/>
    <w:multiLevelType w:val="hybridMultilevel"/>
    <w:tmpl w:val="6BA27E72"/>
    <w:lvl w:ilvl="0" w:tplc="F948D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3544"/>
    <w:multiLevelType w:val="hybridMultilevel"/>
    <w:tmpl w:val="449463BE"/>
    <w:lvl w:ilvl="0" w:tplc="86D4F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62084"/>
    <w:multiLevelType w:val="hybridMultilevel"/>
    <w:tmpl w:val="09C29186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3"/>
    <w:rsid w:val="000604CE"/>
    <w:rsid w:val="00083948"/>
    <w:rsid w:val="000C13BB"/>
    <w:rsid w:val="000C278A"/>
    <w:rsid w:val="000D676F"/>
    <w:rsid w:val="000E1256"/>
    <w:rsid w:val="000F0076"/>
    <w:rsid w:val="0011119A"/>
    <w:rsid w:val="00182135"/>
    <w:rsid w:val="001E56FE"/>
    <w:rsid w:val="002135B3"/>
    <w:rsid w:val="00235475"/>
    <w:rsid w:val="002361D7"/>
    <w:rsid w:val="0026222C"/>
    <w:rsid w:val="00265A6A"/>
    <w:rsid w:val="002B13F6"/>
    <w:rsid w:val="002D2561"/>
    <w:rsid w:val="002D3F84"/>
    <w:rsid w:val="00305602"/>
    <w:rsid w:val="00306959"/>
    <w:rsid w:val="00313418"/>
    <w:rsid w:val="00313658"/>
    <w:rsid w:val="00353DC0"/>
    <w:rsid w:val="00374837"/>
    <w:rsid w:val="003957E5"/>
    <w:rsid w:val="003C7765"/>
    <w:rsid w:val="003D78AA"/>
    <w:rsid w:val="003E6D33"/>
    <w:rsid w:val="00403096"/>
    <w:rsid w:val="00403AE1"/>
    <w:rsid w:val="00453DC9"/>
    <w:rsid w:val="004731C9"/>
    <w:rsid w:val="005622F4"/>
    <w:rsid w:val="005C00C8"/>
    <w:rsid w:val="005D39CC"/>
    <w:rsid w:val="005F1BE1"/>
    <w:rsid w:val="005F2179"/>
    <w:rsid w:val="006461DD"/>
    <w:rsid w:val="00651D76"/>
    <w:rsid w:val="006643A9"/>
    <w:rsid w:val="006D5B82"/>
    <w:rsid w:val="0074256D"/>
    <w:rsid w:val="00770B30"/>
    <w:rsid w:val="00774FE3"/>
    <w:rsid w:val="00783472"/>
    <w:rsid w:val="00792210"/>
    <w:rsid w:val="007A795A"/>
    <w:rsid w:val="007E7AA7"/>
    <w:rsid w:val="007F2309"/>
    <w:rsid w:val="00811438"/>
    <w:rsid w:val="00837745"/>
    <w:rsid w:val="00872320"/>
    <w:rsid w:val="00884DEC"/>
    <w:rsid w:val="00891C65"/>
    <w:rsid w:val="008A3AE5"/>
    <w:rsid w:val="008F523E"/>
    <w:rsid w:val="009353DB"/>
    <w:rsid w:val="009641CD"/>
    <w:rsid w:val="009F0C99"/>
    <w:rsid w:val="00A5628F"/>
    <w:rsid w:val="00A674A1"/>
    <w:rsid w:val="00AC268A"/>
    <w:rsid w:val="00AD347F"/>
    <w:rsid w:val="00AE7932"/>
    <w:rsid w:val="00B76598"/>
    <w:rsid w:val="00BB4C26"/>
    <w:rsid w:val="00BC6EF6"/>
    <w:rsid w:val="00BE395E"/>
    <w:rsid w:val="00BE5412"/>
    <w:rsid w:val="00C2141E"/>
    <w:rsid w:val="00C321FB"/>
    <w:rsid w:val="00C75DC0"/>
    <w:rsid w:val="00CA0CD3"/>
    <w:rsid w:val="00CB46CD"/>
    <w:rsid w:val="00CE377C"/>
    <w:rsid w:val="00DD54A1"/>
    <w:rsid w:val="00E24DA2"/>
    <w:rsid w:val="00E4141E"/>
    <w:rsid w:val="00E449B9"/>
    <w:rsid w:val="00E5263E"/>
    <w:rsid w:val="00E70712"/>
    <w:rsid w:val="00E8125D"/>
    <w:rsid w:val="00E8519B"/>
    <w:rsid w:val="00ED30F6"/>
    <w:rsid w:val="00EE356A"/>
    <w:rsid w:val="00F26B4C"/>
    <w:rsid w:val="00F313E7"/>
    <w:rsid w:val="00F638F6"/>
    <w:rsid w:val="00F63DA5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611F"/>
  <w15:chartTrackingRefBased/>
  <w15:docId w15:val="{2230E8D2-2721-4778-8E3C-BBA2EFD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9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TING@mpa.gov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ry_OEI@mpa.gov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thias.jonas@i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ng.baek@i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2</cp:revision>
  <cp:lastPrinted>2022-03-04T13:27:00Z</cp:lastPrinted>
  <dcterms:created xsi:type="dcterms:W3CDTF">2022-04-12T08:16:00Z</dcterms:created>
  <dcterms:modified xsi:type="dcterms:W3CDTF">2022-04-12T08:16:00Z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2022-03-03T01:05:14Z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a894ea8c-94eb-4448-a57e-4f86e9692809</vt:lpwstr>
  </property>
  <property fmtid="{D5CDD505-2E9C-101B-9397-08002B2CF9AE}" pid="8" name="MSIP_Label_5434c4c7-833e-41e4-b0ab-cdb227a2f6f7_ContentBits">
    <vt:lpwstr>0</vt:lpwstr>
  </property>
</Properties>
</file>