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22FB" w14:textId="5E04CB23" w:rsidR="008A29B4" w:rsidRDefault="000F1A89" w:rsidP="00A115D7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PROPOSE </w:t>
      </w:r>
      <w:r w:rsidR="00714BDB">
        <w:rPr>
          <w:b/>
          <w:bCs/>
          <w:lang w:val="en-US"/>
        </w:rPr>
        <w:t xml:space="preserve">PROOF OF CONCEPT: </w:t>
      </w:r>
      <w:r>
        <w:rPr>
          <w:b/>
          <w:bCs/>
          <w:lang w:val="en-US"/>
        </w:rPr>
        <w:t>TO DEMONSTRATE AT SEA THE I</w:t>
      </w:r>
      <w:r w:rsidRPr="003643F4">
        <w:rPr>
          <w:b/>
          <w:bCs/>
          <w:lang w:val="en-US"/>
        </w:rPr>
        <w:t xml:space="preserve">NTEROPERABILITY BETWEEN </w:t>
      </w:r>
      <w:r w:rsidR="00A115D7">
        <w:rPr>
          <w:b/>
          <w:bCs/>
          <w:lang w:val="en-US"/>
        </w:rPr>
        <w:t xml:space="preserve">S-124/ </w:t>
      </w:r>
      <w:r w:rsidRPr="003643F4">
        <w:rPr>
          <w:b/>
          <w:bCs/>
          <w:lang w:val="en-US"/>
        </w:rPr>
        <w:t>S-125 AND S-101</w:t>
      </w:r>
      <w:r>
        <w:rPr>
          <w:b/>
          <w:bCs/>
          <w:lang w:val="en-US"/>
        </w:rPr>
        <w:t xml:space="preserve"> BY ASSESSING THE </w:t>
      </w:r>
      <w:r w:rsidR="00A115D7">
        <w:rPr>
          <w:b/>
          <w:bCs/>
          <w:lang w:val="en-US"/>
        </w:rPr>
        <w:t>S-124/</w:t>
      </w:r>
      <w:r w:rsidRPr="003643F4">
        <w:rPr>
          <w:b/>
          <w:bCs/>
          <w:lang w:val="en-US"/>
        </w:rPr>
        <w:t>S-125 STATUS CHANGE SYMBOLOGY AND PICK REPORTS</w:t>
      </w:r>
      <w:r w:rsidR="003A0E25">
        <w:rPr>
          <w:b/>
          <w:bCs/>
          <w:lang w:val="en-US"/>
        </w:rPr>
        <w:t xml:space="preserve"> </w:t>
      </w:r>
      <w:r w:rsidRPr="003643F4">
        <w:rPr>
          <w:b/>
          <w:bCs/>
          <w:lang w:val="en-US"/>
        </w:rPr>
        <w:t>OVERLAY/INTERLEAVING</w:t>
      </w:r>
      <w:r>
        <w:rPr>
          <w:b/>
          <w:bCs/>
          <w:lang w:val="en-US"/>
        </w:rPr>
        <w:t>.</w:t>
      </w:r>
    </w:p>
    <w:p w14:paraId="2CA04CE5" w14:textId="77777777" w:rsidR="008A29B4" w:rsidRDefault="008A29B4" w:rsidP="00A115D7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>Background</w:t>
      </w:r>
    </w:p>
    <w:p w14:paraId="1C10DE2A" w14:textId="77777777" w:rsidR="00600902" w:rsidRDefault="00600902" w:rsidP="00A115D7">
      <w:pPr>
        <w:jc w:val="both"/>
        <w:rPr>
          <w:lang w:val="en-US"/>
        </w:rPr>
      </w:pPr>
      <w:r w:rsidRPr="00600902">
        <w:rPr>
          <w:lang w:val="en-US"/>
        </w:rPr>
        <w:t xml:space="preserve">The joint IALA/IHO workshop on S-100/200 development and portrayal was held between the 5 and 9 September 2022 at the Norwegian Coastal Administration in </w:t>
      </w:r>
      <w:proofErr w:type="spellStart"/>
      <w:r w:rsidRPr="00600902">
        <w:rPr>
          <w:lang w:val="en-US"/>
        </w:rPr>
        <w:t>Ålesund</w:t>
      </w:r>
      <w:proofErr w:type="spellEnd"/>
      <w:r w:rsidRPr="00600902">
        <w:rPr>
          <w:lang w:val="en-US"/>
        </w:rPr>
        <w:t>, Norway.</w:t>
      </w:r>
    </w:p>
    <w:p w14:paraId="0C92C03F" w14:textId="73298147" w:rsidR="004E14F6" w:rsidRDefault="004E14F6" w:rsidP="00A115D7">
      <w:pPr>
        <w:jc w:val="both"/>
        <w:rPr>
          <w:lang w:val="en-US"/>
        </w:rPr>
      </w:pPr>
      <w:r>
        <w:rPr>
          <w:lang w:val="en-US"/>
        </w:rPr>
        <w:t>The joint workshop agreed on the importance of c</w:t>
      </w:r>
      <w:r w:rsidRPr="004E14F6">
        <w:rPr>
          <w:lang w:val="en-US"/>
        </w:rPr>
        <w:t xml:space="preserve">ooperation between the two international organizations </w:t>
      </w:r>
      <w:r>
        <w:rPr>
          <w:lang w:val="en-US"/>
        </w:rPr>
        <w:t>on</w:t>
      </w:r>
      <w:r w:rsidRPr="004E14F6">
        <w:rPr>
          <w:lang w:val="en-US"/>
        </w:rPr>
        <w:t xml:space="preserve"> marine </w:t>
      </w:r>
      <w:r>
        <w:rPr>
          <w:lang w:val="en-US"/>
        </w:rPr>
        <w:t>d</w:t>
      </w:r>
      <w:r w:rsidRPr="004E14F6">
        <w:rPr>
          <w:lang w:val="en-US"/>
        </w:rPr>
        <w:t xml:space="preserve">igitization, and </w:t>
      </w:r>
      <w:r>
        <w:rPr>
          <w:lang w:val="en-US"/>
        </w:rPr>
        <w:t xml:space="preserve">essential </w:t>
      </w:r>
      <w:r w:rsidRPr="004E14F6">
        <w:rPr>
          <w:lang w:val="en-US"/>
        </w:rPr>
        <w:t>to inform the shipping domain of the cooperation efforts between the two bodies</w:t>
      </w:r>
      <w:r>
        <w:rPr>
          <w:lang w:val="en-US"/>
        </w:rPr>
        <w:t>. Hence</w:t>
      </w:r>
      <w:r w:rsidRPr="004E14F6">
        <w:rPr>
          <w:lang w:val="en-US"/>
        </w:rPr>
        <w:t xml:space="preserve">, it </w:t>
      </w:r>
      <w:r>
        <w:rPr>
          <w:lang w:val="en-US"/>
        </w:rPr>
        <w:t xml:space="preserve">was </w:t>
      </w:r>
      <w:r w:rsidRPr="004E14F6">
        <w:rPr>
          <w:lang w:val="en-US"/>
        </w:rPr>
        <w:t>recommended that the relevant working group and task group prepare presentations and demonstrations of S-201/S-125/S-124 data service.</w:t>
      </w:r>
    </w:p>
    <w:p w14:paraId="5BB648D8" w14:textId="53D5E15A" w:rsidR="00646AF7" w:rsidRDefault="004E14F6" w:rsidP="00A115D7">
      <w:pPr>
        <w:jc w:val="both"/>
        <w:rPr>
          <w:lang w:val="en-US"/>
        </w:rPr>
      </w:pPr>
      <w:r>
        <w:rPr>
          <w:lang w:val="en-US"/>
        </w:rPr>
        <w:t>Specifically on S-125, o</w:t>
      </w:r>
      <w:r w:rsidR="00600902">
        <w:rPr>
          <w:lang w:val="en-US"/>
        </w:rPr>
        <w:t xml:space="preserve">ne of the important outcomes of the workshop was </w:t>
      </w:r>
      <w:r w:rsidR="00646AF7" w:rsidRPr="00646AF7">
        <w:rPr>
          <w:lang w:val="en-US"/>
        </w:rPr>
        <w:t>a clear and concise understanding of the purpose and use of S-125 was agreed upon. It was agreed that S-125 would be a suitable replacement for the List of Lights and Fog Signals and act as a bridging mechanism.</w:t>
      </w:r>
    </w:p>
    <w:p w14:paraId="34C42EAB" w14:textId="45598734" w:rsidR="00646AF7" w:rsidRPr="00646AF7" w:rsidRDefault="00D36BD4" w:rsidP="00A115D7">
      <w:pPr>
        <w:jc w:val="both"/>
        <w:rPr>
          <w:lang w:val="en-US"/>
        </w:rPr>
      </w:pPr>
      <w:r>
        <w:rPr>
          <w:lang w:val="en-US"/>
        </w:rPr>
        <w:t>It was also agreed that</w:t>
      </w:r>
      <w:r w:rsidR="00646AF7" w:rsidRPr="00646AF7">
        <w:rPr>
          <w:lang w:val="en-US"/>
        </w:rPr>
        <w:t xml:space="preserve"> the joint IHO/IALA development of S-125 should continue and the dataset should include, at a minimum, the same </w:t>
      </w:r>
      <w:proofErr w:type="spellStart"/>
      <w:r w:rsidR="00646AF7" w:rsidRPr="00646AF7">
        <w:rPr>
          <w:lang w:val="en-US"/>
        </w:rPr>
        <w:t>AtoN</w:t>
      </w:r>
      <w:proofErr w:type="spellEnd"/>
      <w:r w:rsidR="00646AF7" w:rsidRPr="00646AF7">
        <w:rPr>
          <w:lang w:val="en-US"/>
        </w:rPr>
        <w:t xml:space="preserve"> data contained in the S-101 Product Specification. S-125 should be tested at the earliest opportunity utilizing the services of the IHO</w:t>
      </w:r>
      <w:r>
        <w:rPr>
          <w:lang w:val="en-US"/>
        </w:rPr>
        <w:t>-</w:t>
      </w:r>
      <w:r w:rsidR="00646AF7" w:rsidRPr="00646AF7">
        <w:rPr>
          <w:lang w:val="en-US"/>
        </w:rPr>
        <w:t xml:space="preserve">Singapore </w:t>
      </w:r>
      <w:r>
        <w:rPr>
          <w:lang w:val="en-US"/>
        </w:rPr>
        <w:t>Innovation and Technology Laboratory.</w:t>
      </w:r>
    </w:p>
    <w:p w14:paraId="0DF4642D" w14:textId="77777777" w:rsidR="00945AD4" w:rsidRDefault="00945AD4" w:rsidP="00A115D7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Propose Area for the Sea Demonstration </w:t>
      </w:r>
    </w:p>
    <w:p w14:paraId="03824693" w14:textId="15A69FB8" w:rsidR="00946E93" w:rsidRDefault="00946E93" w:rsidP="00A115D7">
      <w:pPr>
        <w:jc w:val="both"/>
        <w:rPr>
          <w:lang w:val="en-US"/>
        </w:rPr>
      </w:pPr>
      <w:r>
        <w:rPr>
          <w:lang w:val="en-US"/>
        </w:rPr>
        <w:t xml:space="preserve">Jong Fairway </w:t>
      </w:r>
      <w:r w:rsidR="00A115D7" w:rsidRPr="00A115D7">
        <w:rPr>
          <w:lang w:val="en-US"/>
        </w:rPr>
        <w:t xml:space="preserve">(See </w:t>
      </w:r>
      <w:proofErr w:type="gramStart"/>
      <w:r w:rsidR="00A115D7">
        <w:rPr>
          <w:lang w:val="en-US"/>
        </w:rPr>
        <w:t xml:space="preserve">below </w:t>
      </w:r>
      <w:r w:rsidR="00A115D7" w:rsidRPr="00A115D7">
        <w:rPr>
          <w:lang w:val="en-US"/>
        </w:rPr>
        <w:t>)</w:t>
      </w:r>
      <w:proofErr w:type="gramEnd"/>
      <w:r w:rsidR="00A115D7">
        <w:rPr>
          <w:lang w:val="en-US"/>
        </w:rPr>
        <w:t xml:space="preserve"> </w:t>
      </w:r>
      <w:r>
        <w:rPr>
          <w:lang w:val="en-US"/>
        </w:rPr>
        <w:t xml:space="preserve">could be used due to the availability of High Dense ENC that could be used for subsequent trials where there are more S-100 overlays to testbed. (e.g. S-102, S-104, S-111, S-129, 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>)</w:t>
      </w:r>
    </w:p>
    <w:p w14:paraId="1C74A94A" w14:textId="1B9DEB33" w:rsidR="00946E93" w:rsidRDefault="00946E93" w:rsidP="00A115D7">
      <w:pPr>
        <w:jc w:val="both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454D07B" wp14:editId="155D26FA">
            <wp:extent cx="5731510" cy="30702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7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1F6D2" w14:textId="7B72814B" w:rsidR="00945AD4" w:rsidRDefault="00945AD4" w:rsidP="00A115D7">
      <w:pPr>
        <w:jc w:val="both"/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72D710DB" wp14:editId="7EA539B6">
            <wp:extent cx="4394200" cy="31115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4200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7F7DE" w14:textId="7DA035D9" w:rsidR="00D36BD4" w:rsidRDefault="00FB30E2" w:rsidP="00A115D7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Objectives </w:t>
      </w:r>
      <w:r w:rsidR="003A0E25">
        <w:rPr>
          <w:b/>
          <w:bCs/>
          <w:lang w:val="en-US"/>
        </w:rPr>
        <w:t xml:space="preserve">of the </w:t>
      </w:r>
      <w:r w:rsidR="00D36BD4">
        <w:rPr>
          <w:b/>
          <w:bCs/>
          <w:lang w:val="en-US"/>
        </w:rPr>
        <w:t>Pro</w:t>
      </w:r>
      <w:r>
        <w:rPr>
          <w:b/>
          <w:bCs/>
          <w:lang w:val="en-US"/>
        </w:rPr>
        <w:t>p</w:t>
      </w:r>
      <w:r w:rsidR="00D36BD4">
        <w:rPr>
          <w:b/>
          <w:bCs/>
          <w:lang w:val="en-US"/>
        </w:rPr>
        <w:t xml:space="preserve">osed </w:t>
      </w:r>
      <w:r w:rsidR="00714BDB">
        <w:rPr>
          <w:b/>
          <w:bCs/>
          <w:lang w:val="en-US"/>
        </w:rPr>
        <w:t xml:space="preserve">Proof of Concept: </w:t>
      </w:r>
      <w:r w:rsidR="00D36BD4">
        <w:rPr>
          <w:b/>
          <w:bCs/>
          <w:lang w:val="en-US"/>
        </w:rPr>
        <w:t>Demonstration</w:t>
      </w:r>
      <w:r w:rsidR="000F1A89">
        <w:rPr>
          <w:b/>
          <w:bCs/>
          <w:lang w:val="en-US"/>
        </w:rPr>
        <w:t xml:space="preserve"> </w:t>
      </w:r>
      <w:r w:rsidR="00714BDB">
        <w:rPr>
          <w:b/>
          <w:bCs/>
          <w:lang w:val="en-US"/>
        </w:rPr>
        <w:t xml:space="preserve">Interoperability of S-101 and S-125 </w:t>
      </w:r>
      <w:r w:rsidR="000F1A89">
        <w:rPr>
          <w:b/>
          <w:bCs/>
          <w:lang w:val="en-US"/>
        </w:rPr>
        <w:t>At Sea</w:t>
      </w:r>
      <w:r w:rsidR="00714BDB">
        <w:rPr>
          <w:b/>
          <w:bCs/>
          <w:lang w:val="en-US"/>
        </w:rPr>
        <w:t xml:space="preserve"> Using Wireless Updating via 4G/5G Telecommunications Links</w:t>
      </w:r>
    </w:p>
    <w:p w14:paraId="0236DB7F" w14:textId="08BB9CCE" w:rsidR="006A718D" w:rsidRPr="00A115D7" w:rsidRDefault="00FB30E2" w:rsidP="00A115D7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6A718D">
        <w:rPr>
          <w:lang w:val="en-US"/>
        </w:rPr>
        <w:t>To support n</w:t>
      </w:r>
      <w:r w:rsidRPr="00A115D7">
        <w:rPr>
          <w:lang w:val="en-US"/>
        </w:rPr>
        <w:t xml:space="preserve">avigational safety to </w:t>
      </w:r>
      <w:r w:rsidR="003A0E25" w:rsidRPr="00A115D7">
        <w:rPr>
          <w:lang w:val="en-US"/>
        </w:rPr>
        <w:t xml:space="preserve">carry out </w:t>
      </w:r>
      <w:r w:rsidR="00053BCA" w:rsidRPr="00A115D7">
        <w:rPr>
          <w:lang w:val="en-US" w:eastAsia="ko-KR"/>
        </w:rPr>
        <w:t xml:space="preserve">supplementing </w:t>
      </w:r>
      <w:r w:rsidR="003A0E25" w:rsidRPr="00A115D7">
        <w:rPr>
          <w:lang w:val="en-US"/>
        </w:rPr>
        <w:t xml:space="preserve">of the S-101 ENCs using </w:t>
      </w:r>
      <w:r w:rsidRPr="00A115D7">
        <w:rPr>
          <w:lang w:val="en-US"/>
        </w:rPr>
        <w:t xml:space="preserve">varying sizes of </w:t>
      </w:r>
      <w:r w:rsidR="003A0E25" w:rsidRPr="00A115D7">
        <w:rPr>
          <w:lang w:val="en-US"/>
        </w:rPr>
        <w:t>S-</w:t>
      </w:r>
      <w:r w:rsidR="00646AF7" w:rsidRPr="00A115D7">
        <w:rPr>
          <w:lang w:val="en-US"/>
        </w:rPr>
        <w:t>125 datase</w:t>
      </w:r>
      <w:r w:rsidRPr="00A115D7">
        <w:rPr>
          <w:lang w:val="en-US"/>
        </w:rPr>
        <w:t>t</w:t>
      </w:r>
      <w:r w:rsidR="006A718D" w:rsidRPr="00A115D7">
        <w:rPr>
          <w:lang w:val="en-US"/>
        </w:rPr>
        <w:t>, including overlays.</w:t>
      </w:r>
    </w:p>
    <w:p w14:paraId="7BFC8C3E" w14:textId="229D28E7" w:rsidR="006A718D" w:rsidRPr="00A115D7" w:rsidRDefault="006A718D" w:rsidP="00A115D7">
      <w:pPr>
        <w:pStyle w:val="ListParagraph"/>
        <w:jc w:val="both"/>
        <w:rPr>
          <w:lang w:val="en-US"/>
        </w:rPr>
      </w:pPr>
      <w:r w:rsidRPr="00A115D7">
        <w:rPr>
          <w:lang w:val="en-US"/>
        </w:rPr>
        <w:t xml:space="preserve"> </w:t>
      </w:r>
    </w:p>
    <w:p w14:paraId="0BBD02EC" w14:textId="207B3D0A" w:rsidR="00FB30E2" w:rsidRPr="00A115D7" w:rsidRDefault="00FB30E2" w:rsidP="00A115D7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A115D7">
        <w:rPr>
          <w:lang w:val="en-US"/>
        </w:rPr>
        <w:t xml:space="preserve">To </w:t>
      </w:r>
      <w:r w:rsidR="00053BCA" w:rsidRPr="00A115D7">
        <w:rPr>
          <w:lang w:val="en-US"/>
        </w:rPr>
        <w:t>service</w:t>
      </w:r>
      <w:r w:rsidRPr="00A115D7">
        <w:rPr>
          <w:lang w:val="en-US"/>
        </w:rPr>
        <w:t xml:space="preserve"> S-125 datasets v</w:t>
      </w:r>
      <w:r w:rsidR="006A718D" w:rsidRPr="00A115D7">
        <w:rPr>
          <w:lang w:val="en-US"/>
        </w:rPr>
        <w:t>i</w:t>
      </w:r>
      <w:r w:rsidRPr="00A115D7">
        <w:rPr>
          <w:lang w:val="en-US"/>
        </w:rPr>
        <w:t>a 4/5-G telecommunications means.</w:t>
      </w:r>
    </w:p>
    <w:p w14:paraId="01AE3F42" w14:textId="77777777" w:rsidR="006A718D" w:rsidRPr="00A115D7" w:rsidRDefault="006A718D" w:rsidP="00A115D7">
      <w:pPr>
        <w:pStyle w:val="ListParagraph"/>
        <w:jc w:val="both"/>
        <w:rPr>
          <w:lang w:val="en-US"/>
        </w:rPr>
      </w:pPr>
    </w:p>
    <w:p w14:paraId="2D82A55C" w14:textId="32E176EF" w:rsidR="000358BC" w:rsidRPr="00A115D7" w:rsidRDefault="006A718D" w:rsidP="00A115D7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A115D7">
        <w:rPr>
          <w:lang w:val="en-US"/>
        </w:rPr>
        <w:t xml:space="preserve">In </w:t>
      </w:r>
      <w:r w:rsidR="000358BC" w:rsidRPr="00A115D7">
        <w:rPr>
          <w:lang w:val="en-US"/>
        </w:rPr>
        <w:t xml:space="preserve">the case where an S-124 NW and an S-125 </w:t>
      </w:r>
      <w:proofErr w:type="spellStart"/>
      <w:r w:rsidR="000358BC" w:rsidRPr="00A115D7">
        <w:rPr>
          <w:lang w:val="en-US"/>
        </w:rPr>
        <w:t>AtoN</w:t>
      </w:r>
      <w:proofErr w:type="spellEnd"/>
      <w:r w:rsidR="000358BC" w:rsidRPr="00A115D7">
        <w:rPr>
          <w:lang w:val="en-US"/>
        </w:rPr>
        <w:t xml:space="preserve"> Information overlap for the same aid, there was agreement that the S-124 NW should take priority over the S-125 </w:t>
      </w:r>
      <w:proofErr w:type="spellStart"/>
      <w:r w:rsidR="000358BC" w:rsidRPr="00A115D7">
        <w:rPr>
          <w:lang w:val="en-US"/>
        </w:rPr>
        <w:t>AtoN</w:t>
      </w:r>
      <w:proofErr w:type="spellEnd"/>
      <w:r w:rsidR="000358BC" w:rsidRPr="00A115D7">
        <w:rPr>
          <w:lang w:val="en-US"/>
        </w:rPr>
        <w:t xml:space="preserve"> Information.</w:t>
      </w:r>
      <w:r w:rsidRPr="00A115D7">
        <w:rPr>
          <w:lang w:val="en-US"/>
        </w:rPr>
        <w:t xml:space="preserve"> (</w:t>
      </w:r>
      <w:r w:rsidR="00053BCA" w:rsidRPr="00A115D7">
        <w:rPr>
          <w:lang w:val="en-US"/>
        </w:rPr>
        <w:t>Randomly generated S-12</w:t>
      </w:r>
      <w:r w:rsidR="004D170B" w:rsidRPr="00A115D7">
        <w:rPr>
          <w:lang w:val="en-US"/>
        </w:rPr>
        <w:t>4</w:t>
      </w:r>
      <w:r w:rsidR="00053BCA" w:rsidRPr="00A115D7">
        <w:rPr>
          <w:lang w:val="en-US"/>
        </w:rPr>
        <w:t xml:space="preserve"> NW messages)</w:t>
      </w:r>
    </w:p>
    <w:p w14:paraId="50A7CF69" w14:textId="77777777" w:rsidR="00120BE4" w:rsidRPr="00A115D7" w:rsidRDefault="00120BE4" w:rsidP="00A115D7">
      <w:pPr>
        <w:pStyle w:val="ListParagraph"/>
        <w:jc w:val="both"/>
        <w:rPr>
          <w:lang w:val="en-US"/>
        </w:rPr>
      </w:pPr>
    </w:p>
    <w:p w14:paraId="64C1B44A" w14:textId="0E9C818C" w:rsidR="00053BCA" w:rsidRPr="00A115D7" w:rsidRDefault="00053BCA" w:rsidP="00A115D7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A115D7">
        <w:rPr>
          <w:lang w:val="en-US"/>
        </w:rPr>
        <w:t>To operate an S-124 NW and S-125 Marine Aton in S-100 testbed system considering the S-98 interoperability</w:t>
      </w:r>
    </w:p>
    <w:p w14:paraId="62A1916D" w14:textId="77777777" w:rsidR="00F66A32" w:rsidRPr="00A115D7" w:rsidRDefault="00F66A32" w:rsidP="00A115D7">
      <w:pPr>
        <w:pStyle w:val="ListParagraph"/>
        <w:jc w:val="both"/>
        <w:rPr>
          <w:lang w:val="en-US"/>
        </w:rPr>
      </w:pPr>
    </w:p>
    <w:p w14:paraId="05DC40DF" w14:textId="65673A07" w:rsidR="00DF0424" w:rsidRPr="00A115D7" w:rsidRDefault="00053BCA" w:rsidP="00A115D7">
      <w:pPr>
        <w:pStyle w:val="ListParagraph"/>
        <w:numPr>
          <w:ilvl w:val="0"/>
          <w:numId w:val="2"/>
        </w:numPr>
        <w:jc w:val="both"/>
        <w:rPr>
          <w:lang w:val="en-US" w:eastAsia="ko-KR"/>
        </w:rPr>
      </w:pPr>
      <w:r w:rsidRPr="00A115D7">
        <w:rPr>
          <w:lang w:val="en-US" w:eastAsia="ko-KR"/>
        </w:rPr>
        <w:t xml:space="preserve">To check the </w:t>
      </w:r>
      <w:r w:rsidR="004D170B" w:rsidRPr="00A115D7">
        <w:rPr>
          <w:lang w:val="en-US" w:eastAsia="ko-KR"/>
        </w:rPr>
        <w:t>inter</w:t>
      </w:r>
      <w:r w:rsidRPr="00A115D7">
        <w:rPr>
          <w:lang w:val="en-US" w:eastAsia="ko-KR"/>
        </w:rPr>
        <w:t>operability between S-125 and S-101 as interleaving and overlaying which was agreed from the joint IHO/IALA workshop</w:t>
      </w:r>
    </w:p>
    <w:p w14:paraId="3E561930" w14:textId="77777777" w:rsidR="004D170B" w:rsidRPr="00A115D7" w:rsidRDefault="004D170B" w:rsidP="00A115D7">
      <w:pPr>
        <w:pStyle w:val="ListParagraph"/>
        <w:jc w:val="both"/>
        <w:rPr>
          <w:lang w:val="en-US" w:eastAsia="ko-KR"/>
        </w:rPr>
      </w:pPr>
    </w:p>
    <w:p w14:paraId="5388D388" w14:textId="5CA5F729" w:rsidR="00F66A32" w:rsidRPr="00A115D7" w:rsidRDefault="00DF0424" w:rsidP="00A115D7">
      <w:pPr>
        <w:pStyle w:val="ListParagraph"/>
        <w:numPr>
          <w:ilvl w:val="0"/>
          <w:numId w:val="2"/>
        </w:numPr>
        <w:jc w:val="both"/>
        <w:rPr>
          <w:lang w:val="en-US" w:eastAsia="ko-KR"/>
        </w:rPr>
      </w:pPr>
      <w:r w:rsidRPr="00A115D7">
        <w:rPr>
          <w:lang w:val="en-US" w:eastAsia="ko-KR"/>
        </w:rPr>
        <w:t>To check the</w:t>
      </w:r>
      <w:r w:rsidR="004D170B" w:rsidRPr="00A115D7">
        <w:rPr>
          <w:lang w:val="en-US" w:eastAsia="ko-KR"/>
        </w:rPr>
        <w:t xml:space="preserve"> suitability of </w:t>
      </w:r>
      <w:r w:rsidRPr="00A115D7">
        <w:rPr>
          <w:lang w:val="en-US" w:eastAsia="ko-KR"/>
        </w:rPr>
        <w:t xml:space="preserve">Aton status </w:t>
      </w:r>
      <w:r w:rsidR="004D170B" w:rsidRPr="00A115D7">
        <w:rPr>
          <w:lang w:val="en-US" w:eastAsia="ko-KR"/>
        </w:rPr>
        <w:t xml:space="preserve">symbols </w:t>
      </w:r>
      <w:r w:rsidRPr="00A115D7">
        <w:rPr>
          <w:lang w:val="en-US" w:eastAsia="ko-KR"/>
        </w:rPr>
        <w:t xml:space="preserve">in S-125 </w:t>
      </w:r>
      <w:r w:rsidR="004D170B" w:rsidRPr="00A115D7">
        <w:rPr>
          <w:lang w:val="en-US" w:eastAsia="ko-KR"/>
        </w:rPr>
        <w:t xml:space="preserve">marine Aton product specification </w:t>
      </w:r>
      <w:r w:rsidRPr="00A115D7">
        <w:rPr>
          <w:lang w:val="en-US" w:eastAsia="ko-KR"/>
        </w:rPr>
        <w:t>considering other symbols in ENC</w:t>
      </w:r>
    </w:p>
    <w:p w14:paraId="31C15D9B" w14:textId="77777777" w:rsidR="004D170B" w:rsidRPr="00A115D7" w:rsidRDefault="004D170B" w:rsidP="00A115D7">
      <w:pPr>
        <w:pStyle w:val="ListParagraph"/>
        <w:jc w:val="both"/>
        <w:rPr>
          <w:lang w:val="en-US" w:eastAsia="ko-KR"/>
        </w:rPr>
      </w:pPr>
    </w:p>
    <w:p w14:paraId="483E1E83" w14:textId="347DA60B" w:rsidR="004D170B" w:rsidRPr="00A115D7" w:rsidRDefault="004D170B" w:rsidP="00A115D7">
      <w:pPr>
        <w:pStyle w:val="ListParagraph"/>
        <w:numPr>
          <w:ilvl w:val="0"/>
          <w:numId w:val="2"/>
        </w:numPr>
        <w:jc w:val="both"/>
        <w:rPr>
          <w:lang w:val="en-US" w:eastAsia="ko-KR"/>
        </w:rPr>
      </w:pPr>
      <w:r w:rsidRPr="00A115D7">
        <w:rPr>
          <w:lang w:val="en-US" w:eastAsia="ko-KR"/>
        </w:rPr>
        <w:t>To test the technical specification for the provision of Aton information service to end-users in terms of e-Navigation maritime service</w:t>
      </w:r>
    </w:p>
    <w:p w14:paraId="6354E97D" w14:textId="6720595E" w:rsidR="006A718D" w:rsidRPr="00A115D7" w:rsidRDefault="006A718D" w:rsidP="00A115D7">
      <w:pPr>
        <w:spacing w:line="240" w:lineRule="auto"/>
        <w:jc w:val="both"/>
        <w:rPr>
          <w:lang w:val="en-US"/>
        </w:rPr>
      </w:pPr>
      <w:r w:rsidRPr="00A115D7">
        <w:rPr>
          <w:b/>
          <w:bCs/>
          <w:lang w:val="en-US"/>
        </w:rPr>
        <w:t>Funding Support</w:t>
      </w:r>
    </w:p>
    <w:p w14:paraId="5F115159" w14:textId="2F751A54" w:rsidR="006A718D" w:rsidRPr="00A115D7" w:rsidRDefault="006A718D" w:rsidP="00A115D7">
      <w:pPr>
        <w:spacing w:line="240" w:lineRule="auto"/>
        <w:jc w:val="both"/>
        <w:rPr>
          <w:lang w:val="en-US"/>
        </w:rPr>
      </w:pPr>
      <w:r w:rsidRPr="00A115D7">
        <w:rPr>
          <w:lang w:val="en-US"/>
        </w:rPr>
        <w:t>Participating agencies will provide following support for the Sea Demonstration.</w:t>
      </w:r>
    </w:p>
    <w:p w14:paraId="04258A5B" w14:textId="77777777" w:rsidR="00A115D7" w:rsidRDefault="006A718D" w:rsidP="00A115D7">
      <w:pPr>
        <w:spacing w:line="240" w:lineRule="auto"/>
        <w:jc w:val="both"/>
        <w:rPr>
          <w:lang w:val="en-US"/>
        </w:rPr>
      </w:pPr>
      <w:r w:rsidRPr="00A115D7">
        <w:rPr>
          <w:lang w:val="en-US"/>
        </w:rPr>
        <w:t xml:space="preserve">South Korea </w:t>
      </w:r>
      <w:r w:rsidRPr="00A115D7">
        <w:rPr>
          <w:lang w:val="en-US"/>
        </w:rPr>
        <w:tab/>
        <w:t xml:space="preserve">– </w:t>
      </w:r>
      <w:r w:rsidRPr="00A115D7">
        <w:rPr>
          <w:lang w:val="en-US"/>
        </w:rPr>
        <w:tab/>
      </w:r>
      <w:r w:rsidR="004D170B" w:rsidRPr="00A115D7">
        <w:rPr>
          <w:lang w:val="en-US"/>
        </w:rPr>
        <w:t>4</w:t>
      </w:r>
      <w:r w:rsidRPr="00A115D7">
        <w:rPr>
          <w:lang w:val="en-US"/>
        </w:rPr>
        <w:t xml:space="preserve"> x Researchers</w:t>
      </w:r>
      <w:r w:rsidR="004D170B" w:rsidRPr="00A115D7">
        <w:rPr>
          <w:lang w:val="en-US"/>
        </w:rPr>
        <w:t xml:space="preserve"> (2 from KRISO and 2 from BLUEMAP)</w:t>
      </w:r>
    </w:p>
    <w:p w14:paraId="19D3B998" w14:textId="0B16C8E4" w:rsidR="006A718D" w:rsidRPr="00A115D7" w:rsidRDefault="006A718D" w:rsidP="00A115D7">
      <w:pPr>
        <w:spacing w:line="240" w:lineRule="auto"/>
        <w:ind w:left="1440" w:firstLine="720"/>
        <w:jc w:val="both"/>
        <w:rPr>
          <w:lang w:val="en-US"/>
        </w:rPr>
      </w:pPr>
      <w:r w:rsidRPr="00A115D7">
        <w:rPr>
          <w:lang w:val="en-US"/>
        </w:rPr>
        <w:t>Software and hardware</w:t>
      </w:r>
    </w:p>
    <w:p w14:paraId="6BBBAB75" w14:textId="08A35E59" w:rsidR="006A718D" w:rsidRDefault="006A718D" w:rsidP="00A115D7">
      <w:pPr>
        <w:spacing w:line="240" w:lineRule="auto"/>
        <w:jc w:val="both"/>
        <w:rPr>
          <w:lang w:val="en-US"/>
        </w:rPr>
      </w:pPr>
    </w:p>
    <w:p w14:paraId="7E671F2C" w14:textId="71B7661E" w:rsidR="006A718D" w:rsidRDefault="006A718D" w:rsidP="00A115D7">
      <w:pPr>
        <w:spacing w:line="240" w:lineRule="auto"/>
        <w:jc w:val="both"/>
        <w:rPr>
          <w:lang w:val="en-US"/>
        </w:rPr>
      </w:pPr>
      <w:r>
        <w:rPr>
          <w:lang w:val="en-US"/>
        </w:rPr>
        <w:lastRenderedPageBreak/>
        <w:t>IHO-Singapore Lab</w:t>
      </w:r>
      <w:r>
        <w:rPr>
          <w:lang w:val="en-US"/>
        </w:rPr>
        <w:tab/>
        <w:t xml:space="preserve">- </w:t>
      </w:r>
      <w:r>
        <w:rPr>
          <w:lang w:val="en-US"/>
        </w:rPr>
        <w:tab/>
      </w:r>
      <w:r w:rsidR="00120BE4">
        <w:rPr>
          <w:lang w:val="en-US"/>
        </w:rPr>
        <w:t>Vessel and Crew for Sea Demonstration</w:t>
      </w:r>
    </w:p>
    <w:p w14:paraId="31126D86" w14:textId="4B3DAD66" w:rsidR="00120BE4" w:rsidRDefault="00120BE4" w:rsidP="00A115D7">
      <w:pPr>
        <w:spacing w:line="240" w:lineRule="auto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857628">
        <w:rPr>
          <w:lang w:val="en-US"/>
        </w:rPr>
        <w:t xml:space="preserve">Production of </w:t>
      </w:r>
      <w:r>
        <w:rPr>
          <w:lang w:val="en-US"/>
        </w:rPr>
        <w:t>S-101 ENCs covering Demonstration Area</w:t>
      </w:r>
    </w:p>
    <w:p w14:paraId="51A17B0E" w14:textId="6566BB8E" w:rsidR="00120BE4" w:rsidRDefault="00120BE4" w:rsidP="00A115D7">
      <w:pPr>
        <w:spacing w:line="240" w:lineRule="auto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4/5-G network</w:t>
      </w:r>
    </w:p>
    <w:p w14:paraId="1F4F73A4" w14:textId="49ABF392" w:rsidR="00120BE4" w:rsidRPr="006A718D" w:rsidRDefault="00120BE4" w:rsidP="00A115D7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45A4FC52" w14:textId="213B52C2" w:rsidR="006A718D" w:rsidRPr="006A718D" w:rsidRDefault="006A718D" w:rsidP="00A115D7">
      <w:pPr>
        <w:jc w:val="both"/>
        <w:rPr>
          <w:lang w:val="en-US"/>
        </w:rPr>
      </w:pPr>
      <w:r w:rsidRPr="006A718D">
        <w:rPr>
          <w:lang w:val="en-US"/>
        </w:rPr>
        <w:t xml:space="preserve"> </w:t>
      </w:r>
    </w:p>
    <w:p w14:paraId="09474DE9" w14:textId="0ED53C6E" w:rsidR="008A29B4" w:rsidRPr="008A29B4" w:rsidRDefault="008A29B4" w:rsidP="00A115D7">
      <w:pPr>
        <w:jc w:val="both"/>
        <w:rPr>
          <w:b/>
          <w:bCs/>
          <w:lang w:val="en-US"/>
        </w:rPr>
      </w:pPr>
    </w:p>
    <w:sectPr w:rsidR="008A29B4" w:rsidRPr="008A29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1654C" w14:textId="77777777" w:rsidR="004A098C" w:rsidRDefault="004A098C" w:rsidP="000358BC">
      <w:pPr>
        <w:spacing w:after="0" w:line="240" w:lineRule="auto"/>
      </w:pPr>
      <w:r>
        <w:separator/>
      </w:r>
    </w:p>
  </w:endnote>
  <w:endnote w:type="continuationSeparator" w:id="0">
    <w:p w14:paraId="0A36CAE6" w14:textId="77777777" w:rsidR="004A098C" w:rsidRDefault="004A098C" w:rsidP="00035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5F541" w14:textId="77777777" w:rsidR="004A098C" w:rsidRDefault="004A098C" w:rsidP="000358BC">
      <w:pPr>
        <w:spacing w:after="0" w:line="240" w:lineRule="auto"/>
      </w:pPr>
      <w:r>
        <w:separator/>
      </w:r>
    </w:p>
  </w:footnote>
  <w:footnote w:type="continuationSeparator" w:id="0">
    <w:p w14:paraId="2958F7C5" w14:textId="77777777" w:rsidR="004A098C" w:rsidRDefault="004A098C" w:rsidP="00035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7F46"/>
    <w:multiLevelType w:val="hybridMultilevel"/>
    <w:tmpl w:val="A6AED1BC"/>
    <w:lvl w:ilvl="0" w:tplc="52B43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059C5"/>
    <w:multiLevelType w:val="hybridMultilevel"/>
    <w:tmpl w:val="D1BCD448"/>
    <w:lvl w:ilvl="0" w:tplc="E768297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BC07E61"/>
    <w:multiLevelType w:val="hybridMultilevel"/>
    <w:tmpl w:val="68585602"/>
    <w:lvl w:ilvl="0" w:tplc="0409000F">
      <w:start w:val="1"/>
      <w:numFmt w:val="decimal"/>
      <w:lvlText w:val="%1."/>
      <w:lvlJc w:val="left"/>
      <w:pPr>
        <w:ind w:left="760" w:hanging="400"/>
      </w:p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 w15:restartNumberingAfterBreak="0">
    <w:nsid w:val="53622CB9"/>
    <w:multiLevelType w:val="hybridMultilevel"/>
    <w:tmpl w:val="4DC4C9FC"/>
    <w:lvl w:ilvl="0" w:tplc="B86A3B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1106C"/>
    <w:multiLevelType w:val="hybridMultilevel"/>
    <w:tmpl w:val="3544BADC"/>
    <w:lvl w:ilvl="0" w:tplc="C690264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583761513">
    <w:abstractNumId w:val="3"/>
  </w:num>
  <w:num w:numId="2" w16cid:durableId="1087576915">
    <w:abstractNumId w:val="0"/>
  </w:num>
  <w:num w:numId="3" w16cid:durableId="196503567">
    <w:abstractNumId w:val="4"/>
  </w:num>
  <w:num w:numId="4" w16cid:durableId="1301038612">
    <w:abstractNumId w:val="1"/>
  </w:num>
  <w:num w:numId="5" w16cid:durableId="4267718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9B4"/>
    <w:rsid w:val="00015542"/>
    <w:rsid w:val="000358BC"/>
    <w:rsid w:val="00053BCA"/>
    <w:rsid w:val="000F1A89"/>
    <w:rsid w:val="00120BE4"/>
    <w:rsid w:val="003643F4"/>
    <w:rsid w:val="003A0E25"/>
    <w:rsid w:val="004A098C"/>
    <w:rsid w:val="004D170B"/>
    <w:rsid w:val="004E14F6"/>
    <w:rsid w:val="00600902"/>
    <w:rsid w:val="00646AF7"/>
    <w:rsid w:val="006A718D"/>
    <w:rsid w:val="00714BDB"/>
    <w:rsid w:val="00857628"/>
    <w:rsid w:val="008A29B4"/>
    <w:rsid w:val="00945AD4"/>
    <w:rsid w:val="00946E93"/>
    <w:rsid w:val="00A115D7"/>
    <w:rsid w:val="00B41D1F"/>
    <w:rsid w:val="00D36BD4"/>
    <w:rsid w:val="00D97F1F"/>
    <w:rsid w:val="00DF0424"/>
    <w:rsid w:val="00E41C9F"/>
    <w:rsid w:val="00E74F67"/>
    <w:rsid w:val="00F2038F"/>
    <w:rsid w:val="00F66A32"/>
    <w:rsid w:val="00FB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C48B78"/>
  <w15:chartTrackingRefBased/>
  <w15:docId w15:val="{F2C467BC-2F9F-4C13-B551-68C547DB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0E2"/>
    <w:pPr>
      <w:ind w:left="720"/>
      <w:contextualSpacing/>
    </w:pPr>
  </w:style>
  <w:style w:type="paragraph" w:styleId="Revision">
    <w:name w:val="Revision"/>
    <w:hidden/>
    <w:uiPriority w:val="99"/>
    <w:semiHidden/>
    <w:rsid w:val="00946E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Parry OEI (MPA)</dc:creator>
  <cp:keywords/>
  <dc:description/>
  <cp:lastModifiedBy>Parry OEI (MPA)</cp:lastModifiedBy>
  <cp:revision>3</cp:revision>
  <dcterms:created xsi:type="dcterms:W3CDTF">2022-10-04T10:33:00Z</dcterms:created>
  <dcterms:modified xsi:type="dcterms:W3CDTF">2022-10-04T10:38:00Z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2022-09-26T05:56:02Z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af4c9a88-c516-42d7-9d78-bc368aeb813b</vt:lpwstr>
  </property>
  <property fmtid="{D5CDD505-2E9C-101B-9397-08002B2CF9AE}" pid="8" name="MSIP_Label_5434c4c7-833e-41e4-b0ab-cdb227a2f6f7_ContentBits">
    <vt:lpwstr>0</vt:lpwstr>
  </property>
</Properties>
</file>