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BED2" w14:textId="6BE293BB" w:rsidR="00FA1E85" w:rsidRDefault="00FA1E85" w:rsidP="00071BED">
      <w:pPr>
        <w:pStyle w:val="NoSpacing"/>
        <w:jc w:val="both"/>
        <w:rPr>
          <w:b/>
          <w:bCs/>
          <w:lang w:val="en-US"/>
        </w:rPr>
      </w:pPr>
      <w:r>
        <w:rPr>
          <w:b/>
          <w:bCs/>
          <w:lang w:val="en-US"/>
        </w:rPr>
        <w:t>PROJECT</w:t>
      </w:r>
      <w:r w:rsidR="00D401C6">
        <w:rPr>
          <w:b/>
          <w:bCs/>
          <w:lang w:val="en-US"/>
        </w:rPr>
        <w:t xml:space="preserve"> PROPOSAL</w:t>
      </w:r>
      <w:r>
        <w:rPr>
          <w:b/>
          <w:bCs/>
          <w:lang w:val="en-US"/>
        </w:rPr>
        <w:t xml:space="preserve"> PART 1 –   </w:t>
      </w:r>
      <w:r w:rsidRPr="00FA1E85">
        <w:rPr>
          <w:b/>
          <w:bCs/>
          <w:lang w:val="en-US"/>
        </w:rPr>
        <w:t>TO DEMONSTRATE AVAILABILITY OF ENCs (S-101 and S-57) in S-100 ECDIS for DUAL FUEL ALONG MAJOR SHIPPING ROUTES</w:t>
      </w:r>
    </w:p>
    <w:p w14:paraId="4CF37E50" w14:textId="77777777" w:rsidR="000D6067" w:rsidRDefault="000D6067" w:rsidP="00071BED">
      <w:pPr>
        <w:pStyle w:val="NoSpacing"/>
        <w:jc w:val="both"/>
        <w:rPr>
          <w:lang w:val="en-US"/>
        </w:rPr>
      </w:pPr>
    </w:p>
    <w:p w14:paraId="2CA04CE5" w14:textId="77777777" w:rsidR="008A29B4" w:rsidRPr="000D6067" w:rsidRDefault="008A29B4" w:rsidP="00071BED">
      <w:pPr>
        <w:pStyle w:val="NoSpacing"/>
        <w:jc w:val="both"/>
        <w:rPr>
          <w:b/>
          <w:bCs/>
          <w:lang w:val="en-US"/>
        </w:rPr>
      </w:pPr>
      <w:r w:rsidRPr="000D6067">
        <w:rPr>
          <w:b/>
          <w:bCs/>
          <w:lang w:val="en-US"/>
        </w:rPr>
        <w:t>Background</w:t>
      </w:r>
    </w:p>
    <w:p w14:paraId="6C8F57C0" w14:textId="77777777" w:rsidR="00760011" w:rsidRDefault="00760011" w:rsidP="00760011">
      <w:pPr>
        <w:pStyle w:val="NoSpacing"/>
        <w:jc w:val="both"/>
        <w:rPr>
          <w:lang w:val="en-US"/>
        </w:rPr>
      </w:pPr>
    </w:p>
    <w:p w14:paraId="2EC46737" w14:textId="340EE321" w:rsidR="00192066" w:rsidRDefault="00192066" w:rsidP="00760011">
      <w:pPr>
        <w:pStyle w:val="NoSpacing"/>
        <w:jc w:val="both"/>
        <w:rPr>
          <w:lang w:val="en-US"/>
        </w:rPr>
      </w:pPr>
      <w:r w:rsidRPr="00192066">
        <w:rPr>
          <w:lang w:val="en-US"/>
        </w:rPr>
        <w:t xml:space="preserve">At the recent IHO’s S-100 Working Group meeting held in Singapore, the idea of S-57 and S-101 ENCs dual fuel S-100 ECDIS was </w:t>
      </w:r>
      <w:r w:rsidR="002B2F05">
        <w:rPr>
          <w:lang w:val="en-US"/>
        </w:rPr>
        <w:t>n</w:t>
      </w:r>
      <w:r w:rsidRPr="00192066">
        <w:rPr>
          <w:lang w:val="en-US"/>
        </w:rPr>
        <w:t xml:space="preserve">oted. Following the successful completion of the joint hydrographic survey of the SOMS, the Hydrographic Offices of Indonesia, </w:t>
      </w:r>
      <w:proofErr w:type="gramStart"/>
      <w:r w:rsidRPr="00192066">
        <w:rPr>
          <w:lang w:val="en-US"/>
        </w:rPr>
        <w:t>Malaysia</w:t>
      </w:r>
      <w:proofErr w:type="gramEnd"/>
      <w:r w:rsidRPr="00192066">
        <w:rPr>
          <w:lang w:val="en-US"/>
        </w:rPr>
        <w:t xml:space="preserve"> and Singapore agreed to take this opportunity as one of the busiest waterways in the world to carry out a demonstration project using data acquired from the joint survey to produce S-101 Malacca and Singapore Straits ENCs.</w:t>
      </w:r>
      <w:r>
        <w:rPr>
          <w:lang w:val="en-US"/>
        </w:rPr>
        <w:t xml:space="preserve"> The </w:t>
      </w:r>
      <w:r w:rsidRPr="00192066">
        <w:rPr>
          <w:lang w:val="en-US"/>
        </w:rPr>
        <w:t xml:space="preserve">IHO-Singapore Lab could potentially coordinate among different entities, </w:t>
      </w:r>
      <w:proofErr w:type="spellStart"/>
      <w:r w:rsidRPr="00192066">
        <w:rPr>
          <w:lang w:val="en-US"/>
        </w:rPr>
        <w:t>e.g</w:t>
      </w:r>
      <w:proofErr w:type="spellEnd"/>
      <w:r w:rsidRPr="00192066">
        <w:rPr>
          <w:lang w:val="en-US"/>
        </w:rPr>
        <w:t xml:space="preserve"> NOAA, KHOA etc.</w:t>
      </w:r>
    </w:p>
    <w:p w14:paraId="211C3BB1" w14:textId="55A1383A" w:rsidR="00192066" w:rsidRPr="00760011" w:rsidRDefault="00192066" w:rsidP="00760011">
      <w:pPr>
        <w:pStyle w:val="NoSpacing"/>
        <w:jc w:val="both"/>
        <w:rPr>
          <w:lang w:val="en-US"/>
        </w:rPr>
      </w:pPr>
    </w:p>
    <w:p w14:paraId="42D48430" w14:textId="3C7AC833" w:rsidR="00FA1E85" w:rsidRDefault="00FA1E85" w:rsidP="00071BED">
      <w:pPr>
        <w:pStyle w:val="NoSpacing"/>
        <w:jc w:val="both"/>
      </w:pPr>
      <w:r w:rsidRPr="00FA1E85">
        <w:t>The potential project would be an excellent opportunity to signal to stakeholders, including the IMO and shipping community that the IHO stands ready to start delivering S-101 ENCs by 1 Jan 2026.</w:t>
      </w:r>
    </w:p>
    <w:p w14:paraId="3154B05D" w14:textId="77777777" w:rsidR="00FA1E85" w:rsidRDefault="00FA1E85" w:rsidP="00071BED">
      <w:pPr>
        <w:pStyle w:val="NoSpacing"/>
        <w:jc w:val="both"/>
      </w:pPr>
    </w:p>
    <w:p w14:paraId="0DF4642D" w14:textId="358FCE4A" w:rsidR="00945AD4" w:rsidRPr="000D6067" w:rsidRDefault="00945AD4" w:rsidP="00071BED">
      <w:pPr>
        <w:pStyle w:val="NoSpacing"/>
        <w:jc w:val="both"/>
        <w:rPr>
          <w:b/>
          <w:bCs/>
          <w:lang w:val="en-US"/>
        </w:rPr>
      </w:pPr>
      <w:r w:rsidRPr="000D6067">
        <w:rPr>
          <w:b/>
          <w:bCs/>
          <w:lang w:val="en-US"/>
        </w:rPr>
        <w:t>Propose Area</w:t>
      </w:r>
      <w:r w:rsidR="002D75CA">
        <w:rPr>
          <w:b/>
          <w:bCs/>
          <w:lang w:val="en-US"/>
        </w:rPr>
        <w:t>s</w:t>
      </w:r>
      <w:r w:rsidRPr="000D6067">
        <w:rPr>
          <w:b/>
          <w:bCs/>
          <w:lang w:val="en-US"/>
        </w:rPr>
        <w:t xml:space="preserve"> for the Demonstration </w:t>
      </w:r>
    </w:p>
    <w:p w14:paraId="3773A918" w14:textId="77777777" w:rsidR="000D6067" w:rsidRDefault="000D6067" w:rsidP="00071BED">
      <w:pPr>
        <w:pStyle w:val="NoSpacing"/>
        <w:jc w:val="both"/>
        <w:rPr>
          <w:lang w:val="en-US"/>
        </w:rPr>
      </w:pPr>
    </w:p>
    <w:p w14:paraId="712A0D18" w14:textId="57142E42" w:rsidR="00B35AD0" w:rsidRPr="00760011" w:rsidRDefault="000D6067" w:rsidP="00071BED">
      <w:pPr>
        <w:pStyle w:val="NoSpacing"/>
        <w:jc w:val="both"/>
        <w:rPr>
          <w:lang w:val="en-US"/>
        </w:rPr>
      </w:pPr>
      <w:r>
        <w:rPr>
          <w:lang w:val="en-US"/>
        </w:rPr>
        <w:t xml:space="preserve">Phase 1 </w:t>
      </w:r>
      <w:r w:rsidR="00760011">
        <w:rPr>
          <w:lang w:val="en-US"/>
        </w:rPr>
        <w:t xml:space="preserve">- </w:t>
      </w:r>
      <w:r w:rsidR="00A43CBA">
        <w:rPr>
          <w:lang w:val="en-US"/>
        </w:rPr>
        <w:t xml:space="preserve">Straits of Malacca and Singapore (SOMS) could be used. The </w:t>
      </w:r>
      <w:r w:rsidR="00A43CBA" w:rsidRPr="006B4EF0">
        <w:rPr>
          <w:lang w:val="en-US"/>
        </w:rPr>
        <w:t>advantage of SOMS is that the 3 littoral States</w:t>
      </w:r>
      <w:r w:rsidR="006124CC">
        <w:rPr>
          <w:lang w:val="en-US"/>
        </w:rPr>
        <w:t xml:space="preserve"> – Indonesia, </w:t>
      </w:r>
      <w:proofErr w:type="gramStart"/>
      <w:r w:rsidR="006124CC">
        <w:rPr>
          <w:lang w:val="en-US"/>
        </w:rPr>
        <w:t>Malaysia</w:t>
      </w:r>
      <w:proofErr w:type="gramEnd"/>
      <w:r w:rsidR="006124CC">
        <w:rPr>
          <w:lang w:val="en-US"/>
        </w:rPr>
        <w:t xml:space="preserve"> and Singapore – </w:t>
      </w:r>
      <w:r w:rsidR="00A43CBA" w:rsidRPr="006B4EF0">
        <w:rPr>
          <w:lang w:val="en-US"/>
        </w:rPr>
        <w:t>share a common set of ENCs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i.e</w:t>
      </w:r>
      <w:proofErr w:type="spellEnd"/>
      <w:r>
        <w:rPr>
          <w:lang w:val="en-US"/>
        </w:rPr>
        <w:t xml:space="preserve"> MSS-ENC</w:t>
      </w:r>
      <w:r w:rsidR="00192066">
        <w:rPr>
          <w:lang w:val="en-US"/>
        </w:rPr>
        <w:t xml:space="preserve">. </w:t>
      </w:r>
      <w:r w:rsidR="00B35AD0">
        <w:t xml:space="preserve">There </w:t>
      </w:r>
      <w:r w:rsidR="00192066">
        <w:t xml:space="preserve">is </w:t>
      </w:r>
      <w:r w:rsidR="002D75CA">
        <w:t xml:space="preserve">also an </w:t>
      </w:r>
      <w:r w:rsidR="00192066">
        <w:t xml:space="preserve">opportunity </w:t>
      </w:r>
      <w:r w:rsidR="00B35AD0" w:rsidRPr="006B4EF0">
        <w:t xml:space="preserve">to leverage </w:t>
      </w:r>
      <w:r w:rsidR="002B2F05">
        <w:t xml:space="preserve">resources </w:t>
      </w:r>
      <w:r w:rsidR="00B35AD0" w:rsidRPr="006B4EF0">
        <w:t xml:space="preserve">on the recently completed joint hydrographic survey of waters </w:t>
      </w:r>
      <w:r w:rsidR="00A43CBA">
        <w:t>shallower</w:t>
      </w:r>
      <w:r w:rsidR="00B35AD0" w:rsidRPr="006B4EF0">
        <w:t xml:space="preserve"> than 30 meters covering the entire 600 km </w:t>
      </w:r>
      <w:r w:rsidR="00A43CBA">
        <w:t>of navigable waters</w:t>
      </w:r>
      <w:r w:rsidR="00B35AD0" w:rsidRPr="006B4EF0">
        <w:t>. The survey results</w:t>
      </w:r>
      <w:r w:rsidR="00A43CBA">
        <w:t xml:space="preserve"> </w:t>
      </w:r>
      <w:r w:rsidR="00B35AD0" w:rsidRPr="006B4EF0">
        <w:t>could be used to produce S-101</w:t>
      </w:r>
      <w:r w:rsidR="00A43CBA">
        <w:t>,</w:t>
      </w:r>
      <w:r w:rsidR="00B35AD0" w:rsidRPr="006B4EF0">
        <w:t xml:space="preserve"> and</w:t>
      </w:r>
      <w:r w:rsidR="002B2F05">
        <w:t xml:space="preserve"> then</w:t>
      </w:r>
      <w:r w:rsidR="00B35AD0" w:rsidRPr="006B4EF0">
        <w:t xml:space="preserve"> </w:t>
      </w:r>
      <w:r w:rsidR="002B2F05">
        <w:t>displayed</w:t>
      </w:r>
      <w:r w:rsidR="00B35AD0" w:rsidRPr="006B4EF0">
        <w:t xml:space="preserve"> with </w:t>
      </w:r>
      <w:r w:rsidR="00A43CBA">
        <w:t xml:space="preserve">existing </w:t>
      </w:r>
      <w:r w:rsidR="00B35AD0" w:rsidRPr="006B4EF0">
        <w:t xml:space="preserve">S-57 to </w:t>
      </w:r>
      <w:r w:rsidR="002B2F05">
        <w:t>demonstrate</w:t>
      </w:r>
      <w:r w:rsidR="00B35AD0" w:rsidRPr="006B4EF0">
        <w:t xml:space="preserve"> dual-fuel ENCs</w:t>
      </w:r>
      <w:r w:rsidR="009E24A3">
        <w:t xml:space="preserve">. </w:t>
      </w:r>
    </w:p>
    <w:p w14:paraId="49EA6CAB" w14:textId="77777777" w:rsidR="009E24A3" w:rsidRDefault="009E24A3" w:rsidP="00071BED">
      <w:pPr>
        <w:pStyle w:val="NoSpacing"/>
        <w:jc w:val="both"/>
      </w:pPr>
    </w:p>
    <w:p w14:paraId="13ECD8F3" w14:textId="740770A1" w:rsidR="000D6067" w:rsidRPr="00760011" w:rsidRDefault="000D6067" w:rsidP="00071BED">
      <w:pPr>
        <w:pStyle w:val="NoSpacing"/>
        <w:jc w:val="both"/>
        <w:rPr>
          <w:lang w:val="en-US"/>
        </w:rPr>
      </w:pPr>
      <w:r>
        <w:t xml:space="preserve">Phase 2 </w:t>
      </w:r>
      <w:r w:rsidR="00760011">
        <w:rPr>
          <w:lang w:val="en-US"/>
        </w:rPr>
        <w:t xml:space="preserve">- </w:t>
      </w:r>
      <w:r w:rsidRPr="000D6067">
        <w:rPr>
          <w:lang w:val="en-US"/>
        </w:rPr>
        <w:t xml:space="preserve">Global project and demonstration </w:t>
      </w:r>
      <w:r w:rsidR="009E24A3">
        <w:rPr>
          <w:lang w:val="en-US"/>
        </w:rPr>
        <w:t xml:space="preserve">with Italian naval vessel. </w:t>
      </w:r>
      <w:r>
        <w:rPr>
          <w:lang w:val="en-US"/>
        </w:rPr>
        <w:t>This will likely</w:t>
      </w:r>
      <w:r w:rsidRPr="000D6067">
        <w:rPr>
          <w:lang w:val="en-US"/>
        </w:rPr>
        <w:t xml:space="preserve"> involve </w:t>
      </w:r>
      <w:r w:rsidR="002415F1">
        <w:rPr>
          <w:lang w:val="en-US"/>
        </w:rPr>
        <w:t xml:space="preserve">coordination with </w:t>
      </w:r>
      <w:r w:rsidR="00E74167">
        <w:rPr>
          <w:lang w:val="en-US"/>
        </w:rPr>
        <w:t>RENCs</w:t>
      </w:r>
      <w:r w:rsidRPr="000D6067">
        <w:rPr>
          <w:lang w:val="en-US"/>
        </w:rPr>
        <w:t xml:space="preserve"> for area</w:t>
      </w:r>
      <w:r>
        <w:rPr>
          <w:lang w:val="en-US"/>
        </w:rPr>
        <w:t>s</w:t>
      </w:r>
      <w:r w:rsidRPr="000D6067">
        <w:rPr>
          <w:lang w:val="en-US"/>
        </w:rPr>
        <w:t xml:space="preserve"> </w:t>
      </w:r>
      <w:r>
        <w:rPr>
          <w:lang w:val="en-US"/>
        </w:rPr>
        <w:t>not covered by</w:t>
      </w:r>
      <w:r w:rsidRPr="000D6067">
        <w:rPr>
          <w:lang w:val="en-US"/>
        </w:rPr>
        <w:t xml:space="preserve"> MSS</w:t>
      </w:r>
      <w:r>
        <w:rPr>
          <w:lang w:val="en-US"/>
        </w:rPr>
        <w:t>-</w:t>
      </w:r>
      <w:r w:rsidRPr="000D6067">
        <w:rPr>
          <w:lang w:val="en-US"/>
        </w:rPr>
        <w:t>ENC</w:t>
      </w:r>
      <w:r w:rsidR="009E24A3">
        <w:rPr>
          <w:lang w:val="en-US"/>
        </w:rPr>
        <w:t>. Combined with MSS-ENCs from Phase 1, the ENCs will cover the planned route of the Italian naval vessel as it circumnavigates the world.</w:t>
      </w:r>
    </w:p>
    <w:p w14:paraId="69AFE29B" w14:textId="77777777" w:rsidR="009E24A3" w:rsidRDefault="009E24A3" w:rsidP="00071BED">
      <w:pPr>
        <w:pStyle w:val="NoSpacing"/>
        <w:jc w:val="both"/>
        <w:rPr>
          <w:lang w:val="en-US"/>
        </w:rPr>
      </w:pPr>
    </w:p>
    <w:p w14:paraId="4AA12AAC" w14:textId="77777777" w:rsidR="00463A05" w:rsidRDefault="00463A05" w:rsidP="00071BED">
      <w:pPr>
        <w:pStyle w:val="NoSpacing"/>
        <w:jc w:val="both"/>
        <w:rPr>
          <w:lang w:val="en-US"/>
        </w:rPr>
      </w:pPr>
    </w:p>
    <w:p w14:paraId="47B7F7DE" w14:textId="278CEBBB" w:rsidR="00D36BD4" w:rsidRDefault="00FB30E2" w:rsidP="00071BED">
      <w:pPr>
        <w:pStyle w:val="NoSpacing"/>
        <w:jc w:val="both"/>
        <w:rPr>
          <w:b/>
          <w:bCs/>
          <w:lang w:val="en-US"/>
        </w:rPr>
      </w:pPr>
      <w:r w:rsidRPr="000D6067">
        <w:rPr>
          <w:b/>
          <w:bCs/>
          <w:lang w:val="en-US"/>
        </w:rPr>
        <w:t xml:space="preserve">Objectives </w:t>
      </w:r>
      <w:r w:rsidR="003A0E25" w:rsidRPr="000D6067">
        <w:rPr>
          <w:b/>
          <w:bCs/>
          <w:lang w:val="en-US"/>
        </w:rPr>
        <w:t xml:space="preserve">of the </w:t>
      </w:r>
      <w:r w:rsidR="00D36BD4" w:rsidRPr="000D6067">
        <w:rPr>
          <w:b/>
          <w:bCs/>
          <w:lang w:val="en-US"/>
        </w:rPr>
        <w:t>Pro</w:t>
      </w:r>
      <w:r w:rsidR="000D6067" w:rsidRPr="000D6067">
        <w:rPr>
          <w:b/>
          <w:bCs/>
          <w:lang w:val="en-US"/>
        </w:rPr>
        <w:t>ject</w:t>
      </w:r>
    </w:p>
    <w:p w14:paraId="0F70B9BE" w14:textId="77777777" w:rsidR="00262CE5" w:rsidRPr="000D6067" w:rsidRDefault="00262CE5" w:rsidP="00071BED">
      <w:pPr>
        <w:pStyle w:val="NoSpacing"/>
        <w:jc w:val="both"/>
        <w:rPr>
          <w:b/>
          <w:bCs/>
          <w:lang w:val="en-US"/>
        </w:rPr>
      </w:pPr>
    </w:p>
    <w:p w14:paraId="7771D659" w14:textId="47EF8F7D" w:rsidR="00192066" w:rsidRDefault="00192066" w:rsidP="00192066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The objectives of the Project are </w:t>
      </w:r>
      <w:r w:rsidRPr="00192066">
        <w:rPr>
          <w:lang w:val="en-US"/>
        </w:rPr>
        <w:t xml:space="preserve">to: </w:t>
      </w:r>
    </w:p>
    <w:p w14:paraId="3062F963" w14:textId="77777777" w:rsidR="00192066" w:rsidRPr="00192066" w:rsidRDefault="00192066" w:rsidP="00192066">
      <w:pPr>
        <w:pStyle w:val="NoSpacing"/>
        <w:jc w:val="both"/>
        <w:rPr>
          <w:lang w:val="en-US"/>
        </w:rPr>
      </w:pPr>
    </w:p>
    <w:p w14:paraId="6382E9C0" w14:textId="6B697836" w:rsidR="00192066" w:rsidRDefault="00192066" w:rsidP="00192066">
      <w:pPr>
        <w:pStyle w:val="NoSpacing"/>
        <w:numPr>
          <w:ilvl w:val="0"/>
          <w:numId w:val="9"/>
        </w:numPr>
        <w:jc w:val="both"/>
        <w:rPr>
          <w:lang w:val="en-US"/>
        </w:rPr>
      </w:pPr>
      <w:r w:rsidRPr="00192066">
        <w:rPr>
          <w:lang w:val="en-US"/>
        </w:rPr>
        <w:t xml:space="preserve">coordinate and provide S-57 and S-101 ENCs covering the planned </w:t>
      </w:r>
      <w:proofErr w:type="gramStart"/>
      <w:r w:rsidRPr="00192066">
        <w:rPr>
          <w:lang w:val="en-US"/>
        </w:rPr>
        <w:t>routes;</w:t>
      </w:r>
      <w:proofErr w:type="gramEnd"/>
    </w:p>
    <w:p w14:paraId="58DB88B1" w14:textId="3C3F7A69" w:rsidR="00192066" w:rsidRDefault="00192066" w:rsidP="008D1E32">
      <w:pPr>
        <w:pStyle w:val="NoSpacing"/>
        <w:numPr>
          <w:ilvl w:val="0"/>
          <w:numId w:val="9"/>
        </w:numPr>
        <w:jc w:val="both"/>
        <w:rPr>
          <w:lang w:val="en-US"/>
        </w:rPr>
      </w:pPr>
      <w:r w:rsidRPr="00192066">
        <w:rPr>
          <w:lang w:val="en-US"/>
        </w:rPr>
        <w:t xml:space="preserve">demonstrate to the shipping community and other users that the IHO and our stakeholders stand ready to make available ENCs in S-100 for Dual Fuel covering major shipping routes ahead of the 1 January 2026 commitment to the </w:t>
      </w:r>
      <w:proofErr w:type="gramStart"/>
      <w:r w:rsidRPr="00192066">
        <w:rPr>
          <w:lang w:val="en-US"/>
        </w:rPr>
        <w:t>IMO</w:t>
      </w:r>
      <w:r>
        <w:rPr>
          <w:lang w:val="en-US"/>
        </w:rPr>
        <w:t>;</w:t>
      </w:r>
      <w:proofErr w:type="gramEnd"/>
      <w:r>
        <w:rPr>
          <w:lang w:val="en-US"/>
        </w:rPr>
        <w:t xml:space="preserve"> </w:t>
      </w:r>
    </w:p>
    <w:p w14:paraId="18E3DCEF" w14:textId="1808B57D" w:rsidR="002B2F05" w:rsidRDefault="00192066" w:rsidP="00903892">
      <w:pPr>
        <w:pStyle w:val="NoSpacing"/>
        <w:numPr>
          <w:ilvl w:val="0"/>
          <w:numId w:val="9"/>
        </w:numPr>
        <w:jc w:val="both"/>
        <w:rPr>
          <w:lang w:val="en-US"/>
        </w:rPr>
      </w:pPr>
      <w:r w:rsidRPr="00192066">
        <w:rPr>
          <w:lang w:val="en-US"/>
        </w:rPr>
        <w:t>carry out testing of wireless updating of the S-101 ENCs</w:t>
      </w:r>
      <w:r w:rsidR="002B2F05">
        <w:rPr>
          <w:lang w:val="en-US"/>
        </w:rPr>
        <w:t>;</w:t>
      </w:r>
      <w:r w:rsidRPr="00192066">
        <w:rPr>
          <w:lang w:val="en-US"/>
        </w:rPr>
        <w:t xml:space="preserve"> and </w:t>
      </w:r>
    </w:p>
    <w:p w14:paraId="1F421242" w14:textId="789F72EC" w:rsidR="00463A05" w:rsidRPr="00192066" w:rsidRDefault="00192066" w:rsidP="00903892">
      <w:pPr>
        <w:pStyle w:val="NoSpacing"/>
        <w:numPr>
          <w:ilvl w:val="0"/>
          <w:numId w:val="9"/>
        </w:numPr>
        <w:jc w:val="both"/>
        <w:rPr>
          <w:lang w:val="en-US"/>
        </w:rPr>
      </w:pPr>
      <w:r w:rsidRPr="00192066">
        <w:rPr>
          <w:lang w:val="en-US"/>
        </w:rPr>
        <w:t>applying the latest IHO standards at sea.</w:t>
      </w:r>
    </w:p>
    <w:p w14:paraId="0D62F1BB" w14:textId="77777777" w:rsidR="00192066" w:rsidRDefault="00192066" w:rsidP="00071BED">
      <w:pPr>
        <w:pStyle w:val="NoSpacing"/>
        <w:jc w:val="both"/>
        <w:rPr>
          <w:b/>
          <w:bCs/>
          <w:lang w:val="en-US"/>
        </w:rPr>
      </w:pPr>
    </w:p>
    <w:p w14:paraId="6F6B9EE7" w14:textId="6345C57B" w:rsidR="00760011" w:rsidRDefault="00760011" w:rsidP="00760011">
      <w:pPr>
        <w:pStyle w:val="NoSpacing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Potential Benefits </w:t>
      </w:r>
      <w:r w:rsidRPr="00760011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 xml:space="preserve">IHO, </w:t>
      </w:r>
      <w:r w:rsidRPr="00760011">
        <w:rPr>
          <w:b/>
          <w:bCs/>
          <w:lang w:val="en-US"/>
        </w:rPr>
        <w:t>Hydrographic Community and Shipping Industry</w:t>
      </w:r>
    </w:p>
    <w:p w14:paraId="0E93DFBC" w14:textId="77777777" w:rsidR="00760011" w:rsidRPr="00760011" w:rsidRDefault="00760011" w:rsidP="00760011">
      <w:pPr>
        <w:pStyle w:val="NoSpacing"/>
        <w:jc w:val="both"/>
        <w:rPr>
          <w:b/>
          <w:bCs/>
          <w:lang w:val="en-US"/>
        </w:rPr>
      </w:pPr>
    </w:p>
    <w:p w14:paraId="0EBBEE78" w14:textId="1DA978FD" w:rsidR="00760011" w:rsidRPr="00760011" w:rsidRDefault="00760011" w:rsidP="00760011">
      <w:pPr>
        <w:pStyle w:val="NoSpacing"/>
        <w:jc w:val="both"/>
        <w:rPr>
          <w:lang w:val="en-US"/>
        </w:rPr>
      </w:pPr>
      <w:r w:rsidRPr="00760011">
        <w:rPr>
          <w:lang w:val="en-US"/>
        </w:rPr>
        <w:t xml:space="preserve">The main impact of the proposed demonstration would be to highlight IHO’s commitment to IMO and IEC in providing ENCs for S-100 ECDIS along major shipping routes before 1 January 2026. </w:t>
      </w:r>
    </w:p>
    <w:p w14:paraId="737BDA35" w14:textId="77777777" w:rsidR="00760011" w:rsidRDefault="00760011" w:rsidP="00760011">
      <w:pPr>
        <w:pStyle w:val="NoSpacing"/>
        <w:jc w:val="both"/>
        <w:rPr>
          <w:lang w:val="en-US"/>
        </w:rPr>
      </w:pPr>
    </w:p>
    <w:p w14:paraId="5AB83075" w14:textId="21273BBA" w:rsidR="00760011" w:rsidRDefault="00760011" w:rsidP="00760011">
      <w:pPr>
        <w:pStyle w:val="NoSpacing"/>
        <w:jc w:val="both"/>
        <w:rPr>
          <w:lang w:val="en-US"/>
        </w:rPr>
      </w:pPr>
      <w:r w:rsidRPr="00760011">
        <w:rPr>
          <w:lang w:val="en-US"/>
        </w:rPr>
        <w:t xml:space="preserve">The proposal will clearly show the high-level cooperation among the stakeholders </w:t>
      </w:r>
      <w:proofErr w:type="spellStart"/>
      <w:r w:rsidRPr="00760011">
        <w:rPr>
          <w:lang w:val="en-US"/>
        </w:rPr>
        <w:t>eg.</w:t>
      </w:r>
      <w:proofErr w:type="spellEnd"/>
      <w:r w:rsidRPr="00760011">
        <w:rPr>
          <w:lang w:val="en-US"/>
        </w:rPr>
        <w:t xml:space="preserve"> IHO Member States, RENCs and OEM</w:t>
      </w:r>
      <w:r w:rsidR="002B2F05">
        <w:rPr>
          <w:lang w:val="en-US"/>
        </w:rPr>
        <w:t>s</w:t>
      </w:r>
      <w:r w:rsidRPr="00760011">
        <w:rPr>
          <w:lang w:val="en-US"/>
        </w:rPr>
        <w:t xml:space="preserve"> working together towards a common goal of providing official ENCs covering major shipping routes. </w:t>
      </w:r>
    </w:p>
    <w:p w14:paraId="0B8998B2" w14:textId="77777777" w:rsidR="00760011" w:rsidRPr="00760011" w:rsidRDefault="00760011" w:rsidP="00760011">
      <w:pPr>
        <w:pStyle w:val="NoSpacing"/>
        <w:jc w:val="both"/>
        <w:rPr>
          <w:lang w:val="en-US"/>
        </w:rPr>
      </w:pPr>
    </w:p>
    <w:p w14:paraId="6727E18D" w14:textId="6A47DF37" w:rsidR="00760011" w:rsidRDefault="00760011" w:rsidP="00760011">
      <w:pPr>
        <w:pStyle w:val="NoSpacing"/>
        <w:jc w:val="both"/>
        <w:rPr>
          <w:lang w:val="en-US"/>
        </w:rPr>
      </w:pPr>
      <w:r w:rsidRPr="00760011">
        <w:rPr>
          <w:lang w:val="en-US"/>
        </w:rPr>
        <w:lastRenderedPageBreak/>
        <w:t>Besides providing both</w:t>
      </w:r>
      <w:r w:rsidR="002B2F05">
        <w:rPr>
          <w:lang w:val="en-US"/>
        </w:rPr>
        <w:t xml:space="preserve"> versions of</w:t>
      </w:r>
      <w:r w:rsidRPr="00760011">
        <w:rPr>
          <w:lang w:val="en-US"/>
        </w:rPr>
        <w:t xml:space="preserve"> ENCs, the pr</w:t>
      </w:r>
      <w:r w:rsidR="002B2F05">
        <w:rPr>
          <w:lang w:val="en-US"/>
        </w:rPr>
        <w:t>oject</w:t>
      </w:r>
      <w:r w:rsidRPr="00760011">
        <w:rPr>
          <w:lang w:val="en-US"/>
        </w:rPr>
        <w:t xml:space="preserve"> will also carry out wireless updating of the ENCs and IHO standards at sea. The updating will be done using the S-100 ECDIS provided by the OEM and Research Institute.</w:t>
      </w:r>
    </w:p>
    <w:p w14:paraId="5EAF39ED" w14:textId="77777777" w:rsidR="00760011" w:rsidRPr="00760011" w:rsidRDefault="00760011" w:rsidP="00760011">
      <w:pPr>
        <w:pStyle w:val="NoSpacing"/>
        <w:jc w:val="both"/>
        <w:rPr>
          <w:lang w:val="en-US"/>
        </w:rPr>
      </w:pPr>
    </w:p>
    <w:p w14:paraId="4301BC57" w14:textId="624B2F59" w:rsidR="00760011" w:rsidRPr="00760011" w:rsidRDefault="00760011" w:rsidP="00760011">
      <w:pPr>
        <w:pStyle w:val="NoSpacing"/>
        <w:jc w:val="both"/>
        <w:rPr>
          <w:lang w:val="en-US"/>
        </w:rPr>
      </w:pPr>
      <w:r w:rsidRPr="00760011">
        <w:rPr>
          <w:lang w:val="en-US"/>
        </w:rPr>
        <w:t>Main beneficiaries would be the shipping community for safer navigation and other use</w:t>
      </w:r>
      <w:r w:rsidR="002B2F05">
        <w:rPr>
          <w:lang w:val="en-US"/>
        </w:rPr>
        <w:t>r</w:t>
      </w:r>
      <w:r w:rsidRPr="00760011">
        <w:rPr>
          <w:lang w:val="en-US"/>
        </w:rPr>
        <w:t>s of the ENCs.</w:t>
      </w:r>
    </w:p>
    <w:p w14:paraId="752BE564" w14:textId="5D165958" w:rsidR="00760011" w:rsidRPr="00760011" w:rsidRDefault="00760011" w:rsidP="00071BED">
      <w:pPr>
        <w:pStyle w:val="NoSpacing"/>
        <w:jc w:val="both"/>
        <w:rPr>
          <w:lang w:val="en-US"/>
        </w:rPr>
      </w:pPr>
    </w:p>
    <w:p w14:paraId="2C84041F" w14:textId="442CFFED" w:rsidR="00815A15" w:rsidRPr="00886D85" w:rsidRDefault="00886D85" w:rsidP="00071BED">
      <w:pPr>
        <w:pStyle w:val="NoSpacing"/>
        <w:jc w:val="both"/>
        <w:rPr>
          <w:b/>
          <w:bCs/>
          <w:lang w:val="en-US"/>
        </w:rPr>
      </w:pPr>
      <w:r w:rsidRPr="00886D85">
        <w:rPr>
          <w:b/>
          <w:bCs/>
          <w:lang w:val="en-US"/>
        </w:rPr>
        <w:t>Project timeline</w:t>
      </w:r>
    </w:p>
    <w:p w14:paraId="617B8181" w14:textId="77777777" w:rsidR="00192066" w:rsidRDefault="00192066" w:rsidP="00071BED">
      <w:pPr>
        <w:pStyle w:val="NoSpacing"/>
        <w:jc w:val="both"/>
        <w:rPr>
          <w:lang w:val="en-US"/>
        </w:rPr>
      </w:pPr>
    </w:p>
    <w:p w14:paraId="621D8BD0" w14:textId="6E38CDCF" w:rsidR="00886D85" w:rsidRDefault="00760011" w:rsidP="00071BED">
      <w:pPr>
        <w:pStyle w:val="NoSpacing"/>
        <w:jc w:val="both"/>
        <w:rPr>
          <w:lang w:val="en-US"/>
        </w:rPr>
      </w:pPr>
      <w:r>
        <w:rPr>
          <w:lang w:val="en-US"/>
        </w:rPr>
        <w:t xml:space="preserve">Phase 1 - </w:t>
      </w:r>
      <w:r w:rsidR="00886D85">
        <w:rPr>
          <w:lang w:val="en-US"/>
        </w:rPr>
        <w:t>12-18 months</w:t>
      </w:r>
      <w:r>
        <w:rPr>
          <w:lang w:val="en-US"/>
        </w:rPr>
        <w:t xml:space="preserve"> to </w:t>
      </w:r>
      <w:r w:rsidR="00886D85">
        <w:rPr>
          <w:lang w:val="en-US"/>
        </w:rPr>
        <w:t>commence</w:t>
      </w:r>
      <w:r>
        <w:rPr>
          <w:lang w:val="en-US"/>
        </w:rPr>
        <w:t xml:space="preserve"> </w:t>
      </w:r>
      <w:r w:rsidR="00886D85">
        <w:rPr>
          <w:lang w:val="en-US"/>
        </w:rPr>
        <w:t>in Q1</w:t>
      </w:r>
      <w:r w:rsidR="00192066">
        <w:rPr>
          <w:lang w:val="en-US"/>
        </w:rPr>
        <w:t xml:space="preserve">/Q2 of </w:t>
      </w:r>
      <w:r w:rsidR="00886D85">
        <w:rPr>
          <w:lang w:val="en-US"/>
        </w:rPr>
        <w:t>2024.</w:t>
      </w:r>
      <w:r w:rsidR="009E24A3">
        <w:rPr>
          <w:lang w:val="en-US"/>
        </w:rPr>
        <w:t xml:space="preserve"> Phase 2 to commence </w:t>
      </w:r>
      <w:r w:rsidR="00192066">
        <w:rPr>
          <w:lang w:val="en-US"/>
        </w:rPr>
        <w:t xml:space="preserve">after </w:t>
      </w:r>
      <w:r w:rsidR="009E24A3">
        <w:rPr>
          <w:lang w:val="en-US"/>
        </w:rPr>
        <w:t>Q2</w:t>
      </w:r>
      <w:r w:rsidR="00192066">
        <w:rPr>
          <w:lang w:val="en-US"/>
        </w:rPr>
        <w:t xml:space="preserve"> of </w:t>
      </w:r>
      <w:r w:rsidR="009E24A3">
        <w:rPr>
          <w:lang w:val="en-US"/>
        </w:rPr>
        <w:t>2024.</w:t>
      </w:r>
    </w:p>
    <w:p w14:paraId="10671811" w14:textId="77777777" w:rsidR="00886D85" w:rsidRDefault="00886D85" w:rsidP="00071BED">
      <w:pPr>
        <w:pStyle w:val="NoSpacing"/>
        <w:jc w:val="both"/>
        <w:rPr>
          <w:lang w:val="en-US"/>
        </w:rPr>
      </w:pPr>
    </w:p>
    <w:p w14:paraId="50460DF7" w14:textId="77777777" w:rsidR="00760011" w:rsidRPr="00760011" w:rsidRDefault="00760011" w:rsidP="00760011">
      <w:pPr>
        <w:pStyle w:val="NoSpacing"/>
        <w:jc w:val="both"/>
        <w:rPr>
          <w:b/>
          <w:bCs/>
          <w:lang w:val="en-US"/>
        </w:rPr>
      </w:pPr>
      <w:r w:rsidRPr="00760011">
        <w:rPr>
          <w:b/>
          <w:bCs/>
          <w:lang w:val="en-US"/>
        </w:rPr>
        <w:t>Project risk assessment and mitigation plan</w:t>
      </w:r>
    </w:p>
    <w:p w14:paraId="2A929F90" w14:textId="77777777" w:rsidR="00760011" w:rsidRPr="00760011" w:rsidRDefault="00760011" w:rsidP="00760011">
      <w:pPr>
        <w:pStyle w:val="NoSpacing"/>
        <w:jc w:val="both"/>
        <w:rPr>
          <w:lang w:val="en-US"/>
        </w:rPr>
      </w:pPr>
    </w:p>
    <w:p w14:paraId="56002131" w14:textId="2715AE60" w:rsidR="00760011" w:rsidRPr="00760011" w:rsidRDefault="00760011" w:rsidP="00760011">
      <w:pPr>
        <w:pStyle w:val="NoSpacing"/>
        <w:jc w:val="both"/>
        <w:rPr>
          <w:lang w:val="en-US"/>
        </w:rPr>
      </w:pPr>
      <w:r w:rsidRPr="00760011">
        <w:rPr>
          <w:lang w:val="en-US"/>
        </w:rPr>
        <w:t>Low risks.</w:t>
      </w:r>
      <w:r w:rsidR="00756B3D">
        <w:rPr>
          <w:lang w:val="en-US"/>
        </w:rPr>
        <w:t xml:space="preserve"> Project results will be shared and discussed with the Lab SC and participating organizations before making them public.</w:t>
      </w:r>
    </w:p>
    <w:p w14:paraId="5E063262" w14:textId="77777777" w:rsidR="00760011" w:rsidRPr="00760011" w:rsidRDefault="00760011" w:rsidP="00760011">
      <w:pPr>
        <w:pStyle w:val="NoSpacing"/>
        <w:jc w:val="both"/>
        <w:rPr>
          <w:lang w:val="en-US"/>
        </w:rPr>
      </w:pPr>
    </w:p>
    <w:p w14:paraId="2EC7D4C9" w14:textId="77777777" w:rsidR="00760011" w:rsidRPr="00760011" w:rsidRDefault="00760011" w:rsidP="00760011">
      <w:pPr>
        <w:pStyle w:val="NoSpacing"/>
        <w:jc w:val="both"/>
        <w:rPr>
          <w:b/>
          <w:bCs/>
          <w:lang w:val="en-US"/>
        </w:rPr>
      </w:pPr>
      <w:r w:rsidRPr="00760011">
        <w:rPr>
          <w:b/>
          <w:bCs/>
          <w:lang w:val="en-US"/>
        </w:rPr>
        <w:t xml:space="preserve">Brief description of the Intellectual Property (IP) arrangements to facilitate eventual </w:t>
      </w:r>
      <w:proofErr w:type="spellStart"/>
      <w:r w:rsidRPr="00760011">
        <w:rPr>
          <w:b/>
          <w:bCs/>
          <w:lang w:val="en-US"/>
        </w:rPr>
        <w:t>commercialisation</w:t>
      </w:r>
      <w:proofErr w:type="spellEnd"/>
      <w:r w:rsidRPr="00760011">
        <w:rPr>
          <w:b/>
          <w:bCs/>
          <w:lang w:val="en-US"/>
        </w:rPr>
        <w:t xml:space="preserve"> of the project IP developed.</w:t>
      </w:r>
    </w:p>
    <w:p w14:paraId="433AEE2C" w14:textId="77777777" w:rsidR="00760011" w:rsidRPr="00760011" w:rsidRDefault="00760011" w:rsidP="00760011">
      <w:pPr>
        <w:pStyle w:val="NoSpacing"/>
        <w:jc w:val="both"/>
        <w:rPr>
          <w:lang w:val="en-US"/>
        </w:rPr>
      </w:pPr>
    </w:p>
    <w:p w14:paraId="0D20AE3B" w14:textId="46CFEEF1" w:rsidR="00463A05" w:rsidRDefault="00760011" w:rsidP="00760011">
      <w:pPr>
        <w:pStyle w:val="NoSpacing"/>
        <w:jc w:val="both"/>
        <w:rPr>
          <w:lang w:val="en-US"/>
        </w:rPr>
      </w:pPr>
      <w:r w:rsidRPr="00760011">
        <w:rPr>
          <w:lang w:val="en-US"/>
        </w:rPr>
        <w:t>None.</w:t>
      </w:r>
    </w:p>
    <w:p w14:paraId="6EC6A427" w14:textId="77777777" w:rsidR="00760011" w:rsidRPr="00A115D7" w:rsidRDefault="00760011" w:rsidP="00760011">
      <w:pPr>
        <w:pStyle w:val="NoSpacing"/>
        <w:jc w:val="both"/>
        <w:rPr>
          <w:lang w:val="en-US"/>
        </w:rPr>
      </w:pPr>
    </w:p>
    <w:p w14:paraId="6354E97D" w14:textId="31C88B55" w:rsidR="006A718D" w:rsidRPr="00E15FAD" w:rsidRDefault="00F83C75" w:rsidP="00071BED">
      <w:pPr>
        <w:pStyle w:val="NoSpacing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Proposed Technical and </w:t>
      </w:r>
      <w:r w:rsidR="006A718D" w:rsidRPr="00E15FAD">
        <w:rPr>
          <w:b/>
          <w:bCs/>
          <w:lang w:val="en-US"/>
        </w:rPr>
        <w:t>Funding Support</w:t>
      </w:r>
    </w:p>
    <w:p w14:paraId="0FA5FBF5" w14:textId="77777777" w:rsidR="0047710F" w:rsidRDefault="0047710F" w:rsidP="00071BED">
      <w:pPr>
        <w:pStyle w:val="NoSpacing"/>
        <w:jc w:val="both"/>
        <w:rPr>
          <w:lang w:val="en-US"/>
        </w:rPr>
      </w:pPr>
    </w:p>
    <w:p w14:paraId="5F115159" w14:textId="3FDA3977" w:rsidR="006A718D" w:rsidRDefault="00192066" w:rsidP="00071BED">
      <w:pPr>
        <w:pStyle w:val="NoSpacing"/>
        <w:jc w:val="both"/>
        <w:rPr>
          <w:lang w:val="en-US"/>
        </w:rPr>
      </w:pPr>
      <w:r>
        <w:rPr>
          <w:lang w:val="en-US"/>
        </w:rPr>
        <w:t xml:space="preserve">Potential </w:t>
      </w:r>
      <w:r w:rsidR="006A718D" w:rsidRPr="00A115D7">
        <w:rPr>
          <w:lang w:val="en-US"/>
        </w:rPr>
        <w:t xml:space="preserve">Participating agencies </w:t>
      </w:r>
      <w:r>
        <w:rPr>
          <w:lang w:val="en-US"/>
        </w:rPr>
        <w:t xml:space="preserve">to </w:t>
      </w:r>
      <w:r w:rsidR="006A718D" w:rsidRPr="00A115D7">
        <w:rPr>
          <w:lang w:val="en-US"/>
        </w:rPr>
        <w:t xml:space="preserve">support </w:t>
      </w:r>
      <w:r>
        <w:rPr>
          <w:lang w:val="en-US"/>
        </w:rPr>
        <w:t xml:space="preserve">the </w:t>
      </w:r>
      <w:r w:rsidR="00F83C75">
        <w:rPr>
          <w:lang w:val="en-US"/>
        </w:rPr>
        <w:t xml:space="preserve">project </w:t>
      </w:r>
      <w:r>
        <w:rPr>
          <w:lang w:val="en-US"/>
        </w:rPr>
        <w:t>proposal are</w:t>
      </w:r>
      <w:r w:rsidR="0047710F">
        <w:rPr>
          <w:lang w:val="en-US"/>
        </w:rPr>
        <w:t>:</w:t>
      </w:r>
    </w:p>
    <w:p w14:paraId="1098BA8B" w14:textId="77777777" w:rsidR="0047710F" w:rsidRPr="00A115D7" w:rsidRDefault="0047710F" w:rsidP="00071BED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31"/>
      </w:tblGrid>
      <w:tr w:rsidR="00E15FAD" w14:paraId="6719582D" w14:textId="77777777" w:rsidTr="00815A15">
        <w:tc>
          <w:tcPr>
            <w:tcW w:w="3685" w:type="dxa"/>
          </w:tcPr>
          <w:p w14:paraId="7415526F" w14:textId="5DB640D3" w:rsidR="00E15FAD" w:rsidRDefault="00192066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Hydrographic Offices of Indonesia, </w:t>
            </w:r>
            <w:proofErr w:type="gramStart"/>
            <w:r>
              <w:rPr>
                <w:lang w:val="en-US"/>
              </w:rPr>
              <w:t>Malaysia</w:t>
            </w:r>
            <w:proofErr w:type="gramEnd"/>
            <w:r>
              <w:rPr>
                <w:lang w:val="en-US"/>
              </w:rPr>
              <w:t xml:space="preserve"> and Singapore</w:t>
            </w:r>
          </w:p>
        </w:tc>
        <w:tc>
          <w:tcPr>
            <w:tcW w:w="5331" w:type="dxa"/>
          </w:tcPr>
          <w:p w14:paraId="2A9B5751" w14:textId="686008E9" w:rsidR="00E15FAD" w:rsidRDefault="00192066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To carry out</w:t>
            </w:r>
            <w:r w:rsidR="00815A15">
              <w:rPr>
                <w:lang w:val="en-US"/>
              </w:rPr>
              <w:t xml:space="preserve"> production and validation of MSS-ENC</w:t>
            </w:r>
            <w:r>
              <w:rPr>
                <w:lang w:val="en-US"/>
              </w:rPr>
              <w:t>s</w:t>
            </w:r>
            <w:r w:rsidR="00815A15">
              <w:rPr>
                <w:lang w:val="en-US"/>
              </w:rPr>
              <w:t xml:space="preserve"> for this project</w:t>
            </w:r>
            <w:r w:rsidR="00F83C75">
              <w:rPr>
                <w:lang w:val="en-US"/>
              </w:rPr>
              <w:t>, and possibly ships for sea trials.</w:t>
            </w:r>
          </w:p>
          <w:p w14:paraId="71085106" w14:textId="51300689" w:rsidR="00815A15" w:rsidRDefault="00815A15" w:rsidP="00071BED">
            <w:pPr>
              <w:pStyle w:val="NoSpacing"/>
              <w:jc w:val="both"/>
              <w:rPr>
                <w:lang w:val="en-US"/>
              </w:rPr>
            </w:pPr>
          </w:p>
        </w:tc>
      </w:tr>
      <w:tr w:rsidR="00E15FAD" w14:paraId="35F0E362" w14:textId="77777777" w:rsidTr="00815A15">
        <w:tc>
          <w:tcPr>
            <w:tcW w:w="3685" w:type="dxa"/>
          </w:tcPr>
          <w:p w14:paraId="5258A012" w14:textId="1A98E641" w:rsidR="00E15FAD" w:rsidRDefault="00E15FAD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RENC</w:t>
            </w:r>
            <w:r w:rsidR="0047710F">
              <w:rPr>
                <w:lang w:val="en-US"/>
              </w:rPr>
              <w:t xml:space="preserve"> (PRIMAR, IC-ENC)</w:t>
            </w:r>
          </w:p>
        </w:tc>
        <w:tc>
          <w:tcPr>
            <w:tcW w:w="5331" w:type="dxa"/>
          </w:tcPr>
          <w:p w14:paraId="2D01B7B2" w14:textId="0C5C53FB" w:rsidR="00E15FAD" w:rsidRDefault="00192066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provide S-57 and S-101 ENCs outside the coverage of </w:t>
            </w:r>
            <w:r w:rsidR="00815A15">
              <w:rPr>
                <w:lang w:val="en-US"/>
              </w:rPr>
              <w:t>MSS-ENC</w:t>
            </w:r>
            <w:r w:rsidR="00F83C75">
              <w:rPr>
                <w:lang w:val="en-US"/>
              </w:rPr>
              <w:t>.</w:t>
            </w:r>
          </w:p>
        </w:tc>
      </w:tr>
      <w:tr w:rsidR="00E15FAD" w14:paraId="488C19AF" w14:textId="77777777" w:rsidTr="00815A15">
        <w:tc>
          <w:tcPr>
            <w:tcW w:w="3685" w:type="dxa"/>
          </w:tcPr>
          <w:p w14:paraId="754FF785" w14:textId="5934167F" w:rsidR="00E15FAD" w:rsidRDefault="00E15FAD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Korea</w:t>
            </w:r>
            <w:r>
              <w:t xml:space="preserve"> </w:t>
            </w:r>
            <w:r w:rsidRPr="00A43CBA">
              <w:rPr>
                <w:lang w:val="en-US"/>
              </w:rPr>
              <w:t>Research Institute of Ships &amp; Ocean Engineering</w:t>
            </w:r>
            <w:r>
              <w:rPr>
                <w:lang w:val="en-US"/>
              </w:rPr>
              <w:t xml:space="preserve"> (KRISO)</w:t>
            </w:r>
            <w:r w:rsidR="00F83C75">
              <w:rPr>
                <w:lang w:val="en-US"/>
              </w:rPr>
              <w:t xml:space="preserve"> and 7Cs</w:t>
            </w:r>
          </w:p>
        </w:tc>
        <w:tc>
          <w:tcPr>
            <w:tcW w:w="5331" w:type="dxa"/>
          </w:tcPr>
          <w:p w14:paraId="50365EC6" w14:textId="77777777" w:rsidR="00E15FAD" w:rsidRDefault="00E15FAD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S-100 ECDIS (Software and Hardware)</w:t>
            </w:r>
          </w:p>
          <w:p w14:paraId="17D7B01D" w14:textId="68D1A937" w:rsidR="00815A15" w:rsidRDefault="00815A15" w:rsidP="00071BED">
            <w:pPr>
              <w:pStyle w:val="NoSpacing"/>
              <w:jc w:val="both"/>
              <w:rPr>
                <w:lang w:val="en-US"/>
              </w:rPr>
            </w:pPr>
          </w:p>
        </w:tc>
      </w:tr>
      <w:tr w:rsidR="00E15FAD" w14:paraId="12508FF5" w14:textId="77777777" w:rsidTr="00815A15">
        <w:tc>
          <w:tcPr>
            <w:tcW w:w="3685" w:type="dxa"/>
          </w:tcPr>
          <w:p w14:paraId="41C21D8D" w14:textId="37BE7CE9" w:rsidR="00E15FAD" w:rsidRDefault="00E15FAD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Italian Navy</w:t>
            </w:r>
          </w:p>
        </w:tc>
        <w:tc>
          <w:tcPr>
            <w:tcW w:w="5331" w:type="dxa"/>
          </w:tcPr>
          <w:p w14:paraId="4EF46EEE" w14:textId="4A20AF96" w:rsidR="00E15FAD" w:rsidRDefault="00E15FAD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Vessel for sea demonstration</w:t>
            </w:r>
            <w:r w:rsidR="00F83C75">
              <w:rPr>
                <w:lang w:val="en-US"/>
              </w:rPr>
              <w:t>.</w:t>
            </w:r>
          </w:p>
        </w:tc>
      </w:tr>
      <w:tr w:rsidR="00E15FAD" w14:paraId="33E951B4" w14:textId="77777777" w:rsidTr="00815A15">
        <w:tc>
          <w:tcPr>
            <w:tcW w:w="3685" w:type="dxa"/>
          </w:tcPr>
          <w:p w14:paraId="37AF6845" w14:textId="7265B9CC" w:rsidR="00E15FAD" w:rsidRDefault="00E15FAD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IHO-SG Lab</w:t>
            </w:r>
          </w:p>
        </w:tc>
        <w:tc>
          <w:tcPr>
            <w:tcW w:w="5331" w:type="dxa"/>
          </w:tcPr>
          <w:p w14:paraId="4395CE21" w14:textId="7B5A1691" w:rsidR="00E15FAD" w:rsidRDefault="00E15FAD" w:rsidP="00071BE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Coordinate </w:t>
            </w:r>
            <w:r w:rsidR="00815A15">
              <w:rPr>
                <w:lang w:val="en-US"/>
              </w:rPr>
              <w:t xml:space="preserve">among various HOs/entities </w:t>
            </w:r>
            <w:r>
              <w:rPr>
                <w:lang w:val="en-US"/>
              </w:rPr>
              <w:t xml:space="preserve">and provide S-57 and S-101 ENCs covering demonstration </w:t>
            </w:r>
            <w:r w:rsidR="00F83C75">
              <w:rPr>
                <w:lang w:val="en-US"/>
              </w:rPr>
              <w:t>areas.</w:t>
            </w:r>
          </w:p>
          <w:p w14:paraId="5F3FF6BB" w14:textId="77777777" w:rsidR="00E15FAD" w:rsidRDefault="00E15FAD" w:rsidP="00071BED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1F4F73A4" w14:textId="49ABF392" w:rsidR="00120BE4" w:rsidRPr="006A718D" w:rsidRDefault="00120BE4" w:rsidP="00071BED">
      <w:pPr>
        <w:pStyle w:val="NoSpacin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120BE4" w:rsidRPr="006A7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8AE4" w14:textId="77777777" w:rsidR="00B13478" w:rsidRDefault="00B13478" w:rsidP="000358BC">
      <w:pPr>
        <w:spacing w:after="0" w:line="240" w:lineRule="auto"/>
      </w:pPr>
      <w:r>
        <w:separator/>
      </w:r>
    </w:p>
  </w:endnote>
  <w:endnote w:type="continuationSeparator" w:id="0">
    <w:p w14:paraId="168876EE" w14:textId="77777777" w:rsidR="00B13478" w:rsidRDefault="00B13478" w:rsidP="0003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5D56" w14:textId="77777777" w:rsidR="00B13478" w:rsidRDefault="00B13478" w:rsidP="000358BC">
      <w:pPr>
        <w:spacing w:after="0" w:line="240" w:lineRule="auto"/>
      </w:pPr>
      <w:r>
        <w:separator/>
      </w:r>
    </w:p>
  </w:footnote>
  <w:footnote w:type="continuationSeparator" w:id="0">
    <w:p w14:paraId="47A3F40B" w14:textId="77777777" w:rsidR="00B13478" w:rsidRDefault="00B13478" w:rsidP="0003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46"/>
    <w:multiLevelType w:val="hybridMultilevel"/>
    <w:tmpl w:val="A6AED1BC"/>
    <w:lvl w:ilvl="0" w:tplc="52B43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59C5"/>
    <w:multiLevelType w:val="hybridMultilevel"/>
    <w:tmpl w:val="D1BCD448"/>
    <w:lvl w:ilvl="0" w:tplc="E768297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B61A31"/>
    <w:multiLevelType w:val="hybridMultilevel"/>
    <w:tmpl w:val="369C5D6C"/>
    <w:lvl w:ilvl="0" w:tplc="503A50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E61"/>
    <w:multiLevelType w:val="hybridMultilevel"/>
    <w:tmpl w:val="68585602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E706299"/>
    <w:multiLevelType w:val="hybridMultilevel"/>
    <w:tmpl w:val="9C70E91E"/>
    <w:lvl w:ilvl="0" w:tplc="B6E61A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622CB9"/>
    <w:multiLevelType w:val="hybridMultilevel"/>
    <w:tmpl w:val="4DC4C9FC"/>
    <w:lvl w:ilvl="0" w:tplc="B86A3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BD6"/>
    <w:multiLevelType w:val="hybridMultilevel"/>
    <w:tmpl w:val="6A06C1F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7229"/>
    <w:multiLevelType w:val="hybridMultilevel"/>
    <w:tmpl w:val="0470B1D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1106C"/>
    <w:multiLevelType w:val="hybridMultilevel"/>
    <w:tmpl w:val="3544BADC"/>
    <w:lvl w:ilvl="0" w:tplc="C690264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A06ED8"/>
    <w:multiLevelType w:val="hybridMultilevel"/>
    <w:tmpl w:val="DC08A410"/>
    <w:lvl w:ilvl="0" w:tplc="BEEAA8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7919">
    <w:abstractNumId w:val="5"/>
  </w:num>
  <w:num w:numId="2" w16cid:durableId="1299532866">
    <w:abstractNumId w:val="0"/>
  </w:num>
  <w:num w:numId="3" w16cid:durableId="927034310">
    <w:abstractNumId w:val="8"/>
  </w:num>
  <w:num w:numId="4" w16cid:durableId="1661957185">
    <w:abstractNumId w:val="1"/>
  </w:num>
  <w:num w:numId="5" w16cid:durableId="705448587">
    <w:abstractNumId w:val="3"/>
  </w:num>
  <w:num w:numId="6" w16cid:durableId="743920221">
    <w:abstractNumId w:val="6"/>
  </w:num>
  <w:num w:numId="7" w16cid:durableId="781144999">
    <w:abstractNumId w:val="2"/>
  </w:num>
  <w:num w:numId="8" w16cid:durableId="1743261509">
    <w:abstractNumId w:val="9"/>
  </w:num>
  <w:num w:numId="9" w16cid:durableId="98113051">
    <w:abstractNumId w:val="7"/>
  </w:num>
  <w:num w:numId="10" w16cid:durableId="30300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B4"/>
    <w:rsid w:val="00015542"/>
    <w:rsid w:val="000358BC"/>
    <w:rsid w:val="00053BCA"/>
    <w:rsid w:val="00060559"/>
    <w:rsid w:val="00071BED"/>
    <w:rsid w:val="000D6067"/>
    <w:rsid w:val="000F1A89"/>
    <w:rsid w:val="00120BE4"/>
    <w:rsid w:val="00192066"/>
    <w:rsid w:val="001F38BF"/>
    <w:rsid w:val="002415F1"/>
    <w:rsid w:val="00262CE5"/>
    <w:rsid w:val="00280562"/>
    <w:rsid w:val="002B2F05"/>
    <w:rsid w:val="002D75CA"/>
    <w:rsid w:val="003643F4"/>
    <w:rsid w:val="003A0E25"/>
    <w:rsid w:val="00410B04"/>
    <w:rsid w:val="00463636"/>
    <w:rsid w:val="00463A05"/>
    <w:rsid w:val="0047710F"/>
    <w:rsid w:val="0048158C"/>
    <w:rsid w:val="004A098C"/>
    <w:rsid w:val="004D170B"/>
    <w:rsid w:val="004E14F6"/>
    <w:rsid w:val="00600902"/>
    <w:rsid w:val="006124CC"/>
    <w:rsid w:val="00646AF7"/>
    <w:rsid w:val="006A718D"/>
    <w:rsid w:val="006B4EF0"/>
    <w:rsid w:val="00705766"/>
    <w:rsid w:val="00714BDB"/>
    <w:rsid w:val="00756B3D"/>
    <w:rsid w:val="00760011"/>
    <w:rsid w:val="00815A15"/>
    <w:rsid w:val="00857628"/>
    <w:rsid w:val="00886D85"/>
    <w:rsid w:val="008A29B4"/>
    <w:rsid w:val="00945AD4"/>
    <w:rsid w:val="00946E93"/>
    <w:rsid w:val="009E24A3"/>
    <w:rsid w:val="009F5956"/>
    <w:rsid w:val="00A115D7"/>
    <w:rsid w:val="00A43CBA"/>
    <w:rsid w:val="00B13478"/>
    <w:rsid w:val="00B23D8A"/>
    <w:rsid w:val="00B35AD0"/>
    <w:rsid w:val="00B41D1F"/>
    <w:rsid w:val="00BD436F"/>
    <w:rsid w:val="00C0325B"/>
    <w:rsid w:val="00CD6923"/>
    <w:rsid w:val="00CF1272"/>
    <w:rsid w:val="00D36BD4"/>
    <w:rsid w:val="00D401C6"/>
    <w:rsid w:val="00D97F1F"/>
    <w:rsid w:val="00DD2840"/>
    <w:rsid w:val="00DF0424"/>
    <w:rsid w:val="00E15FAD"/>
    <w:rsid w:val="00E41C9F"/>
    <w:rsid w:val="00E74167"/>
    <w:rsid w:val="00E74F67"/>
    <w:rsid w:val="00EB23E6"/>
    <w:rsid w:val="00F2038F"/>
    <w:rsid w:val="00F44EC5"/>
    <w:rsid w:val="00F66A32"/>
    <w:rsid w:val="00F83C75"/>
    <w:rsid w:val="00FA1E85"/>
    <w:rsid w:val="00FB30E2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48B78"/>
  <w15:chartTrackingRefBased/>
  <w15:docId w15:val="{F2C467BC-2F9F-4C13-B551-68C547DB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E2"/>
    <w:pPr>
      <w:ind w:left="720"/>
      <w:contextualSpacing/>
    </w:pPr>
  </w:style>
  <w:style w:type="paragraph" w:styleId="Revision">
    <w:name w:val="Revision"/>
    <w:hidden/>
    <w:uiPriority w:val="99"/>
    <w:semiHidden/>
    <w:rsid w:val="00946E93"/>
    <w:pPr>
      <w:spacing w:after="0" w:line="240" w:lineRule="auto"/>
    </w:pPr>
  </w:style>
  <w:style w:type="table" w:styleId="TableGrid">
    <w:name w:val="Table Grid"/>
    <w:basedOn w:val="TableNormal"/>
    <w:uiPriority w:val="39"/>
    <w:rsid w:val="00A4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OEI (MPA)</dc:creator>
  <cp:keywords/>
  <dc:description/>
  <cp:lastModifiedBy>Parry OEI (MPA)</cp:lastModifiedBy>
  <cp:revision>2</cp:revision>
  <dcterms:created xsi:type="dcterms:W3CDTF">2024-01-09T23:10:00Z</dcterms:created>
  <dcterms:modified xsi:type="dcterms:W3CDTF">2024-01-09T23:10:00Z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2022-09-26T05:56:02Z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af4c9a88-c516-42d7-9d78-bc368aeb813b</vt:lpwstr>
  </property>
  <property fmtid="{D5CDD505-2E9C-101B-9397-08002B2CF9AE}" pid="8" name="MSIP_Label_5434c4c7-833e-41e4-b0ab-cdb227a2f6f7_ContentBits">
    <vt:lpwstr>0</vt:lpwstr>
  </property>
</Properties>
</file>