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01" w:rsidRDefault="00F664A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Paper for Consideration by SCUFN-35.2</w:t>
      </w:r>
    </w:p>
    <w:p w:rsidR="00920801" w:rsidRDefault="00920801">
      <w:pPr>
        <w:jc w:val="center"/>
        <w:rPr>
          <w:rFonts w:ascii="Arial" w:hAnsi="Arial" w:cs="Arial"/>
          <w:b/>
          <w:bCs/>
          <w:sz w:val="24"/>
        </w:rPr>
      </w:pPr>
    </w:p>
    <w:p w:rsidR="00920801" w:rsidRDefault="00F664AD">
      <w:pPr>
        <w:spacing w:line="400" w:lineRule="exact"/>
        <w:jc w:val="center"/>
        <w:rPr>
          <w:rFonts w:ascii="Arial" w:eastAsia="等线" w:hAnsi="Arial" w:cs="Arial"/>
          <w:b/>
          <w:bCs/>
          <w:sz w:val="24"/>
          <w:lang w:eastAsia="zh-CN"/>
        </w:rPr>
      </w:pPr>
      <w:r>
        <w:rPr>
          <w:rFonts w:ascii="Arial" w:eastAsia="等线" w:hAnsi="Arial" w:cs="Arial"/>
          <w:b/>
          <w:bCs/>
          <w:sz w:val="24"/>
          <w:lang w:eastAsia="zh-CN"/>
        </w:rPr>
        <w:t>Requirements and Procedures</w:t>
      </w:r>
      <w:r>
        <w:rPr>
          <w:rFonts w:ascii="Arial" w:eastAsia="等线" w:hAnsi="Arial" w:cs="Arial" w:hint="eastAsia"/>
          <w:b/>
          <w:bCs/>
          <w:sz w:val="24"/>
          <w:lang w:eastAsia="zh-CN"/>
        </w:rPr>
        <w:t xml:space="preserve"> </w:t>
      </w:r>
      <w:r>
        <w:rPr>
          <w:rFonts w:ascii="Arial" w:eastAsia="等线" w:hAnsi="Arial" w:cs="Arial"/>
          <w:b/>
          <w:bCs/>
          <w:sz w:val="24"/>
          <w:lang w:eastAsia="zh-CN"/>
        </w:rPr>
        <w:t>on Assessing the Evidences Provided by National Authorities</w:t>
      </w:r>
      <w:r>
        <w:rPr>
          <w:rStyle w:val="FootnoteReference"/>
          <w:rFonts w:ascii="Arial" w:eastAsia="等线" w:hAnsi="Arial" w:cs="Arial"/>
          <w:b/>
          <w:bCs/>
          <w:sz w:val="24"/>
          <w:lang w:eastAsia="zh-CN"/>
        </w:rPr>
        <w:footnoteReference w:id="1"/>
      </w:r>
    </w:p>
    <w:p w:rsidR="00920801" w:rsidRDefault="00F664AD">
      <w:pPr>
        <w:tabs>
          <w:tab w:val="left" w:pos="2694"/>
          <w:tab w:val="left" w:pos="2835"/>
        </w:tabs>
        <w:ind w:leftChars="1147" w:left="24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905500" cy="1980565"/>
                <wp:effectExtent l="4445" t="4445" r="8255" b="889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20801" w:rsidRDefault="00F664AD">
                            <w:pPr>
                              <w:tabs>
                                <w:tab w:val="left" w:pos="1722"/>
                              </w:tabs>
                              <w:spacing w:line="360" w:lineRule="auto"/>
                              <w:jc w:val="left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 xml:space="preserve">Submitted by: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ab/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Sihai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Li</w:t>
                            </w:r>
                          </w:p>
                          <w:p w:rsidR="00920801" w:rsidRDefault="00F664AD">
                            <w:pPr>
                              <w:tabs>
                                <w:tab w:val="left" w:pos="2282"/>
                              </w:tabs>
                              <w:spacing w:line="360" w:lineRule="auto"/>
                              <w:ind w:left="2409" w:hangingChars="1000" w:hanging="2409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Executive Summary: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This proposal puts forward the requirements and procedures of the Sub-Group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on assessing the evidences on previously naming the undersea features provided by national authorities</w:t>
                            </w:r>
                            <w:r>
                              <w:rPr>
                                <w:rFonts w:ascii="等线" w:eastAsia="等线" w:hAnsi="等线" w:cs="Times New Roman" w:hint="eastAsia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</w:p>
                          <w:p w:rsidR="00920801" w:rsidRDefault="00F664AD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ind w:left="2419" w:hangingChars="1004" w:hanging="2419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Related Documents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/>
                                <w:iCs/>
                                <w:sz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i/>
                                <w:iCs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Standardization of Undersea Feature Names (B-6), Edition 4.2.0 - October 2019, IHO/IOC.</w:t>
                            </w:r>
                          </w:p>
                          <w:p w:rsidR="00920801" w:rsidRDefault="00F664AD">
                            <w:pPr>
                              <w:tabs>
                                <w:tab w:val="left" w:pos="2694"/>
                                <w:tab w:val="left" w:pos="2835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Related Projects: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The decision/action of SCUFN 35.1/167d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top:17.85pt;height:155.95pt;width:465pt;mso-position-horizontal:lef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2jhMDWAAAABwEAAA8AAAAAAAAAAQAgAAAAIgAAAGRycy9k&#10;b3ducmV2LnhtbFBLAQIUABQAAAAIAIdO4kCTwe3JPQIAAH4EAAAOAAAAAAAAAAEAIAAAACU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722"/>
                        </w:tabs>
                        <w:spacing w:line="360" w:lineRule="auto"/>
                        <w:jc w:val="left"/>
                        <w:rPr>
                          <w:rFonts w:hint="eastAsia" w:ascii="Times New Roman" w:hAnsi="Times New Roman" w:eastAsia="宋体" w:cs="Times New Roman"/>
                          <w:b/>
                          <w:bCs/>
                          <w:sz w:val="24"/>
                          <w:lang w:val="en-US" w:eastAsia="zh-C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</w:rPr>
                        <w:t xml:space="preserve">Submitted by: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Sihai Li</w:t>
                      </w:r>
                    </w:p>
                    <w:p>
                      <w:pPr>
                        <w:tabs>
                          <w:tab w:val="left" w:pos="2282"/>
                        </w:tabs>
                        <w:spacing w:line="360" w:lineRule="auto"/>
                        <w:ind w:left="2354" w:hanging="2401" w:hangingChars="100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</w:rPr>
                        <w:t>Executive Summary: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This proposal puts forward the requirements and procedures of the Sub-Group on assessing the evidences on previously naming the undersea features provided by national authorities</w:t>
                      </w:r>
                      <w:r>
                        <w:rPr>
                          <w:rFonts w:hint="eastAsia" w:ascii="等线" w:hAnsi="等线" w:eastAsia="等线" w:cs="Times New Roman"/>
                          <w:sz w:val="22"/>
                          <w:szCs w:val="22"/>
                          <w:lang w:eastAsia="zh-CN"/>
                        </w:rPr>
                        <w:t>.</w:t>
                      </w:r>
                    </w:p>
                    <w:p>
                      <w:pPr>
                        <w:tabs>
                          <w:tab w:val="left" w:pos="0"/>
                        </w:tabs>
                        <w:spacing w:line="360" w:lineRule="auto"/>
                        <w:ind w:left="2364" w:hanging="2411" w:hangingChars="100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</w:rPr>
                        <w:t>Related Documents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lang w:eastAsia="zh-CN"/>
                        </w:rPr>
                        <w:t xml:space="preserve">：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Standardization of Undersea Feature Names (B-6), Edition 4.2.0 - October 2019, IHO/IOC.</w:t>
                      </w:r>
                    </w:p>
                    <w:p>
                      <w:pPr>
                        <w:tabs>
                          <w:tab w:val="left" w:pos="2694"/>
                          <w:tab w:val="left" w:pos="2835"/>
                        </w:tabs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</w:rPr>
                        <w:t>Related Projects: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The decision/action of SCUFN 35.1/167d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801" w:rsidRDefault="00920801">
      <w:pPr>
        <w:tabs>
          <w:tab w:val="left" w:pos="2694"/>
          <w:tab w:val="left" w:pos="2835"/>
        </w:tabs>
        <w:ind w:leftChars="1147" w:left="2409"/>
        <w:rPr>
          <w:rFonts w:ascii="Times New Roman" w:hAnsi="Times New Roman" w:cs="Times New Roman"/>
          <w:b/>
          <w:bCs/>
          <w:sz w:val="24"/>
        </w:rPr>
      </w:pPr>
    </w:p>
    <w:p w:rsidR="00920801" w:rsidRDefault="00F664AD">
      <w:pPr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Introduction/Background</w:t>
      </w:r>
    </w:p>
    <w:p w:rsidR="00920801" w:rsidRDefault="00920801">
      <w:pPr>
        <w:jc w:val="left"/>
        <w:rPr>
          <w:rFonts w:ascii="Times New Roman" w:hAnsi="Times New Roman" w:cs="Times New Roman"/>
          <w:sz w:val="24"/>
        </w:rPr>
      </w:pPr>
    </w:p>
    <w:p w:rsidR="00920801" w:rsidRDefault="00F664AD">
      <w:pPr>
        <w:pStyle w:val="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SCUFN 35.1 meeting, SCUFN noted the information provided by SCUFN Member</w:t>
      </w:r>
      <w:r>
        <w:rPr>
          <w:rFonts w:ascii="Times New Roman" w:eastAsia="SimSun" w:hAnsi="Times New Roman" w:cs="Times New Roman" w:hint="eastAsia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lang w:eastAsia="zh-Hans"/>
        </w:rPr>
        <w:t>Sihai</w:t>
      </w:r>
      <w:proofErr w:type="spellEnd"/>
      <w:r>
        <w:rPr>
          <w:rFonts w:ascii="Times New Roman" w:hAnsi="Times New Roman" w:cs="Times New Roman"/>
          <w:sz w:val="24"/>
        </w:rPr>
        <w:t xml:space="preserve"> Li</w:t>
      </w:r>
      <w:r>
        <w:rPr>
          <w:rFonts w:ascii="Times New Roman" w:eastAsia="SimSun" w:hAnsi="Times New Roman" w:cs="Times New Roman" w:hint="eastAsia"/>
          <w:sz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sz w:val="24"/>
          <w:lang w:eastAsia="zh-Hans"/>
        </w:rPr>
        <w:t>that</w:t>
      </w:r>
      <w:r>
        <w:rPr>
          <w:rFonts w:ascii="Times New Roman" w:hAnsi="Times New Roman" w:cs="Times New Roman"/>
          <w:sz w:val="24"/>
        </w:rPr>
        <w:t xml:space="preserve"> most of features named by Vietnam, Malaysia and Philippine in </w:t>
      </w:r>
      <w:r>
        <w:rPr>
          <w:rFonts w:ascii="Times New Roman" w:hAnsi="Times New Roman" w:cs="Times New Roman" w:hint="eastAsia"/>
          <w:sz w:val="24"/>
          <w:lang w:eastAsia="zh-Hans"/>
        </w:rPr>
        <w:t>the</w:t>
      </w:r>
      <w:r>
        <w:rPr>
          <w:rFonts w:ascii="Times New Roman" w:hAnsi="Times New Roman" w:cs="Times New Roman"/>
          <w:sz w:val="24"/>
          <w:lang w:eastAsia="zh-Han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South China Sea </w:t>
      </w:r>
      <w:proofErr w:type="gramStart"/>
      <w:r>
        <w:rPr>
          <w:rFonts w:ascii="Times New Roman" w:hAnsi="Times New Roman" w:cs="Times New Roman"/>
          <w:sz w:val="24"/>
        </w:rPr>
        <w:t>have</w:t>
      </w:r>
      <w:proofErr w:type="gramEnd"/>
      <w:r>
        <w:rPr>
          <w:rFonts w:ascii="Times New Roman" w:hAnsi="Times New Roman" w:cs="Times New Roman"/>
          <w:sz w:val="24"/>
        </w:rPr>
        <w:t xml:space="preserve"> already</w:t>
      </w:r>
      <w:r>
        <w:rPr>
          <w:rFonts w:ascii="Times New Roman" w:hAnsi="Times New Roman" w:cs="Times New Roman"/>
          <w:sz w:val="24"/>
        </w:rPr>
        <w:t xml:space="preserve"> been p</w:t>
      </w:r>
      <w:r>
        <w:rPr>
          <w:rFonts w:ascii="Times New Roman" w:hAnsi="Times New Roman" w:cs="Times New Roman" w:hint="eastAsia"/>
          <w:sz w:val="24"/>
        </w:rPr>
        <w:t>r</w:t>
      </w:r>
      <w:r>
        <w:rPr>
          <w:rFonts w:ascii="Times New Roman" w:hAnsi="Times New Roman" w:cs="Times New Roman" w:hint="eastAsia"/>
          <w:sz w:val="24"/>
          <w:lang w:eastAsia="zh-CN"/>
        </w:rPr>
        <w:t>e</w:t>
      </w:r>
      <w:r>
        <w:rPr>
          <w:rFonts w:ascii="Times New Roman" w:hAnsi="Times New Roman" w:cs="Times New Roman" w:hint="eastAsia"/>
          <w:sz w:val="24"/>
        </w:rPr>
        <w:t>viously</w:t>
      </w:r>
      <w:r>
        <w:rPr>
          <w:rFonts w:ascii="Times New Roman" w:hAnsi="Times New Roman" w:cs="Times New Roman"/>
          <w:sz w:val="24"/>
        </w:rPr>
        <w:t xml:space="preserve"> named officially by China. With reference to B-6, clause I.D, SCUFN agreed to create a sub-working group, the SCUFN Sub-group B-6 I.D, to assess the evidence provided by national naming authorities on this matter. Chinese naming authority </w:t>
      </w:r>
      <w:r>
        <w:rPr>
          <w:rFonts w:ascii="Times New Roman" w:hAnsi="Times New Roman" w:cs="Times New Roman"/>
          <w:sz w:val="24"/>
        </w:rPr>
        <w:t xml:space="preserve">(CCUFN) provided series of evidences during SCUFN 35.1 meeting at SCUFN’s request. </w:t>
      </w:r>
    </w:p>
    <w:p w:rsidR="00920801" w:rsidRDefault="00F664AD">
      <w:pPr>
        <w:pStyle w:val="1"/>
        <w:spacing w:line="360" w:lineRule="auto"/>
        <w:ind w:leftChars="171" w:left="35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decisions and actions from SCUFN-35.1 about the Sub-Group are: </w:t>
      </w:r>
    </w:p>
    <w:p w:rsidR="00920801" w:rsidRDefault="00F664AD">
      <w:pPr>
        <w:pStyle w:val="1"/>
        <w:widowControl/>
        <w:numPr>
          <w:ilvl w:val="0"/>
          <w:numId w:val="2"/>
        </w:numPr>
        <w:spacing w:after="160" w:line="360" w:lineRule="auto"/>
        <w:ind w:leftChars="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Noting the information provided by SCUFN Member Li by which most of these features have already been </w:t>
      </w:r>
      <w:r>
        <w:rPr>
          <w:rFonts w:ascii="Times New Roman" w:hAnsi="Times New Roman" w:cs="Times New Roman"/>
          <w:i/>
        </w:rPr>
        <w:t>named (with reference to B-6, clause I.D), SCUFN agreed to create a sub-working group, the SCUFN Sub-group B-6 I.D, to assess the evidence provided by national naming authorities on this matter. (End of March)</w:t>
      </w:r>
    </w:p>
    <w:p w:rsidR="00920801" w:rsidRDefault="00F664AD">
      <w:pPr>
        <w:pStyle w:val="1"/>
        <w:widowControl/>
        <w:numPr>
          <w:ilvl w:val="0"/>
          <w:numId w:val="2"/>
        </w:numPr>
        <w:spacing w:after="160" w:line="360" w:lineRule="auto"/>
        <w:ind w:leftChars="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SCUFN Sub-group B-6 I.D co-led by SCUFN Member</w:t>
      </w:r>
      <w:r>
        <w:rPr>
          <w:rFonts w:ascii="Times New Roman" w:hAnsi="Times New Roman" w:cs="Times New Roman"/>
          <w:i/>
        </w:rPr>
        <w:t>s Li and Said to set up this group. (15 May)</w:t>
      </w:r>
    </w:p>
    <w:p w:rsidR="00920801" w:rsidRDefault="00F664AD">
      <w:pPr>
        <w:pStyle w:val="1"/>
        <w:widowControl/>
        <w:numPr>
          <w:ilvl w:val="0"/>
          <w:numId w:val="2"/>
        </w:numPr>
        <w:spacing w:after="160" w:line="360" w:lineRule="auto"/>
        <w:ind w:leftChars="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SCUFN Sub-group B-6 I.D to submit by correspondence their TORs, objectives, assessment rules, deliverables (still to be defined, to SCUFN Members for endorsement.) (15 June)</w:t>
      </w:r>
    </w:p>
    <w:p w:rsidR="00920801" w:rsidRDefault="00F664AD">
      <w:pPr>
        <w:pStyle w:val="1"/>
        <w:widowControl/>
        <w:numPr>
          <w:ilvl w:val="0"/>
          <w:numId w:val="2"/>
        </w:numPr>
        <w:spacing w:after="160" w:line="360" w:lineRule="auto"/>
        <w:ind w:leftChars="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SCUFN Sub-group B-6 I.D to provide th</w:t>
      </w:r>
      <w:r>
        <w:rPr>
          <w:rFonts w:ascii="Times New Roman" w:hAnsi="Times New Roman" w:cs="Times New Roman"/>
          <w:i/>
        </w:rPr>
        <w:t>eir review outcome to SCUFN Secretary for consideration at SCUFN35.2 (15 Sept, 60 days before)</w:t>
      </w:r>
    </w:p>
    <w:p w:rsidR="00920801" w:rsidRDefault="00920801">
      <w:pPr>
        <w:pStyle w:val="1"/>
        <w:widowControl/>
        <w:spacing w:after="160" w:line="259" w:lineRule="auto"/>
        <w:ind w:leftChars="0" w:left="720"/>
        <w:contextualSpacing/>
        <w:rPr>
          <w:rFonts w:ascii="Times New Roman" w:hAnsi="Times New Roman" w:cs="Times New Roman"/>
          <w:i/>
        </w:rPr>
      </w:pPr>
    </w:p>
    <w:p w:rsidR="00920801" w:rsidRDefault="00F664AD">
      <w:pPr>
        <w:pStyle w:val="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rules and guidelines based on which the Sub-group works:</w:t>
      </w:r>
    </w:p>
    <w:p w:rsidR="00920801" w:rsidRDefault="00920801">
      <w:pPr>
        <w:pStyle w:val="1"/>
        <w:rPr>
          <w:rFonts w:ascii="Times New Roman" w:hAnsi="Times New Roman" w:cs="Times New Roman"/>
          <w:sz w:val="24"/>
        </w:rPr>
      </w:pPr>
    </w:p>
    <w:p w:rsidR="00920801" w:rsidRDefault="00F664AD">
      <w:pPr>
        <w:pStyle w:val="1"/>
        <w:widowControl/>
        <w:numPr>
          <w:ilvl w:val="0"/>
          <w:numId w:val="2"/>
        </w:numPr>
        <w:spacing w:line="360" w:lineRule="auto"/>
        <w:ind w:leftChars="0" w:left="1062" w:hanging="642"/>
        <w:contextualSpacing/>
        <w:rPr>
          <w:rFonts w:ascii="Times New Roman Italic" w:hAnsi="Times New Roman Italic" w:cs="Times New Roman Italic"/>
          <w:i/>
          <w:iCs/>
          <w:szCs w:val="21"/>
        </w:rPr>
      </w:pPr>
      <w:r>
        <w:rPr>
          <w:rFonts w:ascii="Times New Roman Italic" w:hAnsi="Times New Roman Italic" w:cs="Times New Roman Italic"/>
          <w:i/>
          <w:iCs/>
          <w:szCs w:val="21"/>
        </w:rPr>
        <w:t xml:space="preserve">The Sub-Committee shall select undersea feature names from: </w:t>
      </w:r>
    </w:p>
    <w:p w:rsidR="00920801" w:rsidRDefault="00F664AD">
      <w:pPr>
        <w:pStyle w:val="NormalWeb"/>
        <w:widowControl/>
        <w:numPr>
          <w:ilvl w:val="0"/>
          <w:numId w:val="3"/>
        </w:numPr>
        <w:spacing w:beforeAutospacing="0" w:afterAutospacing="0" w:line="360" w:lineRule="auto"/>
        <w:ind w:left="1265"/>
        <w:jc w:val="both"/>
        <w:rPr>
          <w:rFonts w:ascii="Times New Roman Italic" w:hAnsi="Times New Roman Italic" w:cs="Times New Roman Italic"/>
          <w:i/>
          <w:iCs/>
          <w:sz w:val="21"/>
          <w:szCs w:val="21"/>
        </w:rPr>
      </w:pPr>
      <w:r>
        <w:rPr>
          <w:rFonts w:ascii="Times New Roman Italic" w:hAnsi="Times New Roman Italic" w:cs="Times New Roman Italic"/>
          <w:i/>
          <w:iCs/>
          <w:sz w:val="21"/>
          <w:szCs w:val="21"/>
        </w:rPr>
        <w:t>names provided by national authoritie</w:t>
      </w:r>
      <w:r>
        <w:rPr>
          <w:rFonts w:ascii="Times New Roman Italic" w:hAnsi="Times New Roman Italic" w:cs="Times New Roman Italic"/>
          <w:i/>
          <w:iCs/>
          <w:sz w:val="21"/>
          <w:szCs w:val="21"/>
        </w:rPr>
        <w:t xml:space="preserve">s and international organizations concerned with nomenclature; </w:t>
      </w:r>
    </w:p>
    <w:p w:rsidR="00920801" w:rsidRDefault="00F664AD">
      <w:pPr>
        <w:pStyle w:val="NormalWeb"/>
        <w:widowControl/>
        <w:numPr>
          <w:ilvl w:val="0"/>
          <w:numId w:val="3"/>
        </w:numPr>
        <w:spacing w:beforeAutospacing="0" w:afterAutospacing="0" w:line="360" w:lineRule="auto"/>
        <w:ind w:left="1265"/>
        <w:jc w:val="both"/>
        <w:rPr>
          <w:rFonts w:ascii="Times New Roman Italic" w:hAnsi="Times New Roman Italic" w:cs="Times New Roman Italic"/>
          <w:i/>
          <w:iCs/>
          <w:sz w:val="21"/>
          <w:szCs w:val="21"/>
        </w:rPr>
      </w:pPr>
      <w:r>
        <w:rPr>
          <w:rFonts w:ascii="Times New Roman Italic" w:hAnsi="Times New Roman Italic" w:cs="Times New Roman Italic"/>
          <w:i/>
          <w:iCs/>
          <w:sz w:val="21"/>
          <w:szCs w:val="21"/>
        </w:rPr>
        <w:t>names submitted to the Sub- Committee by individuals (with the exception of SCUFN members), agencies and organizations involved in marine research, hydrography,</w:t>
      </w:r>
      <w:r>
        <w:rPr>
          <w:rFonts w:ascii="Times New Roman Italic" w:eastAsia="SimSun" w:hAnsi="Times New Roman Italic" w:cs="Times New Roman Italic" w:hint="eastAsia"/>
          <w:i/>
          <w:iCs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i/>
          <w:iCs/>
          <w:sz w:val="21"/>
          <w:szCs w:val="21"/>
        </w:rPr>
        <w:t xml:space="preserve">etc.; </w:t>
      </w:r>
    </w:p>
    <w:p w:rsidR="00920801" w:rsidRDefault="00F664AD">
      <w:pPr>
        <w:pStyle w:val="NormalWeb"/>
        <w:widowControl/>
        <w:numPr>
          <w:ilvl w:val="0"/>
          <w:numId w:val="3"/>
        </w:numPr>
        <w:spacing w:beforeAutospacing="0" w:afterAutospacing="0" w:line="360" w:lineRule="auto"/>
        <w:ind w:left="1265"/>
        <w:jc w:val="both"/>
        <w:rPr>
          <w:rFonts w:ascii="Times New Roman Italic" w:hAnsi="Times New Roman Italic" w:cs="Times New Roman Italic"/>
          <w:i/>
          <w:iCs/>
          <w:sz w:val="21"/>
          <w:szCs w:val="21"/>
        </w:rPr>
      </w:pPr>
      <w:proofErr w:type="gramStart"/>
      <w:r>
        <w:rPr>
          <w:rFonts w:ascii="Times New Roman Italic" w:hAnsi="Times New Roman Italic" w:cs="Times New Roman Italic"/>
          <w:i/>
          <w:iCs/>
          <w:sz w:val="21"/>
          <w:szCs w:val="21"/>
        </w:rPr>
        <w:t>names</w:t>
      </w:r>
      <w:proofErr w:type="gramEnd"/>
      <w:r>
        <w:rPr>
          <w:rFonts w:ascii="Times New Roman Italic" w:hAnsi="Times New Roman Italic" w:cs="Times New Roman Italic"/>
          <w:i/>
          <w:iCs/>
          <w:sz w:val="21"/>
          <w:szCs w:val="21"/>
        </w:rPr>
        <w:t xml:space="preserve"> appearing in scien</w:t>
      </w:r>
      <w:r>
        <w:rPr>
          <w:rFonts w:ascii="Times New Roman Italic" w:hAnsi="Times New Roman Italic" w:cs="Times New Roman Italic"/>
          <w:i/>
          <w:iCs/>
          <w:sz w:val="21"/>
          <w:szCs w:val="21"/>
        </w:rPr>
        <w:t xml:space="preserve">tific publications or on appropriate charts and maps. </w:t>
      </w:r>
    </w:p>
    <w:p w:rsidR="00920801" w:rsidRDefault="00F664AD">
      <w:pPr>
        <w:pStyle w:val="1"/>
        <w:widowControl/>
        <w:numPr>
          <w:ilvl w:val="0"/>
          <w:numId w:val="3"/>
        </w:numPr>
        <w:spacing w:line="360" w:lineRule="auto"/>
        <w:ind w:left="1265"/>
        <w:contextualSpacing/>
        <w:rPr>
          <w:rFonts w:ascii="Times New Roman Italic" w:hAnsi="Times New Roman Italic" w:cs="Times New Roman Italic"/>
          <w:i/>
          <w:iCs/>
          <w:szCs w:val="21"/>
        </w:rPr>
      </w:pPr>
      <w:proofErr w:type="gramStart"/>
      <w:r>
        <w:rPr>
          <w:rFonts w:ascii="Times New Roman Italic" w:hAnsi="Times New Roman Italic" w:cs="Times New Roman Italic"/>
          <w:i/>
          <w:iCs/>
          <w:szCs w:val="21"/>
        </w:rPr>
        <w:t>names</w:t>
      </w:r>
      <w:proofErr w:type="gramEnd"/>
      <w:r>
        <w:rPr>
          <w:rFonts w:ascii="Times New Roman Italic" w:hAnsi="Times New Roman Italic" w:cs="Times New Roman Italic"/>
          <w:i/>
          <w:iCs/>
          <w:szCs w:val="21"/>
        </w:rPr>
        <w:t xml:space="preserve"> submitted to the Sub-Committee by the Chairpersons or Chief Editors of International Bathymetric Chart projects, in relation to the work on these projects. (B-6, </w:t>
      </w:r>
      <w:r>
        <w:rPr>
          <w:rFonts w:ascii="Times New Roman" w:hAnsi="Times New Roman" w:cs="Times New Roman"/>
          <w:i/>
        </w:rPr>
        <w:t xml:space="preserve">Ed. 4.2.0, Introduction 2 ii) </w:t>
      </w:r>
      <w:r>
        <w:rPr>
          <w:rFonts w:ascii="Times New Roman Italic" w:hAnsi="Times New Roman Italic" w:cs="Times New Roman Italic"/>
          <w:i/>
          <w:iCs/>
          <w:szCs w:val="21"/>
        </w:rPr>
        <w:t>).</w:t>
      </w:r>
    </w:p>
    <w:p w:rsidR="00920801" w:rsidRDefault="00F664AD">
      <w:pPr>
        <w:pStyle w:val="1"/>
        <w:widowControl/>
        <w:numPr>
          <w:ilvl w:val="0"/>
          <w:numId w:val="2"/>
        </w:numPr>
        <w:spacing w:after="160" w:line="360" w:lineRule="auto"/>
        <w:ind w:leftChars="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</w:rPr>
        <w:t>International concern for naming undersea features is limited to those features entirely or mainly (more than 50 %) outside the external limits of the territorial sea, not exceeding 12 nautical miles from the baselines, in agreement with the United Nation</w:t>
      </w:r>
      <w:r>
        <w:rPr>
          <w:rFonts w:ascii="Times New Roman" w:hAnsi="Times New Roman" w:cs="Times New Roman"/>
          <w:i/>
        </w:rPr>
        <w:t>s Convention on the Law of the Sea.” (B-6, Ed. 4.2.0, Section I.A).</w:t>
      </w:r>
    </w:p>
    <w:p w:rsidR="00920801" w:rsidRDefault="00F664AD">
      <w:pPr>
        <w:pStyle w:val="1"/>
        <w:widowControl/>
        <w:numPr>
          <w:ilvl w:val="0"/>
          <w:numId w:val="2"/>
        </w:numPr>
        <w:spacing w:after="160" w:line="360" w:lineRule="auto"/>
        <w:ind w:leftChars="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“Names approved by national authorities in waters beyond the territorial sea should be accepted by other States if the names have been applied in conformance with internationally accepted </w:t>
      </w:r>
      <w:r>
        <w:rPr>
          <w:rFonts w:ascii="Times New Roman" w:hAnsi="Times New Roman" w:cs="Times New Roman"/>
          <w:i/>
        </w:rPr>
        <w:t>principles. ….” (B-6, Ed. 4.2.0, Section I.D).</w:t>
      </w:r>
    </w:p>
    <w:p w:rsidR="00920801" w:rsidRDefault="00F664AD">
      <w:pPr>
        <w:pStyle w:val="1"/>
        <w:widowControl/>
        <w:numPr>
          <w:ilvl w:val="0"/>
          <w:numId w:val="2"/>
        </w:numPr>
        <w:spacing w:after="160" w:line="360" w:lineRule="auto"/>
        <w:ind w:leftChars="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“In the event of a conflict, the persons and/or authorities involved should resolve the matter. Where two names have been applied to the same feature, the older name generally should be accepted. ….” (B-6, Ed.</w:t>
      </w:r>
      <w:r>
        <w:rPr>
          <w:rFonts w:ascii="Times New Roman" w:hAnsi="Times New Roman" w:cs="Times New Roman"/>
          <w:i/>
        </w:rPr>
        <w:t xml:space="preserve"> 4.2.0, Section I.E).</w:t>
      </w:r>
    </w:p>
    <w:p w:rsidR="00920801" w:rsidRDefault="00920801">
      <w:pPr>
        <w:pStyle w:val="TableParagraph"/>
        <w:tabs>
          <w:tab w:val="left" w:pos="2190"/>
        </w:tabs>
        <w:spacing w:before="40" w:after="40"/>
        <w:ind w:right="71"/>
        <w:rPr>
          <w:rFonts w:eastAsiaTheme="minorEastAsia"/>
          <w:kern w:val="2"/>
          <w:sz w:val="24"/>
          <w:szCs w:val="24"/>
          <w:lang w:eastAsia="ja-JP" w:bidi="ar-SA"/>
        </w:rPr>
      </w:pPr>
    </w:p>
    <w:p w:rsidR="00920801" w:rsidRDefault="00F664AD">
      <w:pPr>
        <w:pStyle w:val="1"/>
        <w:numPr>
          <w:ilvl w:val="0"/>
          <w:numId w:val="1"/>
        </w:numPr>
        <w:spacing w:line="360" w:lineRule="auto"/>
        <w:ind w:leftChars="0" w:left="357" w:right="7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reference there are also such regulations in the Scientific Committee of Antarctic Research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(SCAR), Seen in “The International Principles and Procedures for Antarctic Place Name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SCAR report, N041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 xml:space="preserve">published by the scientific </w:t>
      </w:r>
      <w:r>
        <w:rPr>
          <w:rFonts w:ascii="Times New Roman" w:hAnsi="Times New Roman" w:cs="Times New Roman"/>
          <w:sz w:val="24"/>
        </w:rPr>
        <w:t>committee on Antarctic research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October, 2021</w:t>
      </w:r>
      <w:proofErr w:type="gramStart"/>
      <w:r>
        <w:rPr>
          <w:rFonts w:ascii="Times New Roman" w:hAnsi="Times New Roman" w:cs="Times New Roman"/>
          <w:sz w:val="24"/>
        </w:rPr>
        <w:t>. ”</w:t>
      </w:r>
      <w:proofErr w:type="gramEnd"/>
    </w:p>
    <w:p w:rsidR="00920801" w:rsidRDefault="00F664AD">
      <w:pPr>
        <w:pStyle w:val="1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i/>
        </w:rPr>
      </w:pPr>
      <w:r>
        <w:rPr>
          <w:sz w:val="24"/>
        </w:rPr>
        <w:t xml:space="preserve"> </w:t>
      </w:r>
      <w:r>
        <w:rPr>
          <w:rFonts w:ascii="Times New Roman" w:hAnsi="Times New Roman" w:cs="Times New Roman"/>
          <w:i/>
        </w:rPr>
        <w:t>“4. Principles and procedures for the use of existing Antarctic place names</w:t>
      </w:r>
      <w:r>
        <w:rPr>
          <w:rFonts w:ascii="Times New Roman" w:hAnsi="Times New Roman" w:cs="Times New Roman" w:hint="eastAsia"/>
          <w:i/>
          <w:lang w:eastAsia="zh-CN"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Where</w:t>
      </w:r>
      <w:proofErr w:type="gramEnd"/>
      <w:r>
        <w:rPr>
          <w:rFonts w:ascii="Times New Roman" w:hAnsi="Times New Roman" w:cs="Times New Roman"/>
          <w:i/>
        </w:rPr>
        <w:t xml:space="preserve"> there is more than one name assigned to a feature or place, the oldest name approved by a naming authority should be adopted</w:t>
      </w:r>
      <w:r>
        <w:rPr>
          <w:rFonts w:ascii="Times New Roman" w:hAnsi="Times New Roman" w:cs="Times New Roman"/>
          <w:i/>
        </w:rPr>
        <w:t xml:space="preserve">. If known, preference should be given to the originally approved name of a feature or place originally approved by a national naming authority.” </w:t>
      </w:r>
    </w:p>
    <w:p w:rsidR="00920801" w:rsidRDefault="00920801">
      <w:pPr>
        <w:pStyle w:val="1"/>
        <w:numPr>
          <w:ilvl w:val="255"/>
          <w:numId w:val="0"/>
        </w:numPr>
        <w:ind w:left="480"/>
        <w:rPr>
          <w:rFonts w:ascii="Times New Roman" w:hAnsi="Times New Roman" w:cs="Times New Roman"/>
          <w:sz w:val="24"/>
        </w:rPr>
      </w:pPr>
    </w:p>
    <w:p w:rsidR="00920801" w:rsidRDefault="00F664AD">
      <w:pPr>
        <w:pStyle w:val="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similar principle also appears in ACUF standardization, 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pproved by the U.S. Board on Geographic Names A</w:t>
      </w:r>
      <w:r>
        <w:rPr>
          <w:rFonts w:ascii="Times New Roman" w:hAnsi="Times New Roman" w:cs="Times New Roman"/>
          <w:sz w:val="24"/>
        </w:rPr>
        <w:t>dvisory Committee on Undersea Features 6 April, 1999:</w:t>
      </w:r>
    </w:p>
    <w:p w:rsidR="00920801" w:rsidRDefault="00F664AD">
      <w:pPr>
        <w:pStyle w:val="1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E. In the event of a conflict, the persons and agencies most directly involved should resolve the matter. Where two names have been applied to the same feature, the older name generally should be </w:t>
      </w:r>
      <w:r>
        <w:rPr>
          <w:rFonts w:ascii="Times New Roman" w:hAnsi="Times New Roman" w:cs="Times New Roman"/>
          <w:i/>
        </w:rPr>
        <w:lastRenderedPageBreak/>
        <w:t>accept</w:t>
      </w:r>
      <w:r>
        <w:rPr>
          <w:rFonts w:ascii="Times New Roman" w:hAnsi="Times New Roman" w:cs="Times New Roman"/>
          <w:i/>
        </w:rPr>
        <w:t xml:space="preserve">ed. </w:t>
      </w:r>
      <w:r>
        <w:rPr>
          <w:rFonts w:ascii="Times New Roman" w:hAnsi="Times New Roman" w:cs="Times New Roman"/>
          <w:i/>
          <w:lang w:eastAsia="zh-CN"/>
        </w:rPr>
        <w:t>…</w:t>
      </w:r>
    </w:p>
    <w:p w:rsidR="00920801" w:rsidRDefault="00920801">
      <w:pPr>
        <w:pStyle w:val="1"/>
        <w:spacing w:line="360" w:lineRule="auto"/>
        <w:ind w:leftChars="0" w:left="720"/>
        <w:rPr>
          <w:rFonts w:ascii="Times New Roman" w:hAnsi="Times New Roman" w:cs="Times New Roman"/>
          <w:i/>
        </w:rPr>
      </w:pPr>
    </w:p>
    <w:p w:rsidR="00920801" w:rsidRDefault="00F664AD">
      <w:pPr>
        <w:pStyle w:val="1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SCUFN only technically reviewed the proposals from Vietnam and Malaysia, and accepted the generic terms of some features. In the light of Decision SCUFN35.1/168 and SCUFN35.1/238, SCUFN Secretary will keep them pre-loaded in the GEBCO Gazetteer with</w:t>
      </w:r>
      <w:r>
        <w:rPr>
          <w:rFonts w:ascii="Times New Roman" w:hAnsi="Times New Roman" w:cs="Times New Roman"/>
          <w:sz w:val="24"/>
        </w:rPr>
        <w:t xml:space="preserve"> PENDING status with the intention to move those ACCEPTED to APPROVED status at the close of SCUFN35.2, if appropriate.</w:t>
      </w:r>
    </w:p>
    <w:p w:rsidR="00920801" w:rsidRDefault="00920801">
      <w:pPr>
        <w:jc w:val="left"/>
        <w:rPr>
          <w:rFonts w:ascii="Arial" w:eastAsia="等线" w:hAnsi="Arial" w:cs="Arial"/>
          <w:b/>
          <w:bCs/>
          <w:sz w:val="24"/>
          <w:lang w:eastAsia="zh-CN"/>
        </w:rPr>
      </w:pPr>
    </w:p>
    <w:p w:rsidR="00920801" w:rsidRDefault="00F664AD">
      <w:pPr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Analysis/Discussion</w:t>
      </w:r>
    </w:p>
    <w:p w:rsidR="00920801" w:rsidRDefault="00920801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920801" w:rsidRDefault="00F664AD">
      <w:pPr>
        <w:pStyle w:val="1"/>
        <w:numPr>
          <w:ilvl w:val="0"/>
          <w:numId w:val="1"/>
        </w:numPr>
        <w:spacing w:line="360" w:lineRule="auto"/>
        <w:ind w:leftChars="0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 xml:space="preserve">SCUFN emphasized it will review all name proposals outside one </w:t>
      </w:r>
      <w:r>
        <w:rPr>
          <w:rFonts w:ascii="Times New Roman" w:eastAsia="等线" w:hAnsi="Times New Roman" w:cs="Times New Roman" w:hint="eastAsia"/>
          <w:sz w:val="24"/>
          <w:lang w:eastAsia="zh-Hans"/>
        </w:rPr>
        <w:t>sta</w:t>
      </w:r>
      <w:r>
        <w:rPr>
          <w:rFonts w:ascii="Times New Roman" w:eastAsia="等线" w:hAnsi="Times New Roman" w:cs="Times New Roman"/>
          <w:sz w:val="24"/>
          <w:lang w:eastAsia="zh-Hans"/>
        </w:rPr>
        <w:t>te</w:t>
      </w:r>
      <w:r>
        <w:rPr>
          <w:rFonts w:ascii="Times New Roman" w:eastAsia="等线" w:hAnsi="Times New Roman" w:cs="Times New Roman"/>
          <w:sz w:val="24"/>
          <w:lang w:eastAsia="zh-CN"/>
        </w:rPr>
        <w:t xml:space="preserve">’s territorial sea according to B-6 in the </w:t>
      </w:r>
      <w:r>
        <w:rPr>
          <w:rFonts w:ascii="Times New Roman" w:eastAsia="等线" w:hAnsi="Times New Roman" w:cs="Times New Roman"/>
          <w:sz w:val="24"/>
          <w:lang w:eastAsia="zh-CN"/>
        </w:rPr>
        <w:t>SCUFN35.1 meeting.</w:t>
      </w:r>
    </w:p>
    <w:p w:rsidR="00920801" w:rsidRDefault="00920801">
      <w:pPr>
        <w:pStyle w:val="1"/>
        <w:spacing w:line="360" w:lineRule="auto"/>
        <w:ind w:leftChars="0" w:left="360"/>
        <w:rPr>
          <w:rFonts w:ascii="Times New Roman" w:eastAsia="等线" w:hAnsi="Times New Roman" w:cs="Times New Roman"/>
          <w:sz w:val="24"/>
          <w:lang w:eastAsia="zh-CN"/>
        </w:rPr>
      </w:pPr>
    </w:p>
    <w:p w:rsidR="00920801" w:rsidRDefault="00F664AD">
      <w:pPr>
        <w:pStyle w:val="1"/>
        <w:numPr>
          <w:ilvl w:val="0"/>
          <w:numId w:val="1"/>
        </w:numPr>
        <w:spacing w:line="360" w:lineRule="auto"/>
        <w:ind w:leftChars="0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>When an undersea feature outside the territorial sea of one state was named by two or more states, the older or oldest name generally should be accepted. While B-6 does not give the specific method and procedure on how to identify which</w:t>
      </w:r>
      <w:r>
        <w:rPr>
          <w:rFonts w:ascii="Times New Roman" w:eastAsia="等线" w:hAnsi="Times New Roman" w:cs="Times New Roman"/>
          <w:sz w:val="24"/>
          <w:lang w:eastAsia="zh-CN"/>
        </w:rPr>
        <w:t xml:space="preserve"> state named it first.</w:t>
      </w:r>
    </w:p>
    <w:p w:rsidR="00920801" w:rsidRDefault="00920801">
      <w:pPr>
        <w:pStyle w:val="1"/>
        <w:spacing w:line="360" w:lineRule="auto"/>
        <w:ind w:leftChars="0" w:left="360"/>
        <w:rPr>
          <w:rFonts w:ascii="Times New Roman" w:eastAsia="等线" w:hAnsi="Times New Roman" w:cs="Times New Roman"/>
          <w:sz w:val="24"/>
          <w:lang w:eastAsia="zh-CN"/>
        </w:rPr>
      </w:pPr>
    </w:p>
    <w:p w:rsidR="00920801" w:rsidRDefault="00F664AD">
      <w:pPr>
        <w:pStyle w:val="1"/>
        <w:numPr>
          <w:ilvl w:val="0"/>
          <w:numId w:val="1"/>
        </w:numPr>
        <w:spacing w:line="360" w:lineRule="auto"/>
        <w:ind w:leftChars="0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>The Terms of Reference and Rules of Procedure of the Sub-group is a refinement of relevant rules of B-6, which is responsible to formulate the standard procedures and to assess the evidences showing one undersea feature has been nam</w:t>
      </w:r>
      <w:r>
        <w:rPr>
          <w:rFonts w:ascii="Times New Roman" w:eastAsia="等线" w:hAnsi="Times New Roman" w:cs="Times New Roman"/>
          <w:sz w:val="24"/>
          <w:lang w:eastAsia="zh-CN"/>
        </w:rPr>
        <w:t>ed by other states before the name proposal is submitted to SCUFN.</w:t>
      </w:r>
    </w:p>
    <w:p w:rsidR="00920801" w:rsidRDefault="00920801">
      <w:pPr>
        <w:jc w:val="left"/>
        <w:rPr>
          <w:rFonts w:ascii="Arial" w:hAnsi="Arial" w:cs="Arial"/>
          <w:b/>
          <w:bCs/>
          <w:sz w:val="24"/>
        </w:rPr>
      </w:pPr>
    </w:p>
    <w:p w:rsidR="00920801" w:rsidRDefault="00F664AD">
      <w:pPr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Recommendations</w:t>
      </w:r>
    </w:p>
    <w:p w:rsidR="00920801" w:rsidRDefault="00920801">
      <w:pPr>
        <w:jc w:val="left"/>
        <w:rPr>
          <w:rFonts w:ascii="Arial" w:hAnsi="Arial" w:cs="Arial"/>
          <w:b/>
          <w:bCs/>
          <w:sz w:val="24"/>
        </w:rPr>
      </w:pPr>
    </w:p>
    <w:p w:rsidR="00920801" w:rsidRDefault="00F664AD">
      <w:pPr>
        <w:pStyle w:val="1"/>
        <w:numPr>
          <w:ilvl w:val="0"/>
          <w:numId w:val="1"/>
        </w:numPr>
        <w:spacing w:line="360" w:lineRule="auto"/>
        <w:ind w:leftChars="0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 xml:space="preserve">In order to assess the evidences, the evidence category should be clarified. </w:t>
      </w:r>
      <w:r>
        <w:rPr>
          <w:rFonts w:ascii="Times New Roman" w:eastAsia="等线" w:hAnsi="Times New Roman" w:cs="Times New Roman"/>
          <w:sz w:val="24"/>
          <w:lang w:eastAsia="zh-CN"/>
        </w:rPr>
        <w:t>The</w:t>
      </w:r>
      <w:r>
        <w:rPr>
          <w:rFonts w:ascii="Times New Roman" w:eastAsia="等线" w:hAnsi="Times New Roman" w:cs="Times New Roman"/>
          <w:sz w:val="24"/>
          <w:lang w:eastAsia="zh-CN"/>
        </w:rPr>
        <w:t xml:space="preserve"> </w:t>
      </w:r>
      <w:r>
        <w:rPr>
          <w:rFonts w:ascii="Times New Roman" w:eastAsia="等线" w:hAnsi="Times New Roman" w:cs="Times New Roman"/>
          <w:sz w:val="24"/>
          <w:lang w:eastAsia="zh-CN"/>
        </w:rPr>
        <w:t>fol</w:t>
      </w:r>
      <w:r>
        <w:rPr>
          <w:rFonts w:ascii="Times New Roman" w:eastAsia="等线" w:hAnsi="Times New Roman" w:cs="Times New Roman"/>
          <w:sz w:val="24"/>
          <w:lang w:eastAsia="zh-CN"/>
        </w:rPr>
        <w:t>lowing evidences provided by national authorities should be considered by SCUFN.</w:t>
      </w:r>
    </w:p>
    <w:p w:rsidR="00920801" w:rsidRDefault="00F664AD">
      <w:pPr>
        <w:pStyle w:val="1"/>
        <w:numPr>
          <w:ilvl w:val="0"/>
          <w:numId w:val="4"/>
        </w:numPr>
        <w:spacing w:line="360" w:lineRule="auto"/>
        <w:ind w:left="845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 xml:space="preserve">Official documents on undersea feature names issued by the national authorities; or </w:t>
      </w:r>
    </w:p>
    <w:p w:rsidR="00920801" w:rsidRDefault="00F664AD">
      <w:pPr>
        <w:pStyle w:val="1"/>
        <w:numPr>
          <w:ilvl w:val="0"/>
          <w:numId w:val="4"/>
        </w:numPr>
        <w:spacing w:line="360" w:lineRule="auto"/>
        <w:ind w:left="845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 w:hint="eastAsia"/>
          <w:sz w:val="24"/>
          <w:lang w:eastAsia="zh-CN"/>
        </w:rPr>
        <w:t xml:space="preserve">Availability </w:t>
      </w:r>
      <w:r>
        <w:rPr>
          <w:rFonts w:ascii="Times New Roman" w:eastAsia="等线" w:hAnsi="Times New Roman" w:cs="Times New Roman"/>
          <w:sz w:val="24"/>
          <w:lang w:eastAsia="zh-CN"/>
        </w:rPr>
        <w:t>in the public database from the national authorities; or</w:t>
      </w:r>
    </w:p>
    <w:p w:rsidR="00920801" w:rsidRDefault="00F664AD">
      <w:pPr>
        <w:pStyle w:val="1"/>
        <w:numPr>
          <w:ilvl w:val="0"/>
          <w:numId w:val="4"/>
        </w:numPr>
        <w:spacing w:line="360" w:lineRule="auto"/>
        <w:ind w:left="845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>Maps/charts/atlas published; or</w:t>
      </w:r>
    </w:p>
    <w:p w:rsidR="00920801" w:rsidRDefault="00F664AD">
      <w:pPr>
        <w:pStyle w:val="1"/>
        <w:numPr>
          <w:ilvl w:val="0"/>
          <w:numId w:val="4"/>
        </w:numPr>
        <w:spacing w:line="360" w:lineRule="auto"/>
        <w:ind w:left="845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>Scientific publications</w:t>
      </w:r>
      <w:r>
        <w:rPr>
          <w:rFonts w:ascii="Times New Roman" w:eastAsia="等线" w:hAnsi="Times New Roman" w:cs="Times New Roman"/>
          <w:sz w:val="24"/>
          <w:lang w:val="en" w:eastAsia="zh-CN"/>
        </w:rPr>
        <w:t>;</w:t>
      </w:r>
    </w:p>
    <w:p w:rsidR="00920801" w:rsidRDefault="00F664AD">
      <w:pPr>
        <w:pStyle w:val="1"/>
        <w:numPr>
          <w:ilvl w:val="0"/>
          <w:numId w:val="4"/>
        </w:numPr>
        <w:spacing w:line="360" w:lineRule="auto"/>
        <w:ind w:left="845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 xml:space="preserve">Other official </w:t>
      </w:r>
      <w:r>
        <w:rPr>
          <w:rFonts w:ascii="Times New Roman" w:eastAsia="等线" w:hAnsi="Times New Roman" w:cs="Times New Roman"/>
          <w:sz w:val="24"/>
          <w:lang w:eastAsia="zh-CN"/>
        </w:rPr>
        <w:t xml:space="preserve">or </w:t>
      </w:r>
      <w:r>
        <w:rPr>
          <w:rFonts w:ascii="Times New Roman" w:eastAsia="等线" w:hAnsi="Times New Roman" w:cs="Times New Roman"/>
          <w:sz w:val="24"/>
          <w:lang w:eastAsia="zh-CN"/>
        </w:rPr>
        <w:t>scientific</w:t>
      </w:r>
      <w:r>
        <w:rPr>
          <w:rFonts w:ascii="Times New Roman" w:eastAsia="等线" w:hAnsi="Times New Roman" w:cs="Times New Roman"/>
          <w:sz w:val="24"/>
          <w:lang w:eastAsia="zh-CN"/>
        </w:rPr>
        <w:t xml:space="preserve"> evidences</w:t>
      </w:r>
      <w:r>
        <w:rPr>
          <w:rFonts w:ascii="Times New Roman" w:eastAsia="等线" w:hAnsi="Times New Roman" w:cs="Times New Roman"/>
          <w:sz w:val="24"/>
          <w:lang w:eastAsia="zh-CN"/>
        </w:rPr>
        <w:t xml:space="preserve"> </w:t>
      </w:r>
      <w:r>
        <w:rPr>
          <w:rFonts w:ascii="Times New Roman" w:eastAsia="等线" w:hAnsi="Times New Roman" w:cs="Times New Roman"/>
          <w:sz w:val="24"/>
          <w:lang w:eastAsia="zh-CN"/>
        </w:rPr>
        <w:t xml:space="preserve">showing the undersea features have been named previously. </w:t>
      </w:r>
    </w:p>
    <w:p w:rsidR="00920801" w:rsidRDefault="00F664AD">
      <w:pPr>
        <w:ind w:left="360" w:firstLine="480"/>
        <w:jc w:val="left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</w:p>
    <w:p w:rsidR="00920801" w:rsidRDefault="00F664AD">
      <w:pPr>
        <w:pStyle w:val="1"/>
        <w:numPr>
          <w:ilvl w:val="0"/>
          <w:numId w:val="1"/>
        </w:numPr>
        <w:spacing w:line="360" w:lineRule="auto"/>
        <w:ind w:leftChars="0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 xml:space="preserve">Other requirements of the evidences </w:t>
      </w:r>
    </w:p>
    <w:p w:rsidR="00920801" w:rsidRDefault="00F664AD">
      <w:pPr>
        <w:numPr>
          <w:ilvl w:val="0"/>
          <w:numId w:val="5"/>
        </w:numPr>
        <w:spacing w:line="360" w:lineRule="auto"/>
        <w:ind w:left="845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 xml:space="preserve">The explanation in English language shall be attached on the occasion the non-English </w:t>
      </w:r>
      <w:r>
        <w:rPr>
          <w:rFonts w:ascii="Times New Roman" w:eastAsia="等线" w:hAnsi="Times New Roman" w:cs="Times New Roman"/>
          <w:sz w:val="24"/>
          <w:lang w:eastAsia="zh-CN"/>
        </w:rPr>
        <w:lastRenderedPageBreak/>
        <w:t>evidences are provided;</w:t>
      </w:r>
    </w:p>
    <w:p w:rsidR="00920801" w:rsidRDefault="00F664AD">
      <w:pPr>
        <w:numPr>
          <w:ilvl w:val="0"/>
          <w:numId w:val="5"/>
        </w:numPr>
        <w:spacing w:line="360" w:lineRule="auto"/>
        <w:ind w:left="845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>A written declaration made by the national auth</w:t>
      </w:r>
      <w:r>
        <w:rPr>
          <w:rFonts w:ascii="Times New Roman" w:eastAsia="等线" w:hAnsi="Times New Roman" w:cs="Times New Roman"/>
          <w:sz w:val="24"/>
          <w:lang w:eastAsia="zh-CN"/>
        </w:rPr>
        <w:t>orities shall be provided to guarantee the authenticity of the evidences and the attached explanations.</w:t>
      </w:r>
    </w:p>
    <w:p w:rsidR="00920801" w:rsidRDefault="00920801">
      <w:pPr>
        <w:ind w:firstLineChars="150" w:firstLine="360"/>
        <w:jc w:val="left"/>
        <w:rPr>
          <w:rFonts w:ascii="Arial" w:eastAsia="等线" w:hAnsi="Arial" w:cs="Arial"/>
          <w:sz w:val="24"/>
          <w:lang w:eastAsia="zh-CN"/>
        </w:rPr>
      </w:pPr>
    </w:p>
    <w:p w:rsidR="00920801" w:rsidRDefault="00F664AD">
      <w:pPr>
        <w:pStyle w:val="1"/>
        <w:numPr>
          <w:ilvl w:val="0"/>
          <w:numId w:val="1"/>
        </w:numPr>
        <w:spacing w:line="360" w:lineRule="auto"/>
        <w:ind w:leftChars="0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 xml:space="preserve">Procedure of the </w:t>
      </w:r>
      <w:r>
        <w:rPr>
          <w:rFonts w:ascii="Times New Roman" w:eastAsia="等线" w:hAnsi="Times New Roman" w:cs="Times New Roman" w:hint="eastAsia"/>
          <w:sz w:val="24"/>
          <w:lang w:eastAsia="zh-CN"/>
        </w:rPr>
        <w:t>a</w:t>
      </w:r>
      <w:r>
        <w:rPr>
          <w:rFonts w:ascii="Times New Roman" w:eastAsia="等线" w:hAnsi="Times New Roman" w:cs="Times New Roman"/>
          <w:sz w:val="24"/>
          <w:lang w:eastAsia="zh-CN"/>
        </w:rPr>
        <w:t>ssessment</w:t>
      </w:r>
    </w:p>
    <w:p w:rsidR="00920801" w:rsidRDefault="00F664AD">
      <w:pPr>
        <w:spacing w:line="360" w:lineRule="auto"/>
        <w:ind w:leftChars="150" w:left="315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>The Sub-group shall work primarily by written correspondence and apply the following procedures:</w:t>
      </w:r>
    </w:p>
    <w:p w:rsidR="00920801" w:rsidRDefault="00F664AD">
      <w:pPr>
        <w:numPr>
          <w:ilvl w:val="0"/>
          <w:numId w:val="6"/>
        </w:numPr>
        <w:spacing w:line="360" w:lineRule="auto"/>
        <w:ind w:left="845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>Formulating the terms of r</w:t>
      </w:r>
      <w:r>
        <w:rPr>
          <w:rFonts w:ascii="Times New Roman" w:eastAsia="等线" w:hAnsi="Times New Roman" w:cs="Times New Roman"/>
          <w:sz w:val="24"/>
          <w:lang w:eastAsia="zh-CN"/>
        </w:rPr>
        <w:t>eference (TOR) and rules of procedure (ROP) for the Sub-Group (see the Annex);</w:t>
      </w:r>
    </w:p>
    <w:p w:rsidR="00920801" w:rsidRDefault="00F664AD">
      <w:pPr>
        <w:numPr>
          <w:ilvl w:val="0"/>
          <w:numId w:val="6"/>
        </w:numPr>
        <w:spacing w:line="360" w:lineRule="auto"/>
        <w:ind w:left="845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>Receiving the evidences provided by related national authorities or members of SCUFN within 2 months after the closing of the SCUFN meeting in accordance with the decision of th</w:t>
      </w:r>
      <w:r>
        <w:rPr>
          <w:rFonts w:ascii="Times New Roman" w:eastAsia="等线" w:hAnsi="Times New Roman" w:cs="Times New Roman"/>
          <w:sz w:val="24"/>
          <w:lang w:eastAsia="zh-CN"/>
        </w:rPr>
        <w:t>e SCUFN;</w:t>
      </w:r>
    </w:p>
    <w:p w:rsidR="00920801" w:rsidRDefault="00F664AD">
      <w:pPr>
        <w:numPr>
          <w:ilvl w:val="0"/>
          <w:numId w:val="6"/>
        </w:numPr>
        <w:spacing w:line="360" w:lineRule="auto"/>
        <w:ind w:left="845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>Assessing the authenticity, validity and compliance of the evidences; The evidences failed in authenticity, validity and compliance shall not be accepted;</w:t>
      </w:r>
    </w:p>
    <w:p w:rsidR="00920801" w:rsidRDefault="00F664AD">
      <w:pPr>
        <w:numPr>
          <w:ilvl w:val="0"/>
          <w:numId w:val="6"/>
        </w:numPr>
        <w:spacing w:line="360" w:lineRule="auto"/>
        <w:ind w:left="845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>Assessing the chronological naming order of the related undersea features based on the evide</w:t>
      </w:r>
      <w:r>
        <w:rPr>
          <w:rFonts w:ascii="Times New Roman" w:eastAsia="等线" w:hAnsi="Times New Roman" w:cs="Times New Roman"/>
          <w:sz w:val="24"/>
          <w:lang w:eastAsia="zh-CN"/>
        </w:rPr>
        <w:t>nces;</w:t>
      </w:r>
    </w:p>
    <w:p w:rsidR="00920801" w:rsidRDefault="00F664AD">
      <w:pPr>
        <w:numPr>
          <w:ilvl w:val="0"/>
          <w:numId w:val="6"/>
        </w:numPr>
        <w:spacing w:line="360" w:lineRule="auto"/>
        <w:ind w:left="845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 xml:space="preserve">Making decisions by consensus within the Sub-Group members; </w:t>
      </w:r>
    </w:p>
    <w:p w:rsidR="00920801" w:rsidRDefault="00F664AD">
      <w:pPr>
        <w:numPr>
          <w:ilvl w:val="0"/>
          <w:numId w:val="6"/>
        </w:numPr>
        <w:spacing w:line="360" w:lineRule="auto"/>
        <w:ind w:left="845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>Providing recommendations on the undersea feature names at least 2 months before the next meeting;</w:t>
      </w:r>
    </w:p>
    <w:p w:rsidR="00920801" w:rsidRDefault="00F664AD">
      <w:pPr>
        <w:numPr>
          <w:ilvl w:val="0"/>
          <w:numId w:val="6"/>
        </w:numPr>
        <w:spacing w:line="360" w:lineRule="auto"/>
        <w:ind w:left="845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 xml:space="preserve">Reporting the progress to the SCUFN secretariat during the </w:t>
      </w:r>
      <w:proofErr w:type="spellStart"/>
      <w:r>
        <w:rPr>
          <w:rFonts w:ascii="Times New Roman" w:eastAsia="等线" w:hAnsi="Times New Roman" w:cs="Times New Roman"/>
          <w:sz w:val="24"/>
          <w:lang w:eastAsia="zh-CN"/>
        </w:rPr>
        <w:t>intersessiona</w:t>
      </w:r>
      <w:proofErr w:type="spellEnd"/>
      <w:r>
        <w:rPr>
          <w:rFonts w:ascii="Times New Roman" w:eastAsia="等线" w:hAnsi="Times New Roman" w:cs="Times New Roman" w:hint="eastAsia"/>
          <w:sz w:val="24"/>
          <w:lang w:eastAsia="zh-CN"/>
        </w:rPr>
        <w:t xml:space="preserve"> </w:t>
      </w:r>
      <w:proofErr w:type="spellStart"/>
      <w:r>
        <w:rPr>
          <w:rFonts w:ascii="Times New Roman" w:eastAsia="等线" w:hAnsi="Times New Roman" w:cs="Times New Roman"/>
          <w:sz w:val="24"/>
          <w:lang w:eastAsia="zh-CN"/>
        </w:rPr>
        <w:t>periodl</w:t>
      </w:r>
      <w:proofErr w:type="spellEnd"/>
      <w:r>
        <w:rPr>
          <w:rFonts w:ascii="Times New Roman" w:eastAsia="等线" w:hAnsi="Times New Roman" w:cs="Times New Roman"/>
          <w:sz w:val="24"/>
          <w:lang w:eastAsia="zh-CN"/>
        </w:rPr>
        <w:t>.</w:t>
      </w:r>
    </w:p>
    <w:p w:rsidR="00920801" w:rsidRDefault="00920801">
      <w:pPr>
        <w:ind w:firstLineChars="150" w:firstLine="360"/>
        <w:jc w:val="left"/>
        <w:rPr>
          <w:rFonts w:ascii="Arial" w:eastAsia="等线" w:hAnsi="Arial" w:cs="Arial"/>
          <w:sz w:val="24"/>
          <w:lang w:eastAsia="zh-CN"/>
        </w:rPr>
      </w:pPr>
    </w:p>
    <w:p w:rsidR="00920801" w:rsidRDefault="00F664AD">
      <w:pPr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Justifications and Impacts</w:t>
      </w:r>
    </w:p>
    <w:p w:rsidR="00920801" w:rsidRDefault="00920801">
      <w:pPr>
        <w:jc w:val="left"/>
        <w:rPr>
          <w:rFonts w:ascii="Times New Roman" w:eastAsia="等线" w:hAnsi="Times New Roman" w:cs="Times New Roman"/>
          <w:sz w:val="24"/>
          <w:lang w:eastAsia="zh-CN"/>
        </w:rPr>
      </w:pPr>
    </w:p>
    <w:p w:rsidR="00920801" w:rsidRDefault="00F664AD">
      <w:pPr>
        <w:pStyle w:val="1"/>
        <w:numPr>
          <w:ilvl w:val="0"/>
          <w:numId w:val="1"/>
        </w:numPr>
        <w:spacing w:line="360" w:lineRule="auto"/>
        <w:ind w:leftChars="0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>The proposed recommendations are the refinement of existing B-6 rules and in consistent with B-6, which will help SCUFN to resolve the conflicts when naming the same feature by different parties.</w:t>
      </w:r>
    </w:p>
    <w:p w:rsidR="00920801" w:rsidRDefault="00920801">
      <w:pPr>
        <w:pStyle w:val="1"/>
        <w:ind w:leftChars="0" w:left="360"/>
        <w:jc w:val="left"/>
        <w:rPr>
          <w:rFonts w:ascii="Arial" w:hAnsi="Arial" w:cs="Arial"/>
          <w:sz w:val="24"/>
        </w:rPr>
      </w:pPr>
    </w:p>
    <w:p w:rsidR="00920801" w:rsidRDefault="00F664AD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Action required of SCUFN</w:t>
      </w:r>
    </w:p>
    <w:p w:rsidR="00920801" w:rsidRDefault="00920801">
      <w:pPr>
        <w:pStyle w:val="1"/>
        <w:ind w:leftChars="0" w:left="360"/>
        <w:jc w:val="left"/>
        <w:rPr>
          <w:rFonts w:ascii="Arial" w:hAnsi="Arial" w:cs="Arial"/>
          <w:sz w:val="24"/>
        </w:rPr>
      </w:pPr>
    </w:p>
    <w:p w:rsidR="00920801" w:rsidRDefault="00F664AD">
      <w:pPr>
        <w:pStyle w:val="1"/>
        <w:numPr>
          <w:ilvl w:val="0"/>
          <w:numId w:val="1"/>
        </w:numPr>
        <w:spacing w:line="360" w:lineRule="auto"/>
        <w:ind w:leftChars="0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 w:hint="eastAsia"/>
          <w:sz w:val="24"/>
          <w:lang w:eastAsia="zh-CN"/>
        </w:rPr>
        <w:t>S</w:t>
      </w:r>
      <w:r>
        <w:rPr>
          <w:rFonts w:ascii="Times New Roman" w:eastAsia="等线" w:hAnsi="Times New Roman" w:cs="Times New Roman"/>
          <w:sz w:val="24"/>
          <w:lang w:eastAsia="zh-CN"/>
        </w:rPr>
        <w:t>CUFN</w:t>
      </w:r>
      <w:r>
        <w:rPr>
          <w:rFonts w:ascii="Times New Roman" w:eastAsia="等线" w:hAnsi="Times New Roman" w:cs="Times New Roman"/>
          <w:sz w:val="24"/>
          <w:lang w:eastAsia="zh-CN"/>
        </w:rPr>
        <w:t xml:space="preserve"> is invited to:</w:t>
      </w:r>
    </w:p>
    <w:p w:rsidR="00920801" w:rsidRDefault="00F664AD">
      <w:pPr>
        <w:numPr>
          <w:ilvl w:val="0"/>
          <w:numId w:val="7"/>
        </w:numPr>
        <w:autoSpaceDE w:val="0"/>
        <w:autoSpaceDN w:val="0"/>
        <w:spacing w:line="360" w:lineRule="auto"/>
        <w:ind w:left="845"/>
        <w:rPr>
          <w:rFonts w:ascii="Times New Roman" w:eastAsia="等线" w:hAnsi="Times New Roman" w:cs="Times New Roman"/>
          <w:sz w:val="24"/>
          <w:lang w:eastAsia="zh-CN"/>
        </w:rPr>
      </w:pPr>
      <w:proofErr w:type="gramStart"/>
      <w:r>
        <w:rPr>
          <w:rFonts w:ascii="Times New Roman" w:eastAsia="等线" w:hAnsi="Times New Roman" w:cs="Times New Roman"/>
          <w:sz w:val="24"/>
          <w:lang w:eastAsia="zh-CN"/>
        </w:rPr>
        <w:t>note</w:t>
      </w:r>
      <w:proofErr w:type="gramEnd"/>
      <w:r>
        <w:rPr>
          <w:rFonts w:ascii="Times New Roman" w:eastAsia="等线" w:hAnsi="Times New Roman" w:cs="Times New Roman"/>
          <w:sz w:val="24"/>
          <w:lang w:eastAsia="zh-CN"/>
        </w:rPr>
        <w:t xml:space="preserve"> this proposal.</w:t>
      </w:r>
    </w:p>
    <w:p w:rsidR="00920801" w:rsidRDefault="00F664AD">
      <w:pPr>
        <w:numPr>
          <w:ilvl w:val="0"/>
          <w:numId w:val="7"/>
        </w:numPr>
        <w:autoSpaceDE w:val="0"/>
        <w:autoSpaceDN w:val="0"/>
        <w:spacing w:line="360" w:lineRule="auto"/>
        <w:ind w:left="845"/>
        <w:jc w:val="left"/>
        <w:rPr>
          <w:rFonts w:ascii="Times New Roman" w:eastAsia="等线" w:hAnsi="Times New Roman" w:cs="Times New Roman"/>
          <w:sz w:val="24"/>
          <w:lang w:eastAsia="zh-CN"/>
        </w:rPr>
      </w:pPr>
      <w:proofErr w:type="gramStart"/>
      <w:r>
        <w:rPr>
          <w:rFonts w:ascii="Times New Roman" w:eastAsia="等线" w:hAnsi="Times New Roman" w:cs="Times New Roman"/>
          <w:sz w:val="24"/>
          <w:lang w:eastAsia="zh-CN"/>
        </w:rPr>
        <w:t>consider</w:t>
      </w:r>
      <w:proofErr w:type="gramEnd"/>
      <w:r>
        <w:rPr>
          <w:rFonts w:ascii="Times New Roman" w:eastAsia="等线" w:hAnsi="Times New Roman" w:cs="Times New Roman"/>
          <w:sz w:val="24"/>
          <w:lang w:eastAsia="zh-CN"/>
        </w:rPr>
        <w:t xml:space="preserve"> the recommendations in sections 9, 10 and 11, discuss and make a decision for the new complementary criteria of B-6. </w:t>
      </w:r>
    </w:p>
    <w:p w:rsidR="00920801" w:rsidRDefault="00920801">
      <w:pPr>
        <w:numPr>
          <w:ilvl w:val="255"/>
          <w:numId w:val="0"/>
        </w:numPr>
        <w:autoSpaceDE w:val="0"/>
        <w:autoSpaceDN w:val="0"/>
        <w:spacing w:line="360" w:lineRule="auto"/>
        <w:jc w:val="left"/>
        <w:rPr>
          <w:rFonts w:ascii="Times New Roman" w:eastAsia="等线" w:hAnsi="Times New Roman" w:cs="Times New Roman"/>
          <w:sz w:val="24"/>
          <w:lang w:eastAsia="zh-CN"/>
        </w:rPr>
      </w:pPr>
    </w:p>
    <w:p w:rsidR="00920801" w:rsidRDefault="00920801">
      <w:pPr>
        <w:pStyle w:val="1"/>
        <w:tabs>
          <w:tab w:val="left" w:pos="903"/>
        </w:tabs>
        <w:autoSpaceDE w:val="0"/>
        <w:autoSpaceDN w:val="0"/>
        <w:spacing w:line="360" w:lineRule="auto"/>
        <w:ind w:leftChars="0" w:left="720"/>
        <w:jc w:val="left"/>
        <w:rPr>
          <w:rFonts w:ascii="Times New Roman" w:eastAsia="等线" w:hAnsi="Times New Roman" w:cs="Times New Roman"/>
          <w:sz w:val="24"/>
          <w:lang w:eastAsia="zh-CN"/>
        </w:rPr>
      </w:pPr>
    </w:p>
    <w:p w:rsidR="00920801" w:rsidRDefault="00F664AD">
      <w:pPr>
        <w:tabs>
          <w:tab w:val="left" w:pos="903"/>
        </w:tabs>
        <w:autoSpaceDE w:val="0"/>
        <w:autoSpaceDN w:val="0"/>
        <w:spacing w:line="268" w:lineRule="exact"/>
        <w:rPr>
          <w:rFonts w:ascii="Arial Bold" w:hAnsi="Arial Bold" w:cs="Arial Bold"/>
          <w:b/>
          <w:bCs/>
          <w:kern w:val="0"/>
          <w:sz w:val="24"/>
          <w:lang w:eastAsia="ko-KR"/>
        </w:rPr>
      </w:pPr>
      <w:r>
        <w:rPr>
          <w:rFonts w:ascii="Arial Bold" w:hAnsi="Arial Bold" w:cs="Arial Bold"/>
          <w:b/>
          <w:bCs/>
          <w:kern w:val="0"/>
          <w:sz w:val="24"/>
          <w:lang w:eastAsia="ko-KR"/>
        </w:rPr>
        <w:lastRenderedPageBreak/>
        <w:t>A</w:t>
      </w:r>
      <w:r>
        <w:rPr>
          <w:rFonts w:ascii="Arial Bold" w:hAnsi="Arial Bold" w:cs="Arial Bold"/>
          <w:b/>
          <w:bCs/>
          <w:kern w:val="0"/>
          <w:sz w:val="24"/>
          <w:lang w:eastAsia="ko-KR"/>
        </w:rPr>
        <w:t>NNEX</w:t>
      </w:r>
    </w:p>
    <w:p w:rsidR="00920801" w:rsidRDefault="00920801">
      <w:pPr>
        <w:tabs>
          <w:tab w:val="left" w:pos="903"/>
        </w:tabs>
        <w:autoSpaceDE w:val="0"/>
        <w:autoSpaceDN w:val="0"/>
        <w:spacing w:line="268" w:lineRule="exact"/>
        <w:rPr>
          <w:rFonts w:ascii="Times New Roman" w:eastAsia="Malgun Gothic" w:hAnsi="Times New Roman" w:cs="Times New Roman"/>
          <w:kern w:val="0"/>
          <w:sz w:val="22"/>
          <w:szCs w:val="22"/>
          <w:lang w:eastAsia="ko-KR"/>
        </w:rPr>
      </w:pPr>
    </w:p>
    <w:p w:rsidR="00920801" w:rsidRDefault="00F664AD">
      <w:pPr>
        <w:spacing w:line="400" w:lineRule="exac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SCUFN Sub-Group B-6 I.D </w:t>
      </w:r>
    </w:p>
    <w:p w:rsidR="00920801" w:rsidRDefault="00F664AD">
      <w:pPr>
        <w:spacing w:line="400" w:lineRule="exac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Terms of Reference and Rules of Procedure</w:t>
      </w:r>
    </w:p>
    <w:p w:rsidR="00920801" w:rsidRDefault="00920801">
      <w:pPr>
        <w:numPr>
          <w:ilvl w:val="255"/>
          <w:numId w:val="0"/>
        </w:numPr>
        <w:spacing w:line="400" w:lineRule="exac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20801" w:rsidRDefault="00F664AD">
      <w:pPr>
        <w:numPr>
          <w:ilvl w:val="0"/>
          <w:numId w:val="8"/>
        </w:numPr>
        <w:spacing w:line="400" w:lineRule="exact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Objectives</w:t>
      </w:r>
    </w:p>
    <w:p w:rsidR="00920801" w:rsidRDefault="00F664AD">
      <w:pPr>
        <w:numPr>
          <w:ilvl w:val="255"/>
          <w:numId w:val="0"/>
        </w:numPr>
        <w:spacing w:line="400" w:lineRule="exact"/>
        <w:rPr>
          <w:rFonts w:ascii="Times New Roman Regular" w:hAnsi="Times New Roman Regular" w:cs="Times New Roman Regular"/>
          <w:color w:val="000000" w:themeColor="text1"/>
          <w:sz w:val="24"/>
          <w:lang w:val="en"/>
        </w:rPr>
      </w:pP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Under the circumstances that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national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 </w:t>
      </w:r>
      <w:proofErr w:type="spellStart"/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authorit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i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es</w:t>
      </w:r>
      <w:proofErr w:type="spellEnd"/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 xml:space="preserve">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or members of the SCUFN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 xml:space="preserve">claim that the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related undersea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feature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s having been named officially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 xml:space="preserve"> or scientifically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 with the evidences provided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 xml:space="preserve">before the undersea feature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name </w:t>
      </w:r>
      <w:proofErr w:type="spellStart"/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proposal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s</w:t>
      </w:r>
      <w:proofErr w:type="spellEnd"/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 are accepted by the SCUFN,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the Sub-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G</w:t>
      </w:r>
      <w:proofErr w:type="spellStart"/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roup</w:t>
      </w:r>
      <w:proofErr w:type="spellEnd"/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 xml:space="preserve">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sha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 xml:space="preserve">ll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be established to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assess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 xml:space="preserve"> the evidences and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submit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 xml:space="preserve"> recommendations on the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undersea feature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name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s to the SCUFN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.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 The related naming proposals are listed as PENDING before the final decision made by the SCUFN. </w:t>
      </w:r>
    </w:p>
    <w:p w:rsidR="00920801" w:rsidRDefault="00920801">
      <w:pPr>
        <w:spacing w:line="400" w:lineRule="exac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20801" w:rsidRDefault="00F664AD">
      <w:pPr>
        <w:numPr>
          <w:ilvl w:val="0"/>
          <w:numId w:val="8"/>
        </w:numPr>
        <w:spacing w:line="400" w:lineRule="exact"/>
        <w:rPr>
          <w:rFonts w:ascii="Arial" w:hAnsi="Arial" w:cs="Arial"/>
          <w:b/>
          <w:color w:val="000000" w:themeColor="text1"/>
          <w:sz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</w:rPr>
        <w:t>Authori</w:t>
      </w:r>
      <w:r>
        <w:rPr>
          <w:rFonts w:ascii="Arial" w:hAnsi="Arial" w:cs="Arial"/>
          <w:b/>
          <w:color w:val="000000" w:themeColor="text1"/>
          <w:sz w:val="24"/>
          <w:lang w:val="en"/>
        </w:rPr>
        <w:t>zation</w:t>
      </w:r>
      <w:proofErr w:type="spellEnd"/>
    </w:p>
    <w:p w:rsidR="00920801" w:rsidRDefault="00F664AD">
      <w:pPr>
        <w:numPr>
          <w:ilvl w:val="255"/>
          <w:numId w:val="0"/>
        </w:numPr>
        <w:spacing w:line="400" w:lineRule="exact"/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</w:pP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The SCUFN Sub-Group B-6 I.D is established under the authorization of the SCUFN and submits report to the SCUFN. </w:t>
      </w:r>
    </w:p>
    <w:p w:rsidR="00920801" w:rsidRDefault="00920801">
      <w:pPr>
        <w:spacing w:line="400" w:lineRule="exac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20801" w:rsidRDefault="00F664AD">
      <w:pPr>
        <w:numPr>
          <w:ilvl w:val="0"/>
          <w:numId w:val="8"/>
        </w:numPr>
        <w:spacing w:line="400" w:lineRule="exact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Composition and Chair</w:t>
      </w:r>
    </w:p>
    <w:p w:rsidR="00920801" w:rsidRDefault="00F664AD">
      <w:pPr>
        <w:numPr>
          <w:ilvl w:val="255"/>
          <w:numId w:val="0"/>
        </w:numPr>
        <w:spacing w:line="400" w:lineRule="exact"/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</w:pP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The Chair (Co-chair) and members of the Sub-Group are registered by the SCUFN members and designated by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the SCUFN Chair.</w:t>
      </w:r>
    </w:p>
    <w:p w:rsidR="00920801" w:rsidRDefault="00920801">
      <w:pPr>
        <w:spacing w:line="400" w:lineRule="exac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20801" w:rsidRDefault="00F664AD">
      <w:pPr>
        <w:numPr>
          <w:ilvl w:val="0"/>
          <w:numId w:val="8"/>
        </w:numPr>
        <w:spacing w:line="400" w:lineRule="exact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Assessment of the evidences</w:t>
      </w:r>
    </w:p>
    <w:p w:rsidR="00920801" w:rsidRDefault="00F664AD">
      <w:pPr>
        <w:pStyle w:val="ListParagraph1"/>
        <w:numPr>
          <w:ilvl w:val="1"/>
          <w:numId w:val="8"/>
        </w:numPr>
        <w:spacing w:after="240" w:line="400" w:lineRule="exact"/>
        <w:ind w:firstLineChars="0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C</w:t>
      </w:r>
      <w:proofErr w:type="spellStart"/>
      <w:r>
        <w:rPr>
          <w:rFonts w:ascii="Arial" w:hAnsi="Arial" w:cs="Arial"/>
          <w:b/>
          <w:color w:val="000000" w:themeColor="text1"/>
          <w:sz w:val="24"/>
          <w:lang w:val="en"/>
        </w:rPr>
        <w:t>ategory</w:t>
      </w:r>
      <w:proofErr w:type="spellEnd"/>
      <w:r>
        <w:rPr>
          <w:rFonts w:ascii="Arial" w:hAnsi="Arial" w:cs="Arial"/>
          <w:b/>
          <w:color w:val="000000" w:themeColor="text1"/>
          <w:sz w:val="24"/>
        </w:rPr>
        <w:t xml:space="preserve"> of </w:t>
      </w:r>
      <w:r>
        <w:rPr>
          <w:rFonts w:ascii="Arial" w:hAnsi="Arial" w:cs="Arial"/>
          <w:b/>
          <w:color w:val="000000" w:themeColor="text1"/>
          <w:sz w:val="24"/>
          <w:lang w:val="en"/>
        </w:rPr>
        <w:t xml:space="preserve">the </w:t>
      </w:r>
      <w:r>
        <w:rPr>
          <w:rFonts w:ascii="Arial" w:hAnsi="Arial" w:cs="Arial"/>
          <w:b/>
          <w:color w:val="000000" w:themeColor="text1"/>
          <w:sz w:val="24"/>
        </w:rPr>
        <w:t>evidences</w:t>
      </w:r>
    </w:p>
    <w:p w:rsidR="00920801" w:rsidRDefault="00F664AD">
      <w:pPr>
        <w:numPr>
          <w:ilvl w:val="255"/>
          <w:numId w:val="0"/>
        </w:numPr>
        <w:spacing w:line="360" w:lineRule="auto"/>
        <w:ind w:left="360"/>
        <w:rPr>
          <w:rFonts w:ascii="Times New Roman Regular" w:hAnsi="Times New Roman Regular" w:cs="Times New Roman Regular"/>
          <w:bCs/>
          <w:color w:val="000000" w:themeColor="text1"/>
          <w:sz w:val="24"/>
          <w:lang w:val="en" w:eastAsia="zh-Hans"/>
        </w:rPr>
      </w:pP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 w:eastAsia="zh-Hans"/>
        </w:rPr>
        <w:t>The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 w:eastAsia="zh-Hans"/>
        </w:rPr>
        <w:t xml:space="preserve">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 w:eastAsia="zh-Hans"/>
        </w:rPr>
        <w:t>fol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 w:eastAsia="zh-Hans"/>
        </w:rPr>
        <w:t xml:space="preserve">lowing evidences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 w:eastAsia="zh-CN"/>
        </w:rPr>
        <w:t>provided by national authorities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 w:eastAsia="zh-Hans"/>
        </w:rPr>
        <w:t xml:space="preserve"> should be considered by SCUFN. </w:t>
      </w:r>
    </w:p>
    <w:p w:rsidR="00920801" w:rsidRDefault="00F664AD">
      <w:pPr>
        <w:pStyle w:val="1"/>
        <w:numPr>
          <w:ilvl w:val="0"/>
          <w:numId w:val="9"/>
        </w:numPr>
        <w:spacing w:line="360" w:lineRule="auto"/>
        <w:ind w:left="845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 xml:space="preserve">Official documents on undersea feature names issued by the national authorities; or </w:t>
      </w:r>
    </w:p>
    <w:p w:rsidR="00920801" w:rsidRDefault="00F664AD">
      <w:pPr>
        <w:pStyle w:val="1"/>
        <w:numPr>
          <w:ilvl w:val="0"/>
          <w:numId w:val="9"/>
        </w:numPr>
        <w:spacing w:line="360" w:lineRule="auto"/>
        <w:ind w:left="845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 w:hint="eastAsia"/>
          <w:sz w:val="24"/>
          <w:lang w:eastAsia="zh-CN"/>
        </w:rPr>
        <w:t xml:space="preserve">Availability </w:t>
      </w:r>
      <w:r>
        <w:rPr>
          <w:rFonts w:ascii="Times New Roman" w:eastAsia="等线" w:hAnsi="Times New Roman" w:cs="Times New Roman"/>
          <w:sz w:val="24"/>
          <w:lang w:eastAsia="zh-CN"/>
        </w:rPr>
        <w:t>in the public database from the national authorities; or</w:t>
      </w:r>
    </w:p>
    <w:p w:rsidR="00920801" w:rsidRDefault="00F664AD">
      <w:pPr>
        <w:pStyle w:val="1"/>
        <w:numPr>
          <w:ilvl w:val="0"/>
          <w:numId w:val="9"/>
        </w:numPr>
        <w:spacing w:line="360" w:lineRule="auto"/>
        <w:ind w:left="845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>Maps/charts/atlas published; or</w:t>
      </w:r>
    </w:p>
    <w:p w:rsidR="00920801" w:rsidRDefault="00F664AD">
      <w:pPr>
        <w:pStyle w:val="1"/>
        <w:numPr>
          <w:ilvl w:val="0"/>
          <w:numId w:val="9"/>
        </w:numPr>
        <w:spacing w:line="360" w:lineRule="auto"/>
        <w:ind w:left="845"/>
        <w:rPr>
          <w:rFonts w:ascii="Times New Roman" w:eastAsia="等线" w:hAnsi="Times New Roman" w:cs="Times New Roman"/>
          <w:sz w:val="24"/>
          <w:lang w:eastAsia="zh-CN"/>
        </w:rPr>
      </w:pPr>
      <w:r>
        <w:rPr>
          <w:rFonts w:ascii="Times New Roman" w:eastAsia="等线" w:hAnsi="Times New Roman" w:cs="Times New Roman"/>
          <w:sz w:val="24"/>
          <w:lang w:eastAsia="zh-CN"/>
        </w:rPr>
        <w:t>Scientific publications</w:t>
      </w:r>
      <w:r>
        <w:rPr>
          <w:rFonts w:ascii="Times New Roman" w:eastAsia="等线" w:hAnsi="Times New Roman" w:cs="Times New Roman"/>
          <w:sz w:val="24"/>
          <w:lang w:val="en" w:eastAsia="zh-CN"/>
        </w:rPr>
        <w:t>;</w:t>
      </w:r>
    </w:p>
    <w:p w:rsidR="00920801" w:rsidRDefault="00F664AD">
      <w:pPr>
        <w:numPr>
          <w:ilvl w:val="0"/>
          <w:numId w:val="9"/>
        </w:numPr>
        <w:spacing w:line="360" w:lineRule="auto"/>
        <w:ind w:left="845"/>
        <w:rPr>
          <w:rFonts w:ascii="Times New Roman Regular" w:hAnsi="Times New Roman Regular" w:cs="Times New Roman Regular"/>
          <w:bCs/>
          <w:color w:val="000000" w:themeColor="text1"/>
          <w:sz w:val="24"/>
          <w:lang w:val="en" w:eastAsia="zh-Hans"/>
        </w:rPr>
      </w:pPr>
      <w:r>
        <w:rPr>
          <w:rFonts w:ascii="Times New Roman" w:eastAsia="等线" w:hAnsi="Times New Roman" w:cs="Times New Roman"/>
          <w:sz w:val="24"/>
          <w:lang w:eastAsia="zh-CN"/>
        </w:rPr>
        <w:t xml:space="preserve">Other official </w:t>
      </w:r>
      <w:r>
        <w:rPr>
          <w:rFonts w:ascii="Times New Roman" w:eastAsia="等线" w:hAnsi="Times New Roman" w:cs="Times New Roman"/>
          <w:sz w:val="24"/>
          <w:lang w:eastAsia="zh-CN"/>
        </w:rPr>
        <w:t xml:space="preserve">or </w:t>
      </w:r>
      <w:r>
        <w:rPr>
          <w:rFonts w:ascii="Times New Roman" w:eastAsia="等线" w:hAnsi="Times New Roman" w:cs="Times New Roman"/>
          <w:sz w:val="24"/>
          <w:lang w:eastAsia="zh-CN"/>
        </w:rPr>
        <w:t>scientific</w:t>
      </w:r>
      <w:r>
        <w:rPr>
          <w:rFonts w:ascii="Times New Roman" w:eastAsia="等线" w:hAnsi="Times New Roman" w:cs="Times New Roman"/>
          <w:sz w:val="24"/>
          <w:lang w:eastAsia="zh-CN"/>
        </w:rPr>
        <w:t xml:space="preserve"> evidences </w:t>
      </w:r>
      <w:r>
        <w:rPr>
          <w:rFonts w:ascii="Times New Roman" w:eastAsia="等线" w:hAnsi="Times New Roman" w:cs="Times New Roman"/>
          <w:sz w:val="24"/>
          <w:lang w:eastAsia="zh-CN"/>
        </w:rPr>
        <w:t xml:space="preserve">showing the undersea features have been named previously. </w:t>
      </w:r>
    </w:p>
    <w:p w:rsidR="00920801" w:rsidRDefault="00F664AD">
      <w:pPr>
        <w:numPr>
          <w:ilvl w:val="255"/>
          <w:numId w:val="0"/>
        </w:numPr>
        <w:spacing w:line="400" w:lineRule="exact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4.2 </w:t>
      </w:r>
      <w:r>
        <w:rPr>
          <w:rFonts w:ascii="Arial" w:hAnsi="Arial" w:cs="Arial" w:hint="eastAsia"/>
          <w:b/>
          <w:color w:val="000000" w:themeColor="text1"/>
          <w:sz w:val="24"/>
          <w:lang w:val="en"/>
        </w:rPr>
        <w:t xml:space="preserve">Other requirements of the </w:t>
      </w:r>
      <w:r>
        <w:rPr>
          <w:rFonts w:ascii="Arial" w:hAnsi="Arial" w:cs="Arial" w:hint="eastAsia"/>
          <w:b/>
          <w:color w:val="000000" w:themeColor="text1"/>
          <w:sz w:val="24"/>
          <w:lang w:val="en"/>
        </w:rPr>
        <w:t>evidences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:rsidR="00920801" w:rsidRDefault="00F664AD">
      <w:pPr>
        <w:pStyle w:val="ListParagraph1"/>
        <w:numPr>
          <w:ilvl w:val="0"/>
          <w:numId w:val="10"/>
        </w:numPr>
        <w:spacing w:line="400" w:lineRule="exact"/>
        <w:ind w:left="845"/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</w:pP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The explanation in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English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 language shall be attached on the occasion the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 xml:space="preserve">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non-English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 xml:space="preserve">evidences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are provided;</w:t>
      </w:r>
    </w:p>
    <w:p w:rsidR="00920801" w:rsidRDefault="00F664AD">
      <w:pPr>
        <w:pStyle w:val="ListParagraph1"/>
        <w:numPr>
          <w:ilvl w:val="0"/>
          <w:numId w:val="10"/>
        </w:numPr>
        <w:spacing w:line="400" w:lineRule="exact"/>
        <w:ind w:left="845"/>
        <w:rPr>
          <w:rFonts w:ascii="Times New Roman Regular" w:hAnsi="Times New Roman Regular" w:cs="Times New Roman Regular"/>
          <w:bCs/>
          <w:color w:val="000000" w:themeColor="text1"/>
          <w:sz w:val="24"/>
        </w:rPr>
      </w:pP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lastRenderedPageBreak/>
        <w:t xml:space="preserve">A written declaration made by </w:t>
      </w:r>
      <w:proofErr w:type="spellStart"/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t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he</w:t>
      </w:r>
      <w:proofErr w:type="spellEnd"/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 xml:space="preserve"> national authorities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shall be provided to guarantee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the authenticity of the evidences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 and the attached explanations.</w:t>
      </w:r>
    </w:p>
    <w:p w:rsidR="00920801" w:rsidRDefault="00920801">
      <w:pPr>
        <w:numPr>
          <w:ilvl w:val="255"/>
          <w:numId w:val="0"/>
        </w:numPr>
        <w:spacing w:line="400" w:lineRule="exac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20801" w:rsidRDefault="00F664AD">
      <w:pPr>
        <w:numPr>
          <w:ilvl w:val="255"/>
          <w:numId w:val="0"/>
        </w:numPr>
        <w:spacing w:line="400" w:lineRule="exact"/>
        <w:rPr>
          <w:rFonts w:ascii="Arial" w:hAnsi="Arial" w:cs="Arial"/>
          <w:bCs/>
          <w:color w:val="000000" w:themeColor="text1"/>
          <w:sz w:val="24"/>
          <w:lang w:val="en"/>
        </w:rPr>
      </w:pPr>
      <w:r>
        <w:rPr>
          <w:rFonts w:ascii="Arial" w:hAnsi="Arial" w:cs="Arial"/>
          <w:b/>
          <w:color w:val="000000" w:themeColor="text1"/>
          <w:sz w:val="24"/>
          <w:lang w:val="en"/>
        </w:rPr>
        <w:t>4</w:t>
      </w:r>
      <w:r>
        <w:rPr>
          <w:rFonts w:ascii="Arial" w:hAnsi="Arial" w:cs="Arial" w:hint="eastAsia"/>
          <w:b/>
          <w:color w:val="000000" w:themeColor="text1"/>
          <w:sz w:val="24"/>
        </w:rPr>
        <w:t>.</w:t>
      </w:r>
      <w:r>
        <w:rPr>
          <w:rFonts w:ascii="Arial" w:hAnsi="Arial" w:cs="Arial"/>
          <w:b/>
          <w:color w:val="000000" w:themeColor="text1"/>
          <w:sz w:val="24"/>
          <w:lang w:val="en"/>
        </w:rPr>
        <w:t>3</w:t>
      </w:r>
      <w:r>
        <w:rPr>
          <w:rFonts w:ascii="Arial" w:hAnsi="Arial" w:cs="Arial" w:hint="eastAsia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lang w:val="en"/>
        </w:rPr>
        <w:t xml:space="preserve">Procedure of the </w:t>
      </w:r>
      <w:r>
        <w:rPr>
          <w:rFonts w:ascii="Arial" w:hAnsi="Arial" w:cs="Arial"/>
          <w:b/>
          <w:color w:val="000000" w:themeColor="text1"/>
          <w:sz w:val="24"/>
        </w:rPr>
        <w:t>Assessment</w:t>
      </w:r>
    </w:p>
    <w:p w:rsidR="00920801" w:rsidRDefault="00F664AD">
      <w:pPr>
        <w:numPr>
          <w:ilvl w:val="255"/>
          <w:numId w:val="0"/>
        </w:numPr>
        <w:spacing w:line="400" w:lineRule="exact"/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</w:pP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The Sub-group shall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work primarily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by written correspondence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 and apply the following procedures:</w:t>
      </w:r>
    </w:p>
    <w:p w:rsidR="00920801" w:rsidRDefault="00F664AD">
      <w:pPr>
        <w:pStyle w:val="ListParagraph1"/>
        <w:numPr>
          <w:ilvl w:val="0"/>
          <w:numId w:val="11"/>
        </w:numPr>
        <w:spacing w:line="400" w:lineRule="exact"/>
        <w:ind w:left="845"/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</w:pP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Formulating the terms of reference and rules of procedure for the Sub-Group;</w:t>
      </w:r>
    </w:p>
    <w:p w:rsidR="00920801" w:rsidRDefault="00F664AD">
      <w:pPr>
        <w:numPr>
          <w:ilvl w:val="0"/>
          <w:numId w:val="11"/>
        </w:numPr>
        <w:spacing w:line="400" w:lineRule="exact"/>
        <w:ind w:left="845"/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</w:pP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Receiving the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evidences provided by related national authorities or members of SCUFN within 2 months after the closing of the SCUFN meeting in accordance with the decision of the SCUFN;</w:t>
      </w:r>
    </w:p>
    <w:p w:rsidR="00920801" w:rsidRDefault="00F664AD">
      <w:pPr>
        <w:numPr>
          <w:ilvl w:val="0"/>
          <w:numId w:val="11"/>
        </w:numPr>
        <w:spacing w:line="400" w:lineRule="exact"/>
        <w:ind w:left="845"/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</w:pP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Assessing the authenticity, validity and compliance of the evidences; The evidences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failed in authenticity, validity and compliance shall not be accepted;</w:t>
      </w:r>
    </w:p>
    <w:p w:rsidR="00920801" w:rsidRDefault="00F664AD">
      <w:pPr>
        <w:numPr>
          <w:ilvl w:val="0"/>
          <w:numId w:val="11"/>
        </w:numPr>
        <w:spacing w:line="400" w:lineRule="exact"/>
        <w:ind w:left="845"/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</w:pP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Assessing the chronological naming order of the related undersea features based on the evidences;</w:t>
      </w:r>
    </w:p>
    <w:p w:rsidR="00920801" w:rsidRDefault="00F664AD">
      <w:pPr>
        <w:numPr>
          <w:ilvl w:val="0"/>
          <w:numId w:val="11"/>
        </w:numPr>
        <w:spacing w:line="400" w:lineRule="exact"/>
        <w:ind w:left="845"/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</w:pP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Making decisions by consensus within the Sub-Group members; </w:t>
      </w:r>
    </w:p>
    <w:p w:rsidR="00920801" w:rsidRDefault="00F664AD">
      <w:pPr>
        <w:numPr>
          <w:ilvl w:val="0"/>
          <w:numId w:val="11"/>
        </w:numPr>
        <w:spacing w:line="400" w:lineRule="exact"/>
        <w:ind w:left="845"/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</w:pP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Providing recommendations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on the undersea feature names at least 2 months before the next meeting;</w:t>
      </w:r>
    </w:p>
    <w:p w:rsidR="00920801" w:rsidRDefault="00F664AD">
      <w:pPr>
        <w:numPr>
          <w:ilvl w:val="0"/>
          <w:numId w:val="11"/>
        </w:numPr>
        <w:spacing w:line="400" w:lineRule="exact"/>
        <w:ind w:left="845"/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</w:pP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Reporting the progress to the SCUFN secretariat during the </w:t>
      </w:r>
      <w:proofErr w:type="spellStart"/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intersessional</w:t>
      </w:r>
      <w:proofErr w:type="spellEnd"/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 period.</w:t>
      </w:r>
    </w:p>
    <w:p w:rsidR="00920801" w:rsidRDefault="00920801">
      <w:pPr>
        <w:numPr>
          <w:ilvl w:val="255"/>
          <w:numId w:val="0"/>
        </w:numPr>
        <w:spacing w:line="400" w:lineRule="exact"/>
        <w:rPr>
          <w:rFonts w:ascii="Arial" w:hAnsi="Arial" w:cs="Arial"/>
          <w:bCs/>
          <w:color w:val="000000" w:themeColor="text1"/>
          <w:sz w:val="24"/>
          <w:lang w:val="en"/>
        </w:rPr>
      </w:pPr>
    </w:p>
    <w:p w:rsidR="00920801" w:rsidRDefault="00F664AD">
      <w:pPr>
        <w:numPr>
          <w:ilvl w:val="255"/>
          <w:numId w:val="0"/>
        </w:numPr>
        <w:spacing w:line="400" w:lineRule="exact"/>
        <w:rPr>
          <w:rFonts w:ascii="Arial" w:hAnsi="Arial" w:cs="Arial"/>
          <w:b/>
          <w:color w:val="000000" w:themeColor="text1"/>
          <w:sz w:val="24"/>
          <w:lang w:val="en"/>
        </w:rPr>
      </w:pPr>
      <w:r>
        <w:rPr>
          <w:rFonts w:ascii="Arial" w:hAnsi="Arial" w:cs="Arial"/>
          <w:b/>
          <w:color w:val="000000" w:themeColor="text1"/>
          <w:sz w:val="24"/>
          <w:lang w:val="en"/>
        </w:rPr>
        <w:t>5. Outcome of the Sub-Group</w:t>
      </w:r>
    </w:p>
    <w:p w:rsidR="00920801" w:rsidRDefault="00F664AD">
      <w:pPr>
        <w:numPr>
          <w:ilvl w:val="0"/>
          <w:numId w:val="12"/>
        </w:numPr>
        <w:spacing w:line="400" w:lineRule="exact"/>
        <w:ind w:left="845"/>
        <w:rPr>
          <w:rFonts w:ascii="Times New Roman Regular" w:hAnsi="Times New Roman Regular" w:cs="Times New Roman Regular"/>
          <w:bCs/>
          <w:color w:val="000000" w:themeColor="text1"/>
          <w:sz w:val="24"/>
        </w:rPr>
      </w:pP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Terms of reference and rules of procedure of the Sub-Group;</w:t>
      </w:r>
    </w:p>
    <w:p w:rsidR="00920801" w:rsidRDefault="00F664AD">
      <w:pPr>
        <w:numPr>
          <w:ilvl w:val="0"/>
          <w:numId w:val="12"/>
        </w:numPr>
        <w:spacing w:line="400" w:lineRule="exact"/>
        <w:ind w:left="845"/>
        <w:rPr>
          <w:rFonts w:ascii="Times New Roman Regular" w:hAnsi="Times New Roman Regular" w:cs="Times New Roman Regular"/>
          <w:bCs/>
          <w:color w:val="000000" w:themeColor="text1"/>
          <w:sz w:val="24"/>
        </w:rPr>
      </w:pP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Recommendations on the undersea feature names.  </w:t>
      </w:r>
    </w:p>
    <w:p w:rsidR="00920801" w:rsidRDefault="00920801">
      <w:pPr>
        <w:numPr>
          <w:ilvl w:val="255"/>
          <w:numId w:val="0"/>
        </w:numPr>
        <w:spacing w:line="400" w:lineRule="exact"/>
        <w:rPr>
          <w:rFonts w:ascii="Times New Roman Regular" w:hAnsi="Times New Roman Regular" w:cs="Times New Roman Regular"/>
          <w:bCs/>
          <w:color w:val="000000" w:themeColor="text1"/>
          <w:sz w:val="24"/>
        </w:rPr>
      </w:pPr>
    </w:p>
    <w:p w:rsidR="00920801" w:rsidRDefault="00F664AD">
      <w:pPr>
        <w:numPr>
          <w:ilvl w:val="0"/>
          <w:numId w:val="13"/>
        </w:numPr>
        <w:spacing w:line="400" w:lineRule="exact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References</w:t>
      </w:r>
    </w:p>
    <w:p w:rsidR="00920801" w:rsidRDefault="00F664AD">
      <w:pPr>
        <w:pStyle w:val="ListParagraph1"/>
        <w:numPr>
          <w:ilvl w:val="0"/>
          <w:numId w:val="14"/>
        </w:numPr>
        <w:spacing w:line="400" w:lineRule="exact"/>
        <w:ind w:left="845"/>
        <w:rPr>
          <w:rFonts w:ascii="Times New Roman Regular" w:hAnsi="Times New Roman Regular" w:cs="Times New Roman Regular"/>
          <w:bCs/>
          <w:color w:val="000000" w:themeColor="text1"/>
          <w:sz w:val="24"/>
        </w:rPr>
      </w:pP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Standardization of Undersea Feature Names (B-6)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,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 xml:space="preserve"> Edition 4.2.0 - October 2019, IHO/IOC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;</w:t>
      </w:r>
    </w:p>
    <w:p w:rsidR="00920801" w:rsidRDefault="00F664AD">
      <w:pPr>
        <w:numPr>
          <w:ilvl w:val="0"/>
          <w:numId w:val="14"/>
        </w:numPr>
        <w:spacing w:line="400" w:lineRule="exact"/>
        <w:ind w:left="845"/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</w:pPr>
      <w:proofErr w:type="spellStart"/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T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he</w:t>
      </w:r>
      <w:proofErr w:type="spellEnd"/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 xml:space="preserve">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D</w:t>
      </w:r>
      <w:proofErr w:type="spellStart"/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ecision</w:t>
      </w:r>
      <w:proofErr w:type="spellEnd"/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s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/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>A</w:t>
      </w:r>
      <w:proofErr w:type="spellStart"/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ction</w:t>
      </w:r>
      <w:proofErr w:type="spellEnd"/>
      <w:r>
        <w:rPr>
          <w:rFonts w:ascii="Times New Roman Regular" w:hAnsi="Times New Roman Regular" w:cs="Times New Roman Regular"/>
          <w:bCs/>
          <w:color w:val="000000" w:themeColor="text1"/>
          <w:sz w:val="24"/>
          <w:lang w:val="en"/>
        </w:rPr>
        <w:t xml:space="preserve">s </w:t>
      </w:r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of SCUFN 35.1/</w:t>
      </w:r>
      <w:bookmarkStart w:id="0" w:name="_GoBack"/>
      <w:bookmarkEnd w:id="0"/>
      <w:r>
        <w:rPr>
          <w:rFonts w:ascii="Times New Roman Regular" w:hAnsi="Times New Roman Regular" w:cs="Times New Roman Regular"/>
          <w:bCs/>
          <w:color w:val="000000" w:themeColor="text1"/>
          <w:sz w:val="24"/>
        </w:rPr>
        <w:t>167d.</w:t>
      </w:r>
    </w:p>
    <w:p w:rsidR="00920801" w:rsidRDefault="00920801">
      <w:pPr>
        <w:tabs>
          <w:tab w:val="left" w:pos="903"/>
        </w:tabs>
        <w:autoSpaceDE w:val="0"/>
        <w:autoSpaceDN w:val="0"/>
        <w:spacing w:line="268" w:lineRule="exact"/>
        <w:rPr>
          <w:rFonts w:ascii="Times New Roman Regular" w:eastAsia="Malgun Gothic" w:hAnsi="Times New Roman Regular" w:cs="Times New Roman Regular"/>
          <w:kern w:val="0"/>
          <w:sz w:val="24"/>
          <w:lang w:val="en" w:eastAsia="ko-KR"/>
        </w:rPr>
      </w:pPr>
    </w:p>
    <w:sectPr w:rsidR="00920801">
      <w:headerReference w:type="default" r:id="rId8"/>
      <w:footerReference w:type="even" r:id="rId9"/>
      <w:footerReference w:type="default" r:id="rId10"/>
      <w:pgSz w:w="11906" w:h="16838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AD" w:rsidRDefault="00F664AD">
      <w:r>
        <w:separator/>
      </w:r>
    </w:p>
  </w:endnote>
  <w:endnote w:type="continuationSeparator" w:id="0">
    <w:p w:rsidR="00F664AD" w:rsidRDefault="00F6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Segoe Print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 Italic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Arial Bold">
    <w:altName w:val="Arial"/>
    <w:charset w:val="00"/>
    <w:family w:val="auto"/>
    <w:pitch w:val="default"/>
    <w:sig w:usb0="00000000" w:usb1="00000000" w:usb2="00000001" w:usb3="00000000" w:csb0="400001BF" w:csb1="DFF7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6257206"/>
    </w:sdtPr>
    <w:sdtEndPr>
      <w:rPr>
        <w:rStyle w:val="PageNumber"/>
      </w:rPr>
    </w:sdtEndPr>
    <w:sdtContent>
      <w:p w:rsidR="00920801" w:rsidRDefault="00F664AD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20801" w:rsidRDefault="009208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43777616"/>
    </w:sdtPr>
    <w:sdtEndPr>
      <w:rPr>
        <w:rStyle w:val="PageNumber"/>
        <w:rFonts w:ascii="Arial" w:hAnsi="Arial" w:cs="Arial"/>
        <w:sz w:val="24"/>
      </w:rPr>
    </w:sdtEndPr>
    <w:sdtContent>
      <w:p w:rsidR="00920801" w:rsidRDefault="00F664AD">
        <w:pPr>
          <w:pStyle w:val="Footer"/>
          <w:framePr w:wrap="around" w:vAnchor="text" w:hAnchor="margin" w:xAlign="right" w:y="1"/>
          <w:rPr>
            <w:rStyle w:val="PageNumber"/>
            <w:rFonts w:ascii="Arial" w:hAnsi="Arial" w:cs="Arial"/>
            <w:sz w:val="24"/>
          </w:rPr>
        </w:pPr>
        <w:r>
          <w:rPr>
            <w:rStyle w:val="PageNumber"/>
            <w:rFonts w:ascii="Arial" w:hAnsi="Arial" w:cs="Arial"/>
            <w:sz w:val="24"/>
          </w:rPr>
          <w:fldChar w:fldCharType="begin"/>
        </w:r>
        <w:r>
          <w:rPr>
            <w:rStyle w:val="PageNumber"/>
            <w:rFonts w:ascii="Arial" w:hAnsi="Arial" w:cs="Arial"/>
            <w:sz w:val="24"/>
          </w:rPr>
          <w:instrText xml:space="preserve"> PAGE </w:instrText>
        </w:r>
        <w:r>
          <w:rPr>
            <w:rStyle w:val="PageNumber"/>
            <w:rFonts w:ascii="Arial" w:hAnsi="Arial" w:cs="Arial"/>
            <w:sz w:val="24"/>
          </w:rPr>
          <w:fldChar w:fldCharType="separate"/>
        </w:r>
        <w:r w:rsidR="000A63ED">
          <w:rPr>
            <w:rStyle w:val="PageNumber"/>
            <w:rFonts w:ascii="Arial" w:hAnsi="Arial" w:cs="Arial"/>
            <w:noProof/>
            <w:sz w:val="24"/>
          </w:rPr>
          <w:t>6</w:t>
        </w:r>
        <w:r>
          <w:rPr>
            <w:rStyle w:val="PageNumber"/>
            <w:rFonts w:ascii="Arial" w:hAnsi="Arial" w:cs="Arial"/>
            <w:sz w:val="24"/>
          </w:rPr>
          <w:fldChar w:fldCharType="end"/>
        </w:r>
      </w:p>
    </w:sdtContent>
  </w:sdt>
  <w:p w:rsidR="00920801" w:rsidRDefault="00920801">
    <w:pPr>
      <w:pStyle w:val="Footer"/>
      <w:ind w:right="360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AD" w:rsidRDefault="00F664AD">
      <w:r>
        <w:separator/>
      </w:r>
    </w:p>
  </w:footnote>
  <w:footnote w:type="continuationSeparator" w:id="0">
    <w:p w:rsidR="00F664AD" w:rsidRDefault="00F664AD">
      <w:r>
        <w:continuationSeparator/>
      </w:r>
    </w:p>
  </w:footnote>
  <w:footnote w:id="1">
    <w:p w:rsidR="00920801" w:rsidRDefault="00F664AD">
      <w:pPr>
        <w:spacing w:line="360" w:lineRule="auto"/>
        <w:rPr>
          <w:rFonts w:ascii="Arial" w:eastAsia="SimSun" w:hAnsi="Arial" w:cs="Arial"/>
          <w:sz w:val="24"/>
          <w:lang w:eastAsia="zh-CN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eastAsia="SimSun" w:hAnsi="Arial" w:cs="Arial"/>
          <w:sz w:val="13"/>
          <w:szCs w:val="13"/>
        </w:rPr>
        <w:t>SCUFN tasked the subgroup work</w:t>
      </w:r>
      <w:r>
        <w:rPr>
          <w:rFonts w:ascii="Arial" w:eastAsia="SimSun" w:hAnsi="Arial" w:cs="Arial" w:hint="eastAsia"/>
          <w:sz w:val="13"/>
          <w:szCs w:val="13"/>
          <w:lang w:eastAsia="zh-CN"/>
        </w:rPr>
        <w:t xml:space="preserve"> </w:t>
      </w:r>
      <w:r>
        <w:rPr>
          <w:rFonts w:ascii="Arial" w:eastAsia="SimSun" w:hAnsi="Arial" w:cs="Arial"/>
          <w:sz w:val="13"/>
          <w:szCs w:val="13"/>
        </w:rPr>
        <w:t xml:space="preserve">to </w:t>
      </w:r>
      <w:proofErr w:type="spellStart"/>
      <w:r>
        <w:rPr>
          <w:rFonts w:ascii="Arial" w:eastAsia="SimSun" w:hAnsi="Arial" w:cs="Arial"/>
          <w:sz w:val="13"/>
          <w:szCs w:val="13"/>
        </w:rPr>
        <w:t>Sihai</w:t>
      </w:r>
      <w:proofErr w:type="spellEnd"/>
      <w:r>
        <w:rPr>
          <w:rFonts w:ascii="Arial" w:eastAsia="SimSun" w:hAnsi="Arial" w:cs="Arial"/>
          <w:sz w:val="13"/>
          <w:szCs w:val="13"/>
        </w:rPr>
        <w:t xml:space="preserve"> Li and</w:t>
      </w:r>
      <w:r>
        <w:rPr>
          <w:rFonts w:ascii="Arial" w:eastAsia="SimSun" w:hAnsi="Arial" w:cs="Arial" w:hint="eastAsia"/>
          <w:sz w:val="13"/>
          <w:szCs w:val="13"/>
          <w:lang w:eastAsia="zh-CN"/>
        </w:rPr>
        <w:t xml:space="preserve"> </w:t>
      </w:r>
      <w:r>
        <w:rPr>
          <w:rFonts w:ascii="Arial" w:eastAsia="SimSun" w:hAnsi="Arial" w:cs="Arial"/>
          <w:sz w:val="13"/>
          <w:szCs w:val="13"/>
          <w:lang w:eastAsia="zh-CN"/>
        </w:rPr>
        <w:t xml:space="preserve">Said. </w:t>
      </w:r>
      <w:proofErr w:type="spellStart"/>
      <w:r>
        <w:rPr>
          <w:rFonts w:ascii="Arial" w:eastAsia="SimSun" w:hAnsi="Arial" w:cs="Arial"/>
          <w:sz w:val="13"/>
          <w:szCs w:val="13"/>
        </w:rPr>
        <w:t>Sihai</w:t>
      </w:r>
      <w:proofErr w:type="spellEnd"/>
      <w:r>
        <w:rPr>
          <w:rFonts w:ascii="Arial" w:eastAsia="SimSun" w:hAnsi="Arial" w:cs="Arial"/>
          <w:sz w:val="13"/>
          <w:szCs w:val="13"/>
        </w:rPr>
        <w:t xml:space="preserve"> Li drafted the proposal and sent to </w:t>
      </w:r>
      <w:r>
        <w:rPr>
          <w:rFonts w:ascii="Arial" w:eastAsia="SimSun" w:hAnsi="Arial" w:cs="Arial"/>
          <w:sz w:val="13"/>
          <w:szCs w:val="13"/>
          <w:lang w:eastAsia="zh-CN"/>
        </w:rPr>
        <w:t>Said</w:t>
      </w:r>
      <w:r>
        <w:rPr>
          <w:rFonts w:ascii="Arial" w:eastAsia="SimSun" w:hAnsi="Arial" w:cs="Arial" w:hint="eastAsia"/>
          <w:sz w:val="13"/>
          <w:szCs w:val="13"/>
          <w:lang w:eastAsia="zh-CN"/>
        </w:rPr>
        <w:t xml:space="preserve"> </w:t>
      </w:r>
      <w:r>
        <w:rPr>
          <w:rFonts w:ascii="Arial" w:eastAsia="SimSun" w:hAnsi="Arial" w:cs="Arial"/>
          <w:sz w:val="13"/>
          <w:szCs w:val="13"/>
        </w:rPr>
        <w:t xml:space="preserve">for his comments </w:t>
      </w:r>
      <w:r>
        <w:rPr>
          <w:rFonts w:ascii="Arial" w:eastAsia="SimSun" w:hAnsi="Arial" w:cs="Arial" w:hint="eastAsia"/>
          <w:sz w:val="13"/>
          <w:szCs w:val="13"/>
          <w:lang w:eastAsia="zh-CN"/>
        </w:rPr>
        <w:t>several</w:t>
      </w:r>
      <w:r>
        <w:rPr>
          <w:rFonts w:ascii="Arial" w:eastAsia="SimSun" w:hAnsi="Arial" w:cs="Arial"/>
          <w:sz w:val="13"/>
          <w:szCs w:val="13"/>
        </w:rPr>
        <w:t xml:space="preserve"> time</w:t>
      </w:r>
      <w:r>
        <w:rPr>
          <w:rFonts w:ascii="Arial" w:eastAsia="SimSun" w:hAnsi="Arial" w:cs="Arial" w:hint="eastAsia"/>
          <w:sz w:val="13"/>
          <w:szCs w:val="13"/>
          <w:lang w:eastAsia="zh-CN"/>
        </w:rPr>
        <w:t>s</w:t>
      </w:r>
      <w:r>
        <w:rPr>
          <w:rFonts w:ascii="Arial" w:eastAsia="SimSun" w:hAnsi="Arial" w:cs="Arial"/>
          <w:sz w:val="13"/>
          <w:szCs w:val="13"/>
        </w:rPr>
        <w:t>, but Li hasn</w:t>
      </w:r>
      <w:r>
        <w:rPr>
          <w:rFonts w:ascii="Arial" w:eastAsia="SimSun" w:hAnsi="Arial" w:cs="Arial"/>
          <w:sz w:val="13"/>
          <w:szCs w:val="13"/>
        </w:rPr>
        <w:t xml:space="preserve">’t </w:t>
      </w:r>
      <w:r>
        <w:rPr>
          <w:rFonts w:ascii="Arial" w:eastAsia="SimSun" w:hAnsi="Arial" w:cs="Arial"/>
          <w:sz w:val="13"/>
          <w:szCs w:val="13"/>
        </w:rPr>
        <w:t xml:space="preserve">got any substantial response from Said </w:t>
      </w:r>
      <w:r>
        <w:rPr>
          <w:rFonts w:ascii="Arial" w:eastAsia="SimSun" w:hAnsi="Arial" w:cs="Arial"/>
          <w:sz w:val="13"/>
          <w:szCs w:val="13"/>
        </w:rPr>
        <w:t>about the proposal by now. Considering the timetable set by last SCUFN Meeting</w:t>
      </w:r>
      <w:r>
        <w:rPr>
          <w:rFonts w:ascii="Arial" w:eastAsia="SimSun" w:hAnsi="Arial" w:cs="Arial" w:hint="eastAsia"/>
          <w:sz w:val="13"/>
          <w:szCs w:val="13"/>
          <w:lang w:eastAsia="zh-CN"/>
        </w:rPr>
        <w:t xml:space="preserve">, </w:t>
      </w:r>
      <w:r>
        <w:rPr>
          <w:rFonts w:ascii="Arial" w:eastAsia="SimSun" w:hAnsi="Arial" w:cs="Arial"/>
          <w:sz w:val="13"/>
          <w:szCs w:val="13"/>
          <w:lang w:eastAsia="zh-CN"/>
        </w:rPr>
        <w:t>Li has to</w:t>
      </w:r>
      <w:r>
        <w:rPr>
          <w:rFonts w:ascii="Arial" w:eastAsia="SimSun" w:hAnsi="Arial" w:cs="Arial" w:hint="eastAsia"/>
          <w:sz w:val="13"/>
          <w:szCs w:val="13"/>
          <w:lang w:eastAsia="zh-CN"/>
        </w:rPr>
        <w:t xml:space="preserve"> submit it to SCUFN</w:t>
      </w:r>
      <w:r>
        <w:rPr>
          <w:rFonts w:ascii="Arial" w:eastAsia="SimSun" w:hAnsi="Arial" w:cs="Arial"/>
          <w:sz w:val="13"/>
          <w:szCs w:val="13"/>
          <w:lang w:eastAsia="zh-CN"/>
        </w:rPr>
        <w:t xml:space="preserve"> for consideration</w:t>
      </w:r>
      <w:r>
        <w:rPr>
          <w:rFonts w:ascii="Arial" w:eastAsia="SimSun" w:hAnsi="Arial" w:cs="Arial" w:hint="eastAsia"/>
          <w:sz w:val="13"/>
          <w:szCs w:val="13"/>
          <w:lang w:eastAsia="zh-CN"/>
        </w:rPr>
        <w:t xml:space="preserve"> in the name of </w:t>
      </w:r>
      <w:r>
        <w:rPr>
          <w:rFonts w:ascii="Arial" w:eastAsia="SimSun" w:hAnsi="Arial" w:cs="Arial"/>
          <w:sz w:val="13"/>
          <w:szCs w:val="13"/>
          <w:lang w:eastAsia="zh-CN"/>
        </w:rPr>
        <w:t>him</w:t>
      </w:r>
      <w:r>
        <w:rPr>
          <w:rFonts w:ascii="Arial" w:eastAsia="SimSun" w:hAnsi="Arial" w:cs="Arial" w:hint="eastAsia"/>
          <w:sz w:val="13"/>
          <w:szCs w:val="13"/>
          <w:lang w:eastAsia="zh-CN"/>
        </w:rPr>
        <w:t>self</w:t>
      </w:r>
      <w:r>
        <w:rPr>
          <w:rFonts w:ascii="Arial" w:eastAsia="SimSun" w:hAnsi="Arial" w:cs="Arial"/>
          <w:sz w:val="13"/>
          <w:szCs w:val="13"/>
          <w:lang w:eastAsia="zh-CN"/>
        </w:rPr>
        <w:t xml:space="preserve"> alone</w:t>
      </w:r>
      <w:r>
        <w:rPr>
          <w:rFonts w:ascii="Arial" w:eastAsia="SimSun" w:hAnsi="Arial" w:cs="Arial" w:hint="eastAsia"/>
          <w:sz w:val="13"/>
          <w:szCs w:val="13"/>
          <w:lang w:eastAsia="zh-CN"/>
        </w:rPr>
        <w:t>.</w:t>
      </w:r>
    </w:p>
    <w:p w:rsidR="00920801" w:rsidRDefault="0092080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01" w:rsidRDefault="00F664AD">
    <w:pPr>
      <w:pStyle w:val="Header"/>
      <w:jc w:val="right"/>
      <w:rPr>
        <w:rFonts w:ascii="Arial" w:hAnsi="Arial" w:cs="Arial"/>
        <w:b/>
        <w:sz w:val="22"/>
        <w:szCs w:val="22"/>
        <w:lang w:val="fr-FR"/>
      </w:rPr>
    </w:pPr>
    <w:r>
      <w:rPr>
        <w:rFonts w:ascii="Arial" w:hAnsi="Arial" w:cs="Arial"/>
        <w:b/>
        <w:sz w:val="22"/>
        <w:szCs w:val="22"/>
        <w:bdr w:val="single" w:sz="4" w:space="0" w:color="auto"/>
        <w:lang w:val="fr-FR"/>
      </w:rPr>
      <w:t>SCUFN35.</w:t>
    </w:r>
    <w:r w:rsidR="000A63ED">
      <w:rPr>
        <w:rFonts w:ascii="Arial" w:hAnsi="Arial" w:cs="Arial"/>
        <w:b/>
        <w:sz w:val="22"/>
        <w:szCs w:val="22"/>
        <w:bdr w:val="single" w:sz="4" w:space="0" w:color="auto"/>
        <w:lang w:val="fr-FR"/>
      </w:rPr>
      <w:t>2</w:t>
    </w:r>
    <w:r>
      <w:rPr>
        <w:rFonts w:ascii="Arial" w:hAnsi="Arial" w:cs="Arial"/>
        <w:b/>
        <w:sz w:val="22"/>
        <w:szCs w:val="22"/>
        <w:bdr w:val="single" w:sz="4" w:space="0" w:color="auto"/>
        <w:lang w:val="fr-FR"/>
      </w:rPr>
      <w:t>-</w:t>
    </w:r>
    <w:r w:rsidR="000A63ED">
      <w:rPr>
        <w:rFonts w:ascii="Arial" w:hAnsi="Arial" w:cs="Arial"/>
        <w:b/>
        <w:sz w:val="22"/>
        <w:szCs w:val="22"/>
        <w:bdr w:val="single" w:sz="4" w:space="0" w:color="auto"/>
        <w:lang w:val="fr-FR"/>
      </w:rPr>
      <w:t>03.7A</w:t>
    </w:r>
  </w:p>
  <w:p w:rsidR="00920801" w:rsidRDefault="00920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DFEC6CB"/>
    <w:multiLevelType w:val="multilevel"/>
    <w:tmpl w:val="FDFEC6C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FE76BD66"/>
    <w:multiLevelType w:val="singleLevel"/>
    <w:tmpl w:val="FE76BD66"/>
    <w:lvl w:ilvl="0">
      <w:start w:val="6"/>
      <w:numFmt w:val="decimal"/>
      <w:suff w:val="space"/>
      <w:lvlText w:val="%1."/>
      <w:lvlJc w:val="left"/>
    </w:lvl>
  </w:abstractNum>
  <w:abstractNum w:abstractNumId="2">
    <w:nsid w:val="08670625"/>
    <w:multiLevelType w:val="multilevel"/>
    <w:tmpl w:val="086706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AE2B4D"/>
    <w:multiLevelType w:val="multilevel"/>
    <w:tmpl w:val="4EAE2B4D"/>
    <w:lvl w:ilvl="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63161D1B"/>
    <w:multiLevelType w:val="singleLevel"/>
    <w:tmpl w:val="63161D1B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631622A5"/>
    <w:multiLevelType w:val="singleLevel"/>
    <w:tmpl w:val="631622A5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631622DD"/>
    <w:multiLevelType w:val="singleLevel"/>
    <w:tmpl w:val="631622DD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6316247B"/>
    <w:multiLevelType w:val="singleLevel"/>
    <w:tmpl w:val="6316247B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6316256F"/>
    <w:multiLevelType w:val="singleLevel"/>
    <w:tmpl w:val="6316256F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6316259E"/>
    <w:multiLevelType w:val="multilevel"/>
    <w:tmpl w:val="6316259E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0">
    <w:nsid w:val="631625C0"/>
    <w:multiLevelType w:val="singleLevel"/>
    <w:tmpl w:val="631625C0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63162602"/>
    <w:multiLevelType w:val="singleLevel"/>
    <w:tmpl w:val="63162602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63162621"/>
    <w:multiLevelType w:val="singleLevel"/>
    <w:tmpl w:val="63162621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63162951"/>
    <w:multiLevelType w:val="singleLevel"/>
    <w:tmpl w:val="63162951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40"/>
  <w:hyphenationZone w:val="42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4ZmMzNmVhMWEyYWQxNmU4ODAzN2JlNzg4MmMyZGYifQ=="/>
  </w:docVars>
  <w:rsids>
    <w:rsidRoot w:val="00F853C8"/>
    <w:rsid w:val="D5FFBA7D"/>
    <w:rsid w:val="DAD3EE15"/>
    <w:rsid w:val="EBFF5127"/>
    <w:rsid w:val="EC7A8CEC"/>
    <w:rsid w:val="F3ED6036"/>
    <w:rsid w:val="FDFB88A0"/>
    <w:rsid w:val="FE774813"/>
    <w:rsid w:val="FFBBE201"/>
    <w:rsid w:val="FFC14C46"/>
    <w:rsid w:val="000A63ED"/>
    <w:rsid w:val="0015687B"/>
    <w:rsid w:val="00270871"/>
    <w:rsid w:val="004A773B"/>
    <w:rsid w:val="005906CC"/>
    <w:rsid w:val="00842A95"/>
    <w:rsid w:val="008B6848"/>
    <w:rsid w:val="00920801"/>
    <w:rsid w:val="00BD3A1C"/>
    <w:rsid w:val="00BD6B4E"/>
    <w:rsid w:val="00CE06D7"/>
    <w:rsid w:val="00D76BB7"/>
    <w:rsid w:val="00DC799C"/>
    <w:rsid w:val="00E964C9"/>
    <w:rsid w:val="00F664AD"/>
    <w:rsid w:val="00F853C8"/>
    <w:rsid w:val="1AD07C92"/>
    <w:rsid w:val="1B5D1CDE"/>
    <w:rsid w:val="21625AEC"/>
    <w:rsid w:val="4F685662"/>
    <w:rsid w:val="537F56CD"/>
    <w:rsid w:val="54E23B9C"/>
    <w:rsid w:val="57EE93CB"/>
    <w:rsid w:val="58B877AD"/>
    <w:rsid w:val="5E30211A"/>
    <w:rsid w:val="5FF8899B"/>
    <w:rsid w:val="68E662C4"/>
    <w:rsid w:val="6D5B25FF"/>
    <w:rsid w:val="6FFF29A5"/>
    <w:rsid w:val="76F758E0"/>
    <w:rsid w:val="7BF759D8"/>
    <w:rsid w:val="7BFF0207"/>
    <w:rsid w:val="7DBE8DE2"/>
    <w:rsid w:val="7FFE4779"/>
    <w:rsid w:val="B5DFB7A0"/>
    <w:rsid w:val="B8B7243F"/>
    <w:rsid w:val="B9F3F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9247887-D67E-4339-B3ED-286D274F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NZ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widowControl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FootnoteText">
    <w:name w:val="footnote text"/>
    <w:basedOn w:val="Normal"/>
    <w:uiPriority w:val="99"/>
    <w:unhideWhenUsed/>
    <w:qFormat/>
    <w:pPr>
      <w:snapToGrid w:val="0"/>
      <w:jc w:val="left"/>
    </w:pPr>
    <w:rPr>
      <w:sz w:val="18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  <w:lang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uiPriority w:val="99"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paragraph" w:customStyle="1" w:styleId="1">
    <w:name w:val="列表段落1"/>
    <w:basedOn w:val="Normal"/>
    <w:uiPriority w:val="1"/>
    <w:qFormat/>
    <w:pPr>
      <w:ind w:leftChars="400" w:left="84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NZ" w:eastAsia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val="en-NZ" w:eastAsia="en-US"/>
    </w:rPr>
  </w:style>
  <w:style w:type="paragraph" w:customStyle="1" w:styleId="TableParagraph">
    <w:name w:val="Table Paragraph"/>
    <w:basedOn w:val="Normal"/>
    <w:uiPriority w:val="1"/>
    <w:qFormat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:szCs w:val="22"/>
      <w:lang w:eastAsia="en-US" w:bidi="en-US"/>
    </w:rPr>
  </w:style>
  <w:style w:type="character" w:customStyle="1" w:styleId="10">
    <w:name w:val="未处理的提及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qFormat/>
    <w:rPr>
      <w:rFonts w:ascii="Calibri" w:hAnsi="Calibri" w:cs="Calibri" w:hint="default"/>
      <w:b/>
      <w:bCs/>
      <w:color w:val="000000"/>
      <w:sz w:val="22"/>
      <w:szCs w:val="22"/>
    </w:rPr>
  </w:style>
  <w:style w:type="paragraph" w:customStyle="1" w:styleId="ListParagraph1">
    <w:name w:val="List Paragraph1"/>
    <w:basedOn w:val="Normal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1523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yashirame</dc:creator>
  <cp:lastModifiedBy>Yves GUILLAM</cp:lastModifiedBy>
  <cp:revision>3</cp:revision>
  <dcterms:created xsi:type="dcterms:W3CDTF">2022-10-18T05:51:00Z</dcterms:created>
  <dcterms:modified xsi:type="dcterms:W3CDTF">2022-10-18T05:52:00Z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0EBF2F1DEDC742B79F7C8F120D08FF48</vt:lpwstr>
  </property>
</Properties>
</file>