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A6A0" w14:textId="77777777" w:rsidR="00C26F2D" w:rsidRDefault="00F7109D" w:rsidP="009E619D">
      <w:pPr>
        <w:rPr>
          <w:lang w:val="es-ES_tradnl"/>
        </w:rPr>
      </w:pPr>
      <w:bookmarkStart w:id="0" w:name="_GoBack"/>
      <w:bookmarkEnd w:id="0"/>
    </w:p>
    <w:p w14:paraId="07504555" w14:textId="77777777" w:rsidR="002F0A13" w:rsidRDefault="00F7109D" w:rsidP="004B4A60">
      <w:pPr>
        <w:rPr>
          <w:b/>
          <w:u w:val="single"/>
          <w:lang w:val="es-ES_tradnl"/>
        </w:rPr>
      </w:pPr>
    </w:p>
    <w:p w14:paraId="2D809570" w14:textId="77777777" w:rsidR="002F0A13" w:rsidRDefault="00F7109D" w:rsidP="004B4A60">
      <w:pPr>
        <w:rPr>
          <w:b/>
          <w:u w:val="single"/>
          <w:lang w:val="es-ES_tradnl"/>
        </w:rPr>
      </w:pPr>
    </w:p>
    <w:p w14:paraId="38F1AF12" w14:textId="77777777" w:rsidR="002F0A13" w:rsidRDefault="00F7109D" w:rsidP="004B4A60">
      <w:pPr>
        <w:rPr>
          <w:b/>
          <w:u w:val="single"/>
          <w:lang w:val="es-ES_tradnl"/>
        </w:rPr>
      </w:pPr>
    </w:p>
    <w:p w14:paraId="2AD62706" w14:textId="77777777" w:rsidR="002F0A13" w:rsidRDefault="00F7109D" w:rsidP="004B4A60">
      <w:pPr>
        <w:rPr>
          <w:b/>
          <w:u w:val="single"/>
          <w:lang w:val="es-ES_tradnl"/>
        </w:rPr>
      </w:pPr>
    </w:p>
    <w:p w14:paraId="74A3D0B7" w14:textId="77777777" w:rsidR="00C26F2D" w:rsidRDefault="00F7109D" w:rsidP="004B4A60">
      <w:pPr>
        <w:rPr>
          <w:b/>
          <w:u w:val="single"/>
          <w:lang w:val="es-ES_tradnl"/>
        </w:rPr>
      </w:pPr>
    </w:p>
    <w:p w14:paraId="4B8AFDE2" w14:textId="472F48C3" w:rsidR="004B4A60" w:rsidRPr="002C5231" w:rsidRDefault="002C5231" w:rsidP="001B789F">
      <w:pPr>
        <w:pStyle w:val="ATSTitle"/>
        <w:rPr>
          <w:lang w:val="es-AR"/>
        </w:rPr>
      </w:pPr>
      <w:bookmarkStart w:id="1" w:name="name"/>
      <w:r w:rsidRPr="002C5231">
        <w:rPr>
          <w:lang w:val="es-AR"/>
        </w:rPr>
        <w:t>Informe de la Organización Hidrográfica Internacional (OHI)</w:t>
      </w:r>
    </w:p>
    <w:bookmarkEnd w:id="1"/>
    <w:p w14:paraId="2E3A9541" w14:textId="77777777" w:rsidR="007B0708" w:rsidRPr="002C5231" w:rsidRDefault="007B0708" w:rsidP="001B789F">
      <w:pPr>
        <w:pStyle w:val="ATSTitle"/>
        <w:rPr>
          <w:lang w:val="es-AR"/>
        </w:rPr>
      </w:pPr>
    </w:p>
    <w:p w14:paraId="187CA366" w14:textId="77777777" w:rsidR="004B4A60" w:rsidRPr="002C5231" w:rsidRDefault="00F7109D" w:rsidP="00F75424">
      <w:pPr>
        <w:jc w:val="center"/>
        <w:rPr>
          <w:lang w:val="es-AR"/>
        </w:rPr>
      </w:pPr>
    </w:p>
    <w:p w14:paraId="00955028" w14:textId="77777777" w:rsidR="004B4A60" w:rsidRPr="002C5231" w:rsidRDefault="00F7109D" w:rsidP="002F0A13">
      <w:pPr>
        <w:rPr>
          <w:lang w:val="es-AR"/>
        </w:rPr>
      </w:pPr>
    </w:p>
    <w:p w14:paraId="7B30C8AC" w14:textId="77777777" w:rsidR="004B4A60" w:rsidRPr="002C5231" w:rsidRDefault="002C5231" w:rsidP="00F75424">
      <w:pPr>
        <w:jc w:val="center"/>
        <w:rPr>
          <w:lang w:val="es-AR"/>
        </w:rPr>
      </w:pPr>
      <w:bookmarkStart w:id="2" w:name="memo"/>
      <w:r w:rsidRPr="002C5231">
        <w:rPr>
          <w:lang w:val="es-AR"/>
        </w:rPr>
        <w:t>Traducción al español provista por el autor</w:t>
      </w:r>
      <w:bookmarkEnd w:id="2"/>
    </w:p>
    <w:p w14:paraId="198F6CE4" w14:textId="77777777" w:rsidR="004B4A60" w:rsidRPr="002C5231" w:rsidRDefault="00F7109D" w:rsidP="004B4A60">
      <w:pPr>
        <w:rPr>
          <w:lang w:val="es-AR"/>
        </w:rPr>
      </w:pPr>
    </w:p>
    <w:p w14:paraId="2E513654" w14:textId="77777777" w:rsidR="00C26F2D" w:rsidRPr="002C5231" w:rsidRDefault="00F7109D" w:rsidP="00952E9F">
      <w:pPr>
        <w:rPr>
          <w:lang w:val="es-AR"/>
        </w:rPr>
        <w:sectPr w:rsidR="00C26F2D" w:rsidRPr="002C5231" w:rsidSect="000E1D5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09" w:footer="709" w:gutter="0"/>
          <w:cols w:space="708"/>
          <w:docGrid w:linePitch="360"/>
        </w:sectPr>
      </w:pPr>
    </w:p>
    <w:p w14:paraId="7C9E03A3" w14:textId="119C52AE" w:rsidR="004B4A60" w:rsidRDefault="00F7109D" w:rsidP="00952E9F">
      <w:pPr>
        <w:rPr>
          <w:lang w:val="es-AR"/>
        </w:rPr>
      </w:pPr>
    </w:p>
    <w:p w14:paraId="351C91E3" w14:textId="49CBAB67" w:rsidR="002C5231" w:rsidRDefault="002C5231" w:rsidP="00952E9F">
      <w:pPr>
        <w:rPr>
          <w:lang w:val="es-AR"/>
        </w:rPr>
      </w:pPr>
    </w:p>
    <w:p w14:paraId="20C65705" w14:textId="1F25DB8C" w:rsidR="002C5231" w:rsidRPr="002C5231" w:rsidRDefault="002C5231" w:rsidP="002C5231">
      <w:pPr>
        <w:pStyle w:val="ATSHeading1"/>
        <w:rPr>
          <w:lang w:val="es-AR"/>
        </w:rPr>
      </w:pPr>
      <w:r w:rsidRPr="002C5231">
        <w:rPr>
          <w:lang w:val="es-AR"/>
        </w:rPr>
        <w:t>Informe de la Secretaría de la Organización Hidrográfica Internacional en calidad de Presidente de la Comisión Hidrográfica de la OHI sobre la Antártida</w:t>
      </w:r>
    </w:p>
    <w:p w14:paraId="6CF3EDB6" w14:textId="77777777" w:rsidR="002C5231" w:rsidRPr="00AD216E" w:rsidRDefault="002C5231" w:rsidP="002C5231">
      <w:pPr>
        <w:jc w:val="center"/>
        <w:rPr>
          <w:b/>
          <w:i/>
          <w:sz w:val="28"/>
          <w:lang w:val="es-ES_tradnl"/>
        </w:rPr>
      </w:pPr>
      <w:r w:rsidRPr="00AD216E">
        <w:rPr>
          <w:b/>
          <w:i/>
          <w:sz w:val="28"/>
          <w:lang w:val="es-ES_tradnl"/>
        </w:rPr>
        <w:t>Resoluciones N.</w:t>
      </w:r>
      <w:r w:rsidRPr="00AD216E">
        <w:rPr>
          <w:b/>
          <w:i/>
          <w:sz w:val="28"/>
          <w:vertAlign w:val="superscript"/>
          <w:lang w:val="es-ES_tradnl"/>
        </w:rPr>
        <w:t>os</w:t>
      </w:r>
      <w:r w:rsidRPr="00AD216E">
        <w:rPr>
          <w:b/>
          <w:i/>
          <w:sz w:val="28"/>
          <w:lang w:val="es-ES_tradnl"/>
        </w:rPr>
        <w:t xml:space="preserve"> 5 de la RCTA (2008) y (2014) y 6 (2019) -  ¿Ahora qué sigue?</w:t>
      </w:r>
    </w:p>
    <w:p w14:paraId="24766456" w14:textId="77777777" w:rsidR="002C5231" w:rsidRPr="00AD216E" w:rsidRDefault="002C5231" w:rsidP="002C5231">
      <w:pPr>
        <w:pStyle w:val="ATSNormal"/>
        <w:spacing w:before="0" w:after="0"/>
        <w:jc w:val="center"/>
        <w:rPr>
          <w:sz w:val="28"/>
          <w:lang w:val="es-ES_tradnl"/>
        </w:rPr>
      </w:pPr>
    </w:p>
    <w:p w14:paraId="74052D4F" w14:textId="77777777" w:rsidR="002C5231" w:rsidRPr="00AD216E" w:rsidRDefault="002C5231" w:rsidP="002C5231">
      <w:pPr>
        <w:pStyle w:val="ATSHeading2"/>
        <w:keepNext/>
        <w:rPr>
          <w:lang w:val="es-ES_tradnl"/>
        </w:rPr>
      </w:pPr>
      <w:r w:rsidRPr="00AD216E">
        <w:rPr>
          <w:lang w:val="es-ES_tradnl"/>
        </w:rPr>
        <w:t>Introducción</w:t>
      </w:r>
    </w:p>
    <w:p w14:paraId="05A82F62"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La Organización Hidrográfica Internacional (OHI) es una organización intergubernamental de carácter técnico y consultivo. Cuenta con 94 Estados Miembros.  Cada Estado está representado normalmente por el Director de su Servicio Hidrográfico nacional.</w:t>
      </w:r>
    </w:p>
    <w:p w14:paraId="202E637F" w14:textId="77777777" w:rsidR="002C5231" w:rsidRPr="00AD216E" w:rsidRDefault="002C5231" w:rsidP="002C5231">
      <w:pPr>
        <w:pStyle w:val="ATSNormal"/>
        <w:jc w:val="both"/>
        <w:rPr>
          <w:lang w:val="es-ES_tradnl"/>
        </w:rPr>
      </w:pPr>
      <w:r w:rsidRPr="00AD216E">
        <w:rPr>
          <w:lang w:val="es-ES_tradnl"/>
        </w:rPr>
        <w:t>La OHI coordina a nivel mundial el establecimiento de normas para  datos hidrográficos y el suministro de servicios hidrográficos en apoyo de la seguridad de la navegación y la protección y el uso sostenible del medio ambiente marino. El objetivo principal de la OHI es garantizar que todos los mares, océanos y aguas navegables mundiales estén levantados y cartografiados.</w:t>
      </w:r>
    </w:p>
    <w:p w14:paraId="2EABCF03" w14:textId="77777777" w:rsidR="002C5231" w:rsidRPr="00AD216E" w:rsidRDefault="002C5231" w:rsidP="002C5231">
      <w:pPr>
        <w:pStyle w:val="ATSHeading2"/>
        <w:keepNext/>
        <w:rPr>
          <w:lang w:val="es-ES_tradnl"/>
        </w:rPr>
      </w:pPr>
      <w:r w:rsidRPr="00AD216E">
        <w:rPr>
          <w:lang w:val="es-ES_tradnl"/>
        </w:rPr>
        <w:t>Importancia de la Hidrografía en la Antártida</w:t>
      </w:r>
    </w:p>
    <w:p w14:paraId="103171B2" w14:textId="77777777" w:rsidR="002C5231" w:rsidRPr="00AD216E" w:rsidRDefault="002C5231" w:rsidP="002C5231">
      <w:pPr>
        <w:pStyle w:val="ATSNormal"/>
        <w:jc w:val="both"/>
        <w:rPr>
          <w:rFonts w:eastAsia="Calibri"/>
          <w:lang w:val="es-ES_tradnl"/>
        </w:rPr>
      </w:pPr>
      <w:r w:rsidRPr="00AD216E">
        <w:rPr>
          <w:rFonts w:eastAsia="Calibri"/>
          <w:lang w:val="es-ES_tradnl"/>
        </w:rPr>
        <w:t>La información hidrográfica es un requisito previo fundamental para el desarrollo de actividades humanas exitosas y ambientalmente sostenibles en los mares y océanos.  Desgraciadamente, en varios lugares del mundo, especialmente en la Antártida, hay poca información hidrográfica o ninguna.</w:t>
      </w:r>
    </w:p>
    <w:p w14:paraId="53E377B4" w14:textId="77777777" w:rsidR="002C5231" w:rsidRPr="00AD216E" w:rsidRDefault="002C5231" w:rsidP="002C5231">
      <w:pPr>
        <w:pStyle w:val="ATSHeading2"/>
        <w:keepNext/>
        <w:rPr>
          <w:lang w:val="es-ES_tradnl"/>
        </w:rPr>
      </w:pPr>
      <w:r w:rsidRPr="00AD216E">
        <w:rPr>
          <w:lang w:val="es-ES_tradnl"/>
        </w:rPr>
        <w:t xml:space="preserve">Comisión Hidrográfica de la OHI sobre la Antártida (CHA) y aún más </w:t>
      </w:r>
    </w:p>
    <w:p w14:paraId="58741D84" w14:textId="77777777" w:rsidR="002C5231" w:rsidRPr="00AD216E" w:rsidRDefault="002C5231" w:rsidP="002C5231">
      <w:pPr>
        <w:pStyle w:val="ATSNormal"/>
        <w:jc w:val="both"/>
        <w:rPr>
          <w:rFonts w:eastAsia="Calibri"/>
          <w:lang w:val="es-ES_tradnl"/>
        </w:rPr>
      </w:pPr>
      <w:r w:rsidRPr="00AD216E">
        <w:rPr>
          <w:rFonts w:eastAsia="Calibri"/>
          <w:lang w:val="es-ES_tradnl"/>
        </w:rPr>
        <w:t>La CHA es el principal órgano en manos de la OHI para tratar los asuntos de la Antártida.</w:t>
      </w:r>
    </w:p>
    <w:p w14:paraId="799D24B8" w14:textId="3B3F0752" w:rsidR="002C5231" w:rsidRPr="00AD216E" w:rsidRDefault="002C5231" w:rsidP="002C5231">
      <w:pPr>
        <w:pStyle w:val="ATSNormal"/>
        <w:jc w:val="both"/>
        <w:rPr>
          <w:rFonts w:eastAsia="Calibri"/>
          <w:lang w:val="es-ES_tradnl"/>
        </w:rPr>
      </w:pPr>
      <w:r w:rsidRPr="00AD216E">
        <w:rPr>
          <w:rFonts w:eastAsia="Calibri"/>
          <w:lang w:val="es-ES_tradnl"/>
        </w:rPr>
        <w:t>La CHA cuenta con 24 Estados Miembros de la OHI (Alemania, Argentina, Australia, Brasil, Chile, China, Colombia, Ecuador, España, Estados Unidos, Federación de Rusia, Francia, Grecia, India, Italia, Japón, Noruega, Nueva Zelanda, Perú, Reino Unido, República de Corea, Sudáfrica</w:t>
      </w:r>
      <w:r w:rsidR="00DB7907">
        <w:rPr>
          <w:rFonts w:eastAsia="Calibri"/>
          <w:lang w:val="es-ES_tradnl"/>
        </w:rPr>
        <w:t xml:space="preserve">, </w:t>
      </w:r>
      <w:r w:rsidRPr="00AD216E">
        <w:rPr>
          <w:rFonts w:eastAsia="Calibri"/>
          <w:lang w:val="es-ES_tradnl"/>
        </w:rPr>
        <w:t>Uruguay</w:t>
      </w:r>
      <w:r w:rsidR="00DB7907">
        <w:rPr>
          <w:rFonts w:eastAsia="Calibri"/>
          <w:lang w:val="es-ES_tradnl"/>
        </w:rPr>
        <w:t xml:space="preserve"> y Venezuela</w:t>
      </w:r>
      <w:r w:rsidRPr="00AD216E">
        <w:rPr>
          <w:rFonts w:eastAsia="Calibri"/>
          <w:lang w:val="es-ES_tradnl"/>
        </w:rPr>
        <w:t>). Todos ellos han adherido al Tratado Antártico y, por lo tanto, también están representados directamente en la RCTA.</w:t>
      </w:r>
    </w:p>
    <w:p w14:paraId="1C96A9E5"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La Comisión Hidrográfica de la OHI sobre la Antártida (CHA) fue formada en 1998, con el objetivo de coordinar las actividades entre sus Estados Miembros para mejorar la calidad, la cobertura y la disponibilidad de cartografía náutica y otra información y servicios geoespaciales e hidrográficos marinos que cubren la región antártica.</w:t>
      </w:r>
    </w:p>
    <w:p w14:paraId="5B008431"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La OHI está implicada en actividades de las Regiones Polares en general, a través de la CHA para el Antártico, pero también a través de la Comisión Hidrográfica Regional Ártica (CHRA) para la Región Ártica, en apoyo del Consejo Ártico y de su Grupo de Trabajo para la Protección del Medio Ambiente Marino Ártico (PAME) en particular. Este doble compromiso de la OHI en las Regiones Polares es un factor clave para el desarrollo de sinergias en diversos ámbitos (tecnologías autónomas de cartografía de los fondos marinos, desarrollo de nuevos servicios operativos S-100 y portales geoespaciales en apoyo de las necesidades de los usuarios).</w:t>
      </w:r>
    </w:p>
    <w:p w14:paraId="3DDC2903" w14:textId="77777777" w:rsidR="002C5231" w:rsidRPr="00AD216E" w:rsidRDefault="002C5231" w:rsidP="002C5231">
      <w:pPr>
        <w:pStyle w:val="ATSHeading2"/>
        <w:keepNext/>
        <w:rPr>
          <w:lang w:val="es-ES_tradnl"/>
        </w:rPr>
      </w:pPr>
      <w:r w:rsidRPr="00AD216E">
        <w:rPr>
          <w:lang w:val="es-ES_tradnl"/>
        </w:rPr>
        <w:t>La CHA y la IBCSO de GEBCO</w:t>
      </w:r>
    </w:p>
    <w:p w14:paraId="421E306E"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 xml:space="preserve">El Dr. Boris </w:t>
      </w:r>
      <w:r w:rsidRPr="00AD216E">
        <w:rPr>
          <w:rFonts w:eastAsia="Arial Unicode MS"/>
          <w:smallCaps/>
          <w:lang w:val="es-ES_tradnl"/>
        </w:rPr>
        <w:t>Dorschell</w:t>
      </w:r>
      <w:r w:rsidRPr="00AD216E">
        <w:rPr>
          <w:rFonts w:eastAsia="Arial Unicode MS"/>
          <w:lang w:val="es-ES_tradnl"/>
        </w:rPr>
        <w:t xml:space="preserve"> (</w:t>
      </w:r>
      <w:r w:rsidRPr="00AD216E">
        <w:rPr>
          <w:rFonts w:eastAsia="Arial Unicode MS"/>
          <w:i/>
          <w:lang w:val="es-ES_tradnl"/>
        </w:rPr>
        <w:t>Alfred Wegener Institute for Polar and Marinen Research</w:t>
      </w:r>
      <w:r w:rsidRPr="00AD216E">
        <w:rPr>
          <w:rFonts w:eastAsia="Arial Unicode MS"/>
          <w:lang w:val="es-ES_tradnl"/>
        </w:rPr>
        <w:t xml:space="preserve">, Alemania) es el responsable de la compilación de la 2.ª versión de la Carta Batimétrica Internacional del Océano Austral </w:t>
      </w:r>
      <w:r w:rsidRPr="00AD216E">
        <w:rPr>
          <w:rFonts w:eastAsia="Arial Unicode MS"/>
          <w:lang w:val="es-ES_tradnl"/>
        </w:rPr>
        <w:lastRenderedPageBreak/>
        <w:t>(IBCSO) de GEBCO</w:t>
      </w:r>
      <w:r w:rsidRPr="00AD216E">
        <w:rPr>
          <w:rStyle w:val="FootnoteReference"/>
          <w:rFonts w:eastAsia="Arial Unicode MS"/>
          <w:lang w:val="es-ES_tradnl"/>
        </w:rPr>
        <w:footnoteReference w:id="1"/>
      </w:r>
      <w:r w:rsidRPr="00AD216E">
        <w:rPr>
          <w:rFonts w:eastAsia="Arial Unicode MS"/>
          <w:lang w:val="es-ES_tradnl"/>
        </w:rPr>
        <w:t xml:space="preserve">, un nuevo modelo batimétrico reticulado de alta resolución (500 m). A principios del 2021, la CHA hizo una petición a sus Miembros para que compartiesen sus datos con el Jefe de Proyecto,  con el fin de apoyar la fase de compilación. Esta petición se aplica no sólo a los Servicios Hidrográficos que representan a sus naciones en la OHI, sino también a los institutos científicos y de investigación de todo el mundo. </w:t>
      </w:r>
    </w:p>
    <w:p w14:paraId="1B34CBB9" w14:textId="77777777" w:rsidR="002C5231" w:rsidRPr="00AD216E" w:rsidRDefault="002C5231" w:rsidP="002C5231">
      <w:pPr>
        <w:pStyle w:val="ATSHeading2"/>
        <w:keepNext/>
        <w:rPr>
          <w:lang w:val="es-ES_tradnl"/>
        </w:rPr>
      </w:pPr>
      <w:r w:rsidRPr="00AD216E">
        <w:rPr>
          <w:lang w:val="es-ES_tradnl"/>
        </w:rPr>
        <w:t>La CHA y la RCTA</w:t>
      </w:r>
    </w:p>
    <w:p w14:paraId="537830ED"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La CHA ha establecido buenos vínculos con la RCTA, con la Secretaría del Tratado Antártico y con otras organizaciones de apoyo (IAATO, SCAR, COMNAP, Quantarctica, ...) durante muchos años gracias a la recogida de datos, el intercambio de información, la participación regular en las reuniones consultivas de la RCTA en calidad de observadora o organizando seminarios y talleres paralelos a las reuniones de los Grupos de Trabajo de la RCTA.</w:t>
      </w:r>
    </w:p>
    <w:p w14:paraId="44F9E131"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Tras una propuesta efectuada por la OHI en la RCTA XL en Pekín, en el 2017, se invitó a la OHI a organizar un seminario de sensibilización en la RCTA XLII en Praga, en el 2019. Desde entonces, el Secretario Ejecutivo del Tratado Antártico ha invitado gentilmente a la OHI a considerar el envío de expertos a la RCTA XLIII en París, en el 2021.</w:t>
      </w:r>
    </w:p>
    <w:p w14:paraId="4141009F"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La OHI se complace en confirmar que la celebración de la 17.ª Conferencia de la CHA está prevista en París, los días 14 y 15 de junio del 2021, y será gentilmente organizada por el SHOM, el Servicio Hidrográfico y Oceanográfico francés. Este evento proporcionará una buena oportunidad para que los Miembros de la CHA participen en la RCTA XLIII y proporcionen apoyo a su delegación.</w:t>
      </w:r>
    </w:p>
    <w:p w14:paraId="75C1BC35" w14:textId="77777777" w:rsidR="002C5231" w:rsidRPr="00AD216E" w:rsidRDefault="002C5231" w:rsidP="002C5231">
      <w:pPr>
        <w:pStyle w:val="ATSNormal"/>
        <w:jc w:val="both"/>
        <w:rPr>
          <w:rFonts w:eastAsia="Arial Unicode MS"/>
          <w:lang w:val="es-ES_tradnl"/>
        </w:rPr>
      </w:pPr>
      <w:r w:rsidRPr="00AD216E">
        <w:rPr>
          <w:rFonts w:eastAsia="Arial Unicode MS"/>
          <w:lang w:val="es-ES_tradnl"/>
        </w:rPr>
        <w:t>Desde la perspectiva de la RCTA, el principal resultado de esta larga cooperación entre la RCTA y la OHI puede resumirse simplemente recordando 3 importantes Resoluciones de la RCTA, adoptadas desde el 2008 al 2019. Éstas son:</w:t>
      </w:r>
    </w:p>
    <w:p w14:paraId="245E4567" w14:textId="77777777" w:rsidR="002C5231" w:rsidRPr="00AD216E" w:rsidRDefault="002C5231" w:rsidP="002C5231">
      <w:pPr>
        <w:pStyle w:val="ATSNormal"/>
        <w:numPr>
          <w:ilvl w:val="0"/>
          <w:numId w:val="21"/>
        </w:numPr>
        <w:jc w:val="both"/>
        <w:rPr>
          <w:rFonts w:eastAsia="Calibri"/>
          <w:lang w:val="es-ES_tradnl"/>
        </w:rPr>
      </w:pPr>
      <w:r w:rsidRPr="00AD216E">
        <w:rPr>
          <w:rFonts w:eastAsia="Calibri"/>
          <w:lang w:val="es-ES_tradnl"/>
        </w:rPr>
        <w:t xml:space="preserve">Resolución N.° 5 de la RCTA (2008): </w:t>
      </w:r>
      <w:r w:rsidRPr="00AD216E">
        <w:rPr>
          <w:rFonts w:eastAsia="Calibri"/>
          <w:i/>
          <w:lang w:val="es-ES_tradnl"/>
        </w:rPr>
        <w:t>Improving Hydrographic Surveying and Charting to Support Safety of Navigation in the Antarctic Region</w:t>
      </w:r>
      <w:r w:rsidRPr="00AD216E">
        <w:rPr>
          <w:rFonts w:eastAsia="Calibri"/>
          <w:lang w:val="es-ES_tradnl"/>
        </w:rPr>
        <w:t xml:space="preserve"> (Mejorar los Levantamientos Hidrográficos y la Cartografía de las Aguas Antárticas);</w:t>
      </w:r>
    </w:p>
    <w:p w14:paraId="4F99358B" w14:textId="77777777" w:rsidR="002C5231" w:rsidRPr="00AD216E" w:rsidRDefault="002C5231" w:rsidP="002C5231">
      <w:pPr>
        <w:pStyle w:val="ATSNormal"/>
        <w:numPr>
          <w:ilvl w:val="0"/>
          <w:numId w:val="21"/>
        </w:numPr>
        <w:jc w:val="both"/>
        <w:rPr>
          <w:rFonts w:eastAsia="Calibri"/>
          <w:lang w:val="es-ES_tradnl"/>
        </w:rPr>
      </w:pPr>
      <w:r w:rsidRPr="00AD216E">
        <w:rPr>
          <w:rFonts w:eastAsia="Calibri"/>
          <w:lang w:val="es-ES_tradnl"/>
        </w:rPr>
        <w:t xml:space="preserve">Resolución N.° 5 de la RCTA (2014): </w:t>
      </w:r>
      <w:r w:rsidRPr="00AD216E">
        <w:rPr>
          <w:rFonts w:eastAsia="Calibri"/>
          <w:i/>
          <w:lang w:val="es-ES_tradnl"/>
        </w:rPr>
        <w:t xml:space="preserve">Strengthening Cooperation in Hydrographic Surveying and Charting of Antarctic Waters </w:t>
      </w:r>
      <w:r w:rsidRPr="00AD216E">
        <w:rPr>
          <w:rFonts w:eastAsia="Calibri"/>
          <w:lang w:val="es-ES_tradnl"/>
        </w:rPr>
        <w:t>(Reforzar la Cooperación en los Levantamientos Hidrográficos  y la Cartografía de las Aguas Antárticas);</w:t>
      </w:r>
    </w:p>
    <w:p w14:paraId="43A7E705" w14:textId="77777777" w:rsidR="002C5231" w:rsidRPr="00AD216E" w:rsidRDefault="002C5231" w:rsidP="002C5231">
      <w:pPr>
        <w:pStyle w:val="ATSNormal"/>
        <w:numPr>
          <w:ilvl w:val="0"/>
          <w:numId w:val="21"/>
        </w:numPr>
        <w:jc w:val="both"/>
        <w:rPr>
          <w:rFonts w:eastAsia="Calibri"/>
          <w:lang w:val="es-ES_tradnl"/>
        </w:rPr>
      </w:pPr>
      <w:r w:rsidRPr="00AD216E">
        <w:rPr>
          <w:rFonts w:eastAsia="Calibri"/>
          <w:lang w:val="es-ES_tradnl"/>
        </w:rPr>
        <w:t xml:space="preserve">Resolución N.° 6 de la RCTA (2019): </w:t>
      </w:r>
      <w:r w:rsidRPr="00AD216E">
        <w:rPr>
          <w:rFonts w:eastAsia="Calibri"/>
          <w:i/>
          <w:lang w:val="es-ES_tradnl"/>
        </w:rPr>
        <w:t xml:space="preserve">Hydrographic Mapping of Antarctic Waters </w:t>
      </w:r>
      <w:r w:rsidRPr="00AD216E">
        <w:rPr>
          <w:rFonts w:eastAsia="Calibri"/>
          <w:lang w:val="es-ES_tradnl"/>
        </w:rPr>
        <w:t>(Cartografía Hidrográfica de las Aguas Antárticas).</w:t>
      </w:r>
    </w:p>
    <w:p w14:paraId="1B567646" w14:textId="77777777" w:rsidR="002C5231" w:rsidRPr="00AD216E" w:rsidRDefault="002C5231" w:rsidP="002C5231">
      <w:pPr>
        <w:pStyle w:val="ATSNormal"/>
        <w:jc w:val="both"/>
        <w:rPr>
          <w:rFonts w:eastAsia="Calibri"/>
          <w:lang w:val="es-ES_tradnl"/>
        </w:rPr>
      </w:pPr>
      <w:r w:rsidRPr="00AD216E">
        <w:rPr>
          <w:rFonts w:eastAsia="Calibri"/>
          <w:lang w:val="es-ES_tradnl"/>
        </w:rPr>
        <w:t>No cabe duda de que las recomendaciones que se recogen en estas Resoluciones son elementos clave para algunas naciones implicadas en la investigación científica en aguas antárticas. También son impulsores clave para algunos Servicios Hidrográficos de la OHI. Han sido bien identificadas por las partes interesadas en las semanas, los meses posteriores a las reuniones anuales de la RCTA, pero luego tienden a «sedimentarse» y se olvidan... hasta el siguiente seminario, taller, presión de la OHI... seguidos de otra Resolución de la RCTA.</w:t>
      </w:r>
    </w:p>
    <w:p w14:paraId="5F040B88" w14:textId="77777777" w:rsidR="002C5231" w:rsidRPr="00AD216E" w:rsidRDefault="002C5231" w:rsidP="002C5231">
      <w:pPr>
        <w:pStyle w:val="ATSNormal"/>
        <w:jc w:val="center"/>
        <w:rPr>
          <w:rFonts w:eastAsia="Calibri"/>
          <w:b/>
          <w:i/>
          <w:lang w:val="es-ES_tradnl"/>
        </w:rPr>
      </w:pPr>
      <w:r w:rsidRPr="00AD216E">
        <w:rPr>
          <w:rFonts w:eastAsia="Calibri"/>
          <w:lang w:val="es-ES_tradnl"/>
        </w:rPr>
        <w:t xml:space="preserve">Entonces, la pregunta debería ser: </w:t>
      </w:r>
      <w:r w:rsidRPr="00AD216E">
        <w:rPr>
          <w:rFonts w:eastAsia="Calibri"/>
          <w:b/>
          <w:i/>
          <w:lang w:val="es-ES_tradnl"/>
        </w:rPr>
        <w:t>¿Ahora qué sigue?</w:t>
      </w:r>
    </w:p>
    <w:p w14:paraId="393B51C6" w14:textId="77777777" w:rsidR="002C5231" w:rsidRPr="00AD216E" w:rsidRDefault="002C5231" w:rsidP="002C5231">
      <w:pPr>
        <w:pStyle w:val="ATSNormal"/>
        <w:jc w:val="both"/>
        <w:rPr>
          <w:rFonts w:eastAsia="Calibri"/>
          <w:lang w:val="es-ES_tradnl"/>
        </w:rPr>
      </w:pPr>
      <w:r w:rsidRPr="00AD216E">
        <w:rPr>
          <w:rFonts w:eastAsia="Calibri"/>
          <w:lang w:val="es-ES_tradnl"/>
        </w:rPr>
        <w:t>En el Seminario de la OHI celebrado en Praga (RCTA XLII, 2019), el Secretario General de la OHI sugirió, con estas palabras finales:</w:t>
      </w:r>
    </w:p>
    <w:p w14:paraId="33BCEBF4" w14:textId="77777777" w:rsidR="002C5231" w:rsidRPr="00AD216E" w:rsidRDefault="002C5231" w:rsidP="002C5231">
      <w:pPr>
        <w:pStyle w:val="ATSNormal"/>
        <w:jc w:val="both"/>
        <w:rPr>
          <w:rFonts w:eastAsia="Calibri"/>
          <w:lang w:val="es-ES_tradnl"/>
        </w:rPr>
      </w:pPr>
    </w:p>
    <w:p w14:paraId="71B4AD01" w14:textId="77777777" w:rsidR="002C5231" w:rsidRPr="00AD216E" w:rsidRDefault="002C5231" w:rsidP="002C5231">
      <w:pPr>
        <w:pStyle w:val="ATSNormal"/>
        <w:jc w:val="center"/>
        <w:rPr>
          <w:rFonts w:eastAsia="Calibri"/>
          <w:lang w:val="es-ES_tradnl"/>
        </w:rPr>
      </w:pPr>
      <w:r w:rsidRPr="00AD216E">
        <w:rPr>
          <w:rFonts w:eastAsia="Calibri"/>
          <w:noProof/>
          <w:lang w:val="en-US" w:eastAsia="en-US"/>
        </w:rPr>
        <w:lastRenderedPageBreak/>
        <w:drawing>
          <wp:inline distT="0" distB="0" distL="0" distR="0" wp14:anchorId="0E6A92EE" wp14:editId="29935C8D">
            <wp:extent cx="4245996" cy="2221891"/>
            <wp:effectExtent l="0" t="0" r="2540" b="6985"/>
            <wp:docPr id="7" name="Picture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o, Cart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256076" cy="2227166"/>
                    </a:xfrm>
                    <a:prstGeom prst="rect">
                      <a:avLst/>
                    </a:prstGeom>
                  </pic:spPr>
                </pic:pic>
              </a:graphicData>
            </a:graphic>
          </wp:inline>
        </w:drawing>
      </w:r>
    </w:p>
    <w:p w14:paraId="3B5DF680" w14:textId="77777777" w:rsidR="002C5231" w:rsidRPr="00AD216E" w:rsidRDefault="002C5231" w:rsidP="002C5231">
      <w:pPr>
        <w:pStyle w:val="ATSNormal"/>
        <w:spacing w:before="0" w:after="0" w:line="240" w:lineRule="exact"/>
        <w:jc w:val="both"/>
        <w:rPr>
          <w:rFonts w:eastAsia="Calibri"/>
          <w:lang w:val="es-ES_tradnl"/>
        </w:rPr>
      </w:pPr>
    </w:p>
    <w:p w14:paraId="1EC65F26" w14:textId="77777777" w:rsidR="002C5231" w:rsidRPr="00AD216E" w:rsidRDefault="002C5231" w:rsidP="002C5231">
      <w:pPr>
        <w:pStyle w:val="ATSNormal"/>
        <w:spacing w:before="0" w:after="0" w:line="240" w:lineRule="exact"/>
        <w:jc w:val="both"/>
        <w:rPr>
          <w:rFonts w:eastAsia="Calibri"/>
          <w:lang w:val="es-ES_tradnl"/>
        </w:rPr>
      </w:pPr>
      <w:r w:rsidRPr="00AD216E">
        <w:rPr>
          <w:rFonts w:eastAsia="Calibri"/>
          <w:noProof/>
          <w:lang w:val="en-US" w:eastAsia="en-US"/>
        </w:rPr>
        <w:drawing>
          <wp:inline distT="0" distB="0" distL="0" distR="0" wp14:anchorId="15524785" wp14:editId="108E78EF">
            <wp:extent cx="6120765" cy="3149600"/>
            <wp:effectExtent l="0" t="0" r="0" b="0"/>
            <wp:docPr id="4" name="Picture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o, Cart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6120765" cy="3149600"/>
                    </a:xfrm>
                    <a:prstGeom prst="rect">
                      <a:avLst/>
                    </a:prstGeom>
                  </pic:spPr>
                </pic:pic>
              </a:graphicData>
            </a:graphic>
          </wp:inline>
        </w:drawing>
      </w:r>
    </w:p>
    <w:p w14:paraId="3B3CF5B1" w14:textId="77777777" w:rsidR="002C5231" w:rsidRPr="00AD216E" w:rsidRDefault="002C5231" w:rsidP="002C5231">
      <w:pPr>
        <w:pStyle w:val="ATSNormal"/>
        <w:jc w:val="center"/>
        <w:rPr>
          <w:rFonts w:eastAsia="Calibri"/>
          <w:lang w:val="es-ES_tradnl"/>
        </w:rPr>
      </w:pPr>
    </w:p>
    <w:p w14:paraId="2CAA6CAE" w14:textId="77777777" w:rsidR="002C5231" w:rsidRPr="00AD216E" w:rsidRDefault="002C5231" w:rsidP="002C5231">
      <w:pPr>
        <w:pStyle w:val="ATSNormal"/>
        <w:jc w:val="both"/>
        <w:rPr>
          <w:rFonts w:eastAsia="Calibri"/>
          <w:lang w:val="es-ES_tradnl"/>
        </w:rPr>
      </w:pPr>
      <w:r w:rsidRPr="00AD216E">
        <w:rPr>
          <w:rFonts w:eastAsia="Calibri"/>
          <w:lang w:val="es-ES_tradnl"/>
        </w:rPr>
        <w:t>transformar la Resolución en un plan operativo eficaz que puede ser apoyado por la OHI, un plan operativo que cumpla los requisitos de la RCTA. El primer paso es, sin duda, identificar, recoger y clasificar por  prioridades estos requisitos. Esta tarea es responsabilidad de la RCTA.</w:t>
      </w:r>
    </w:p>
    <w:p w14:paraId="21181FD6" w14:textId="77777777" w:rsidR="002C5231" w:rsidRPr="00AD216E" w:rsidRDefault="002C5231" w:rsidP="002C5231">
      <w:pPr>
        <w:pStyle w:val="ATSHeading2"/>
        <w:keepNext/>
        <w:rPr>
          <w:lang w:val="es-ES_tradnl"/>
        </w:rPr>
      </w:pPr>
      <w:r w:rsidRPr="00AD216E">
        <w:rPr>
          <w:lang w:val="es-ES_tradnl"/>
        </w:rPr>
        <w:t xml:space="preserve">Propuestas para su consideración por la RCTA </w:t>
      </w:r>
    </w:p>
    <w:p w14:paraId="358A194D" w14:textId="77777777" w:rsidR="002C5231" w:rsidRPr="00AD216E" w:rsidRDefault="002C5231" w:rsidP="002C5231">
      <w:pPr>
        <w:pStyle w:val="ATSNormal"/>
        <w:jc w:val="both"/>
        <w:rPr>
          <w:rFonts w:eastAsia="Calibri"/>
          <w:lang w:val="es-ES_tradnl"/>
        </w:rPr>
      </w:pPr>
      <w:r w:rsidRPr="00AD216E">
        <w:rPr>
          <w:rFonts w:eastAsia="Calibri"/>
          <w:lang w:val="es-ES_tradnl"/>
        </w:rPr>
        <w:t>En conformidad con las Resoluciones de la RCTA N.° 5 (2008) y (2014) y 6 (2019), la OHI está dispuesta a apoyar la implementación por parte de la RCTA de las etapas 1a, 1b y 1c (véase más arriba) y queda a disposición de la Secretaría del Tratado Antártico para hacerlo.</w:t>
      </w:r>
    </w:p>
    <w:p w14:paraId="0DF98088" w14:textId="77777777" w:rsidR="002C5231" w:rsidRPr="00AD216E" w:rsidRDefault="002C5231" w:rsidP="002C5231">
      <w:pPr>
        <w:pStyle w:val="ATSNormal"/>
        <w:jc w:val="both"/>
        <w:rPr>
          <w:rFonts w:eastAsia="Calibri"/>
          <w:lang w:val="es-ES_tradnl"/>
        </w:rPr>
      </w:pPr>
      <w:r w:rsidRPr="00AD216E">
        <w:rPr>
          <w:rFonts w:eastAsia="Calibri"/>
          <w:lang w:val="es-ES_tradnl"/>
        </w:rPr>
        <w:t>Se invita a la RCTA a tomar nota del trabajo en curso con la compilación de la versión 2.0 de la retícula batimétrica de alta resolución de la IBSCO de GEBCO y a compartir sus datos batimétricos con el Jefe de Proyecto, en aplicación de las Resoluciones de la RCTA. Los requisitos técnicos pueden facilitarse a la demanda  (</w:t>
      </w:r>
      <w:hyperlink r:id="rId15" w:history="1">
        <w:r w:rsidRPr="00AD216E">
          <w:rPr>
            <w:rStyle w:val="Hyperlink"/>
            <w:rFonts w:eastAsia="Calibri"/>
            <w:lang w:val="es-ES_tradnl"/>
          </w:rPr>
          <w:t>adcs@iho.int</w:t>
        </w:r>
      </w:hyperlink>
      <w:r w:rsidRPr="00AD216E">
        <w:rPr>
          <w:rFonts w:eastAsia="Calibri"/>
          <w:lang w:val="es-ES_tradnl"/>
        </w:rPr>
        <w:t xml:space="preserve"> or </w:t>
      </w:r>
      <w:hyperlink r:id="rId16" w:history="1">
        <w:r w:rsidRPr="00AD216E">
          <w:rPr>
            <w:rStyle w:val="Hyperlink"/>
            <w:rFonts w:eastAsia="Calibri"/>
            <w:lang w:val="es-ES_tradnl"/>
          </w:rPr>
          <w:t>boris.dorschel@awi.de</w:t>
        </w:r>
      </w:hyperlink>
      <w:r w:rsidRPr="00AD216E">
        <w:rPr>
          <w:rFonts w:eastAsia="Calibri"/>
          <w:lang w:val="es-ES_tradnl"/>
        </w:rPr>
        <w:t>).</w:t>
      </w:r>
    </w:p>
    <w:p w14:paraId="37C4A7EA" w14:textId="77777777" w:rsidR="002C5231" w:rsidRPr="00AD216E" w:rsidRDefault="002C5231" w:rsidP="002C5231">
      <w:pPr>
        <w:pStyle w:val="ATSNormal"/>
        <w:jc w:val="both"/>
        <w:rPr>
          <w:rFonts w:eastAsia="Calibri"/>
          <w:lang w:val="es-ES_tradnl"/>
        </w:rPr>
      </w:pPr>
      <w:r w:rsidRPr="00AD216E">
        <w:rPr>
          <w:rFonts w:eastAsia="Calibri"/>
          <w:lang w:val="es-ES_tradnl"/>
        </w:rPr>
        <w:t xml:space="preserve">Finalmente, de requerir información adicional sobre las actividades de la OHI en la Antártida, la encontrarán en: </w:t>
      </w:r>
      <w:hyperlink r:id="rId17" w:history="1">
        <w:r w:rsidRPr="00AD216E">
          <w:rPr>
            <w:rStyle w:val="Hyperlink"/>
            <w:rFonts w:eastAsia="Calibri"/>
            <w:lang w:val="es-ES_tradnl"/>
          </w:rPr>
          <w:t>https://lnkd.in/dQEzM2h</w:t>
        </w:r>
      </w:hyperlink>
    </w:p>
    <w:p w14:paraId="257B7047" w14:textId="77777777" w:rsidR="002C5231" w:rsidRPr="002C5231" w:rsidRDefault="002C5231" w:rsidP="00952E9F">
      <w:pPr>
        <w:rPr>
          <w:lang w:val="es-ES_tradnl"/>
        </w:rPr>
      </w:pPr>
    </w:p>
    <w:sectPr w:rsidR="002C5231" w:rsidRPr="002C5231" w:rsidSect="00C26F2D">
      <w:headerReference w:type="default" r:id="rId18"/>
      <w:footerReference w:type="default" r:id="rId19"/>
      <w:type w:val="oddPage"/>
      <w:pgSz w:w="11907" w:h="16840" w:code="9"/>
      <w:pgMar w:top="773"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344FF" w14:textId="77777777" w:rsidR="00F7109D" w:rsidRDefault="00F7109D">
      <w:r>
        <w:separator/>
      </w:r>
    </w:p>
  </w:endnote>
  <w:endnote w:type="continuationSeparator" w:id="0">
    <w:p w14:paraId="066AE99A" w14:textId="77777777" w:rsidR="00F7109D" w:rsidRDefault="00F7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1E1E2" w14:textId="77777777" w:rsidR="00FA0B9F" w:rsidRDefault="002C5231" w:rsidP="00CF5C82">
    <w:pPr>
      <w:framePr w:wrap="around" w:vAnchor="text" w:hAnchor="margin" w:xAlign="right" w:y="1"/>
    </w:pPr>
    <w:r>
      <w:fldChar w:fldCharType="begin"/>
    </w:r>
    <w:r>
      <w:instrText xml:space="preserve">PAGE  </w:instrText>
    </w:r>
    <w:r>
      <w:fldChar w:fldCharType="end"/>
    </w:r>
  </w:p>
  <w:p w14:paraId="54337264" w14:textId="77777777" w:rsidR="00FA0B9F" w:rsidRDefault="00F7109D" w:rsidP="00FA0B9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63AD0" w14:textId="77777777" w:rsidR="00FA0B9F" w:rsidRDefault="002C5231" w:rsidP="00CF5C82">
    <w:pPr>
      <w:framePr w:wrap="around" w:vAnchor="text" w:hAnchor="margin" w:xAlign="right" w:y="1"/>
    </w:pPr>
    <w:r>
      <w:fldChar w:fldCharType="begin"/>
    </w:r>
    <w:r>
      <w:instrText xml:space="preserve">PAGE  </w:instrText>
    </w:r>
    <w:r>
      <w:fldChar w:fldCharType="separate"/>
    </w:r>
    <w:r w:rsidR="00D814AB">
      <w:rPr>
        <w:noProof/>
      </w:rPr>
      <w:t>1</w:t>
    </w:r>
    <w:r>
      <w:fldChar w:fldCharType="end"/>
    </w:r>
  </w:p>
  <w:p w14:paraId="6D0B2569" w14:textId="7106168F" w:rsidR="00FA0B9F" w:rsidRDefault="00F7109D" w:rsidP="002C523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3E3A" w14:textId="77777777" w:rsidR="00531E38" w:rsidRDefault="00531E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BE61" w14:textId="77777777" w:rsidR="00E311C9" w:rsidRDefault="002C5231" w:rsidP="00CF5C82">
    <w:pPr>
      <w:framePr w:wrap="around" w:vAnchor="text" w:hAnchor="margin" w:xAlign="right" w:y="1"/>
    </w:pPr>
    <w:r>
      <w:fldChar w:fldCharType="begin"/>
    </w:r>
    <w:r>
      <w:instrText xml:space="preserve">PAGE  </w:instrText>
    </w:r>
    <w:r>
      <w:fldChar w:fldCharType="separate"/>
    </w:r>
    <w:r w:rsidR="00D814AB">
      <w:rPr>
        <w:noProof/>
      </w:rPr>
      <w:t>4</w:t>
    </w:r>
    <w:r>
      <w:fldChar w:fldCharType="end"/>
    </w:r>
  </w:p>
  <w:p w14:paraId="00187718" w14:textId="77777777" w:rsidR="00E311C9" w:rsidRDefault="00F7109D" w:rsidP="00E311C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3572" w14:textId="77777777" w:rsidR="00F7109D" w:rsidRDefault="00F7109D">
      <w:r>
        <w:separator/>
      </w:r>
    </w:p>
  </w:footnote>
  <w:footnote w:type="continuationSeparator" w:id="0">
    <w:p w14:paraId="06F48807" w14:textId="77777777" w:rsidR="00F7109D" w:rsidRDefault="00F7109D">
      <w:r>
        <w:continuationSeparator/>
      </w:r>
    </w:p>
  </w:footnote>
  <w:footnote w:id="1">
    <w:p w14:paraId="44C22478" w14:textId="77777777" w:rsidR="002C5231" w:rsidRPr="00196E36" w:rsidRDefault="002C5231" w:rsidP="002C5231">
      <w:pPr>
        <w:pStyle w:val="FootnoteText"/>
        <w:rPr>
          <w:lang w:val="es-ES"/>
        </w:rPr>
      </w:pPr>
      <w:r>
        <w:rPr>
          <w:rStyle w:val="FootnoteReference"/>
        </w:rPr>
        <w:footnoteRef/>
      </w:r>
      <w:r w:rsidRPr="00196E36">
        <w:rPr>
          <w:lang w:val="es-ES"/>
        </w:rPr>
        <w:t xml:space="preserve"> Carta Batimétrica General de los Océanos</w:t>
      </w:r>
      <w:r>
        <w:rPr>
          <w:lang w:val="es-ES"/>
        </w:rPr>
        <w:t xml:space="preserve">, un programa </w:t>
      </w:r>
      <w:r w:rsidRPr="00196E36">
        <w:rPr>
          <w:lang w:val="es-ES"/>
        </w:rPr>
        <w:t>O</w:t>
      </w:r>
      <w:r>
        <w:rPr>
          <w:lang w:val="es-ES"/>
        </w:rPr>
        <w:t>HI</w:t>
      </w:r>
      <w:r w:rsidRPr="00196E36">
        <w:rPr>
          <w:lang w:val="es-ES"/>
        </w:rPr>
        <w:t>-</w:t>
      </w:r>
      <w:r>
        <w:rPr>
          <w:lang w:val="es-ES"/>
        </w:rPr>
        <w:t>COI</w:t>
      </w:r>
      <w:r w:rsidRPr="00196E3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DF74" w14:textId="77777777" w:rsidR="00531E38" w:rsidRDefault="00531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2" w:type="dxa"/>
      <w:jc w:val="center"/>
      <w:tblLook w:val="01E0" w:firstRow="1" w:lastRow="1" w:firstColumn="1" w:lastColumn="1" w:noHBand="0" w:noVBand="0"/>
    </w:tblPr>
    <w:tblGrid>
      <w:gridCol w:w="5671"/>
      <w:gridCol w:w="3232"/>
      <w:gridCol w:w="839"/>
      <w:gridCol w:w="991"/>
      <w:gridCol w:w="609"/>
    </w:tblGrid>
    <w:tr w:rsidR="007B0708" w14:paraId="2E5ADB71" w14:textId="77777777" w:rsidTr="002169D4">
      <w:trPr>
        <w:trHeight w:val="354"/>
        <w:jc w:val="center"/>
      </w:trPr>
      <w:tc>
        <w:tcPr>
          <w:tcW w:w="5672" w:type="dxa"/>
        </w:tcPr>
        <w:p w14:paraId="5D353A36" w14:textId="77777777" w:rsidR="00C449BA" w:rsidRDefault="00F7109D" w:rsidP="002A07BC"/>
      </w:tc>
      <w:tc>
        <w:tcPr>
          <w:tcW w:w="4071" w:type="dxa"/>
          <w:gridSpan w:val="2"/>
        </w:tcPr>
        <w:p w14:paraId="5E07003C" w14:textId="77777777" w:rsidR="00C449BA" w:rsidRPr="000A4CD7" w:rsidRDefault="002C5231" w:rsidP="002A07BC">
          <w:pPr>
            <w:jc w:val="right"/>
            <w:rPr>
              <w:b/>
              <w:sz w:val="32"/>
              <w:szCs w:val="32"/>
            </w:rPr>
          </w:pPr>
          <w:bookmarkStart w:id="3" w:name="type"/>
          <w:r w:rsidRPr="000A4CD7">
            <w:rPr>
              <w:b/>
              <w:sz w:val="32"/>
              <w:szCs w:val="32"/>
            </w:rPr>
            <w:t>IP</w:t>
          </w:r>
          <w:bookmarkEnd w:id="3"/>
        </w:p>
      </w:tc>
      <w:tc>
        <w:tcPr>
          <w:tcW w:w="1599" w:type="dxa"/>
          <w:gridSpan w:val="2"/>
        </w:tcPr>
        <w:p w14:paraId="4DA0D6BC" w14:textId="77777777" w:rsidR="00C449BA" w:rsidRPr="000A4CD7" w:rsidRDefault="002C5231" w:rsidP="002A07BC">
          <w:pPr>
            <w:rPr>
              <w:b/>
              <w:sz w:val="32"/>
              <w:szCs w:val="32"/>
            </w:rPr>
          </w:pPr>
          <w:bookmarkStart w:id="4" w:name="number"/>
          <w:r w:rsidRPr="000A4CD7">
            <w:rPr>
              <w:b/>
              <w:sz w:val="32"/>
              <w:szCs w:val="32"/>
            </w:rPr>
            <w:t>4</w:t>
          </w:r>
          <w:bookmarkEnd w:id="4"/>
        </w:p>
      </w:tc>
    </w:tr>
    <w:tr w:rsidR="007B0708" w14:paraId="75BCD757" w14:textId="77777777" w:rsidTr="002169D4">
      <w:trPr>
        <w:trHeight w:val="2244"/>
        <w:jc w:val="center"/>
      </w:trPr>
      <w:tc>
        <w:tcPr>
          <w:tcW w:w="5671" w:type="dxa"/>
        </w:tcPr>
        <w:p w14:paraId="6EA13C2A" w14:textId="77777777" w:rsidR="002169D4" w:rsidRPr="00550FDE" w:rsidRDefault="002C5231" w:rsidP="002A07BC">
          <w:pPr>
            <w:rPr>
              <w:b/>
              <w:sz w:val="28"/>
              <w:szCs w:val="28"/>
              <w:lang w:val="es-AR"/>
            </w:rPr>
          </w:pPr>
          <w:r>
            <w:rPr>
              <w:b/>
              <w:noProof/>
              <w:sz w:val="28"/>
              <w:szCs w:val="28"/>
            </w:rPr>
            <w:drawing>
              <wp:inline distT="0" distB="0" distL="0" distR="0" wp14:anchorId="5CF98C8B" wp14:editId="6C919E7D">
                <wp:extent cx="2992755" cy="1621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3309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2755" cy="1621155"/>
                        </a:xfrm>
                        <a:prstGeom prst="rect">
                          <a:avLst/>
                        </a:prstGeom>
                        <a:noFill/>
                        <a:ln>
                          <a:noFill/>
                        </a:ln>
                      </pic:spPr>
                    </pic:pic>
                  </a:graphicData>
                </a:graphic>
              </wp:inline>
            </w:drawing>
          </w:r>
        </w:p>
      </w:tc>
      <w:tc>
        <w:tcPr>
          <w:tcW w:w="5671" w:type="dxa"/>
          <w:gridSpan w:val="4"/>
          <w:vAlign w:val="center"/>
        </w:tcPr>
        <w:p w14:paraId="3A8E075A" w14:textId="77777777" w:rsidR="002169D4" w:rsidRPr="002169D4" w:rsidRDefault="002C5231" w:rsidP="002169D4">
          <w:pPr>
            <w:jc w:val="right"/>
            <w:rPr>
              <w:sz w:val="144"/>
              <w:szCs w:val="144"/>
              <w:lang w:val="es-ES_tradnl"/>
            </w:rPr>
          </w:pPr>
          <w:r w:rsidRPr="002169D4">
            <w:rPr>
              <w:sz w:val="144"/>
              <w:szCs w:val="144"/>
              <w:lang w:val="es-ES_tradnl"/>
            </w:rPr>
            <w:t>ESP</w:t>
          </w:r>
        </w:p>
      </w:tc>
    </w:tr>
    <w:tr w:rsidR="007B0708" w14:paraId="6300F824" w14:textId="77777777" w:rsidTr="002169D4">
      <w:trPr>
        <w:trHeight w:val="420"/>
        <w:jc w:val="center"/>
      </w:trPr>
      <w:tc>
        <w:tcPr>
          <w:tcW w:w="8904" w:type="dxa"/>
          <w:gridSpan w:val="2"/>
        </w:tcPr>
        <w:p w14:paraId="689E2807" w14:textId="77777777" w:rsidR="000A4CD7" w:rsidRDefault="002C5231" w:rsidP="008D2157">
          <w:pPr>
            <w:jc w:val="right"/>
          </w:pPr>
          <w:r>
            <w:t>Tema del Programa:</w:t>
          </w:r>
        </w:p>
      </w:tc>
      <w:tc>
        <w:tcPr>
          <w:tcW w:w="1830" w:type="dxa"/>
          <w:gridSpan w:val="2"/>
        </w:tcPr>
        <w:p w14:paraId="16728576" w14:textId="3FF133BF" w:rsidR="000A4CD7" w:rsidRDefault="002C5231" w:rsidP="008D2157">
          <w:pPr>
            <w:jc w:val="right"/>
          </w:pPr>
          <w:bookmarkStart w:id="5" w:name="agenda"/>
          <w:r>
            <w:t>RCTA 4</w:t>
          </w:r>
          <w:bookmarkEnd w:id="5"/>
          <w:r w:rsidR="00531E38">
            <w:t xml:space="preserve">, </w:t>
          </w:r>
          <w:r w:rsidR="00531E38">
            <w:br/>
            <w:t>RCTA 13</w:t>
          </w:r>
        </w:p>
      </w:tc>
      <w:tc>
        <w:tcPr>
          <w:tcW w:w="608" w:type="dxa"/>
        </w:tcPr>
        <w:p w14:paraId="4276CF71" w14:textId="77777777" w:rsidR="000A4CD7" w:rsidRDefault="00F7109D" w:rsidP="00387A65">
          <w:pPr>
            <w:jc w:val="right"/>
          </w:pPr>
        </w:p>
      </w:tc>
    </w:tr>
    <w:tr w:rsidR="007B0708" w14:paraId="5C909F63" w14:textId="77777777" w:rsidTr="002169D4">
      <w:trPr>
        <w:trHeight w:val="408"/>
        <w:jc w:val="center"/>
      </w:trPr>
      <w:tc>
        <w:tcPr>
          <w:tcW w:w="8904" w:type="dxa"/>
          <w:gridSpan w:val="2"/>
        </w:tcPr>
        <w:p w14:paraId="373C71F8" w14:textId="77777777" w:rsidR="000A4CD7" w:rsidRDefault="002C5231" w:rsidP="008D2157">
          <w:pPr>
            <w:jc w:val="right"/>
          </w:pPr>
          <w:r>
            <w:t>Presentado por:</w:t>
          </w:r>
        </w:p>
      </w:tc>
      <w:tc>
        <w:tcPr>
          <w:tcW w:w="1830" w:type="dxa"/>
          <w:gridSpan w:val="2"/>
        </w:tcPr>
        <w:p w14:paraId="24ECF85C" w14:textId="77777777" w:rsidR="000A4CD7" w:rsidRDefault="002C5231" w:rsidP="008D2157">
          <w:pPr>
            <w:jc w:val="right"/>
          </w:pPr>
          <w:bookmarkStart w:id="6" w:name="party"/>
          <w:r>
            <w:t>OHI</w:t>
          </w:r>
          <w:bookmarkEnd w:id="6"/>
        </w:p>
      </w:tc>
      <w:tc>
        <w:tcPr>
          <w:tcW w:w="608" w:type="dxa"/>
        </w:tcPr>
        <w:p w14:paraId="32009CEB" w14:textId="77777777" w:rsidR="000A4CD7" w:rsidRDefault="00F7109D" w:rsidP="00387A65">
          <w:pPr>
            <w:jc w:val="right"/>
          </w:pPr>
        </w:p>
      </w:tc>
    </w:tr>
    <w:tr w:rsidR="007B0708" w14:paraId="7250ACEC" w14:textId="77777777" w:rsidTr="002169D4">
      <w:trPr>
        <w:trHeight w:val="420"/>
        <w:jc w:val="center"/>
      </w:trPr>
      <w:tc>
        <w:tcPr>
          <w:tcW w:w="8904" w:type="dxa"/>
          <w:gridSpan w:val="2"/>
        </w:tcPr>
        <w:p w14:paraId="333F85C3" w14:textId="77777777" w:rsidR="000A4CD7" w:rsidRDefault="002C5231" w:rsidP="008D2157">
          <w:pPr>
            <w:jc w:val="right"/>
          </w:pPr>
          <w:r>
            <w:t>Original:</w:t>
          </w:r>
        </w:p>
      </w:tc>
      <w:tc>
        <w:tcPr>
          <w:tcW w:w="1830" w:type="dxa"/>
          <w:gridSpan w:val="2"/>
        </w:tcPr>
        <w:p w14:paraId="26FB59CA" w14:textId="77777777" w:rsidR="000A4CD7" w:rsidRDefault="002C5231" w:rsidP="008D2157">
          <w:pPr>
            <w:jc w:val="right"/>
          </w:pPr>
          <w:bookmarkStart w:id="7" w:name="language"/>
          <w:r>
            <w:t>Inglés</w:t>
          </w:r>
          <w:bookmarkEnd w:id="7"/>
        </w:p>
      </w:tc>
      <w:tc>
        <w:tcPr>
          <w:tcW w:w="608" w:type="dxa"/>
        </w:tcPr>
        <w:p w14:paraId="13B06CF5" w14:textId="77777777" w:rsidR="000A4CD7" w:rsidRDefault="00F7109D" w:rsidP="00387A65">
          <w:pPr>
            <w:jc w:val="right"/>
          </w:pPr>
        </w:p>
      </w:tc>
    </w:tr>
    <w:tr w:rsidR="007B0708" w14:paraId="36100FDA" w14:textId="77777777" w:rsidTr="002169D4">
      <w:trPr>
        <w:trHeight w:val="420"/>
        <w:jc w:val="center"/>
      </w:trPr>
      <w:tc>
        <w:tcPr>
          <w:tcW w:w="8904" w:type="dxa"/>
          <w:gridSpan w:val="2"/>
        </w:tcPr>
        <w:p w14:paraId="1C06C33C" w14:textId="77777777" w:rsidR="00965EDE" w:rsidRDefault="002C5231" w:rsidP="008D2157">
          <w:pPr>
            <w:jc w:val="right"/>
          </w:pPr>
          <w:r>
            <w:t>Enviado:</w:t>
          </w:r>
        </w:p>
      </w:tc>
      <w:tc>
        <w:tcPr>
          <w:tcW w:w="1830" w:type="dxa"/>
          <w:gridSpan w:val="2"/>
        </w:tcPr>
        <w:p w14:paraId="4A7CA50B" w14:textId="77777777" w:rsidR="00965EDE" w:rsidRDefault="002C5231" w:rsidP="008D2157">
          <w:pPr>
            <w:jc w:val="right"/>
          </w:pPr>
          <w:bookmarkStart w:id="8" w:name="date_submission"/>
          <w:r>
            <w:t>6/4/2021</w:t>
          </w:r>
          <w:bookmarkEnd w:id="8"/>
        </w:p>
      </w:tc>
      <w:tc>
        <w:tcPr>
          <w:tcW w:w="608" w:type="dxa"/>
        </w:tcPr>
        <w:p w14:paraId="2AD48571" w14:textId="77777777" w:rsidR="00965EDE" w:rsidRDefault="00F7109D" w:rsidP="00387A65">
          <w:pPr>
            <w:jc w:val="right"/>
          </w:pPr>
        </w:p>
      </w:tc>
    </w:tr>
  </w:tbl>
  <w:p w14:paraId="213CE2D5" w14:textId="77777777" w:rsidR="00AE5DD0" w:rsidRDefault="00F710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3BDDA" w14:textId="77777777" w:rsidR="00531E38" w:rsidRDefault="00531E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26" w:type="dxa"/>
      <w:jc w:val="center"/>
      <w:tblLook w:val="01E0" w:firstRow="1" w:lastRow="1" w:firstColumn="1" w:lastColumn="1" w:noHBand="0" w:noVBand="0"/>
    </w:tblPr>
    <w:tblGrid>
      <w:gridCol w:w="9694"/>
      <w:gridCol w:w="1332"/>
    </w:tblGrid>
    <w:tr w:rsidR="007B0708" w14:paraId="4085E06C" w14:textId="77777777">
      <w:trPr>
        <w:trHeight w:val="354"/>
        <w:jc w:val="center"/>
      </w:trPr>
      <w:tc>
        <w:tcPr>
          <w:tcW w:w="9694" w:type="dxa"/>
        </w:tcPr>
        <w:p w14:paraId="00383590" w14:textId="447007AF" w:rsidR="00AE5DD0" w:rsidRPr="000A4CD7" w:rsidRDefault="002C5231" w:rsidP="00C26F2D">
          <w:pPr>
            <w:jc w:val="right"/>
            <w:rPr>
              <w:b/>
              <w:sz w:val="32"/>
              <w:szCs w:val="32"/>
            </w:rPr>
          </w:pPr>
          <w:r>
            <w:rPr>
              <w:b/>
              <w:sz w:val="32"/>
              <w:szCs w:val="32"/>
            </w:rPr>
            <w:t>IP</w:t>
          </w:r>
        </w:p>
      </w:tc>
      <w:tc>
        <w:tcPr>
          <w:tcW w:w="1332" w:type="dxa"/>
        </w:tcPr>
        <w:p w14:paraId="076B7576" w14:textId="6C897979" w:rsidR="00AE5DD0" w:rsidRPr="000A4CD7" w:rsidRDefault="002C5231" w:rsidP="00080F4C">
          <w:pPr>
            <w:rPr>
              <w:b/>
              <w:sz w:val="32"/>
              <w:szCs w:val="32"/>
            </w:rPr>
          </w:pPr>
          <w:r>
            <w:rPr>
              <w:b/>
              <w:sz w:val="32"/>
              <w:szCs w:val="32"/>
            </w:rPr>
            <w:t>4</w:t>
          </w:r>
        </w:p>
      </w:tc>
    </w:tr>
  </w:tbl>
  <w:p w14:paraId="6AFF6C0F" w14:textId="77777777" w:rsidR="00AE5DD0" w:rsidRDefault="00F710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449870"/>
    <w:lvl w:ilvl="0">
      <w:start w:val="1"/>
      <w:numFmt w:val="decimal"/>
      <w:lvlText w:val="%1."/>
      <w:lvlJc w:val="left"/>
      <w:pPr>
        <w:tabs>
          <w:tab w:val="num" w:pos="1800"/>
        </w:tabs>
        <w:ind w:left="1800" w:hanging="360"/>
      </w:pPr>
    </w:lvl>
  </w:abstractNum>
  <w:abstractNum w:abstractNumId="1">
    <w:nsid w:val="FFFFFF7D"/>
    <w:multiLevelType w:val="singleLevel"/>
    <w:tmpl w:val="AE0EC736"/>
    <w:lvl w:ilvl="0">
      <w:start w:val="1"/>
      <w:numFmt w:val="decimal"/>
      <w:lvlText w:val="%1."/>
      <w:lvlJc w:val="left"/>
      <w:pPr>
        <w:tabs>
          <w:tab w:val="num" w:pos="1440"/>
        </w:tabs>
        <w:ind w:left="1440" w:hanging="360"/>
      </w:pPr>
    </w:lvl>
  </w:abstractNum>
  <w:abstractNum w:abstractNumId="2">
    <w:nsid w:val="FFFFFF7E"/>
    <w:multiLevelType w:val="singleLevel"/>
    <w:tmpl w:val="9EB63ED2"/>
    <w:lvl w:ilvl="0">
      <w:start w:val="1"/>
      <w:numFmt w:val="decimal"/>
      <w:lvlText w:val="%1."/>
      <w:lvlJc w:val="left"/>
      <w:pPr>
        <w:tabs>
          <w:tab w:val="num" w:pos="1080"/>
        </w:tabs>
        <w:ind w:left="1080" w:hanging="360"/>
      </w:pPr>
    </w:lvl>
  </w:abstractNum>
  <w:abstractNum w:abstractNumId="3">
    <w:nsid w:val="FFFFFF7F"/>
    <w:multiLevelType w:val="singleLevel"/>
    <w:tmpl w:val="D9D2F982"/>
    <w:lvl w:ilvl="0">
      <w:start w:val="1"/>
      <w:numFmt w:val="decimal"/>
      <w:lvlText w:val="%1."/>
      <w:lvlJc w:val="left"/>
      <w:pPr>
        <w:tabs>
          <w:tab w:val="num" w:pos="720"/>
        </w:tabs>
        <w:ind w:left="720" w:hanging="360"/>
      </w:pPr>
    </w:lvl>
  </w:abstractNum>
  <w:abstractNum w:abstractNumId="4">
    <w:nsid w:val="FFFFFF80"/>
    <w:multiLevelType w:val="singleLevel"/>
    <w:tmpl w:val="5114CC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141F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DA27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82BA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6C1318"/>
    <w:lvl w:ilvl="0">
      <w:start w:val="1"/>
      <w:numFmt w:val="decimal"/>
      <w:lvlText w:val="%1."/>
      <w:lvlJc w:val="left"/>
      <w:pPr>
        <w:tabs>
          <w:tab w:val="num" w:pos="360"/>
        </w:tabs>
        <w:ind w:left="360" w:hanging="360"/>
      </w:pPr>
    </w:lvl>
  </w:abstractNum>
  <w:abstractNum w:abstractNumId="9">
    <w:nsid w:val="FFFFFF89"/>
    <w:multiLevelType w:val="singleLevel"/>
    <w:tmpl w:val="ADCC038C"/>
    <w:lvl w:ilvl="0">
      <w:start w:val="1"/>
      <w:numFmt w:val="bullet"/>
      <w:lvlText w:val=""/>
      <w:lvlJc w:val="left"/>
      <w:pPr>
        <w:tabs>
          <w:tab w:val="num" w:pos="360"/>
        </w:tabs>
        <w:ind w:left="360" w:hanging="360"/>
      </w:pPr>
      <w:rPr>
        <w:rFonts w:ascii="Symbol" w:hAnsi="Symbol" w:hint="default"/>
      </w:rPr>
    </w:lvl>
  </w:abstractNum>
  <w:abstractNum w:abstractNumId="10">
    <w:nsid w:val="065461AA"/>
    <w:multiLevelType w:val="hybridMultilevel"/>
    <w:tmpl w:val="20B2A1D2"/>
    <w:lvl w:ilvl="0" w:tplc="3398B1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9465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86577EA"/>
    <w:multiLevelType w:val="hybridMultilevel"/>
    <w:tmpl w:val="21A63D98"/>
    <w:lvl w:ilvl="0" w:tplc="F94ECE3E">
      <w:start w:val="1"/>
      <w:numFmt w:val="bullet"/>
      <w:pStyle w:val="ATSBullet1"/>
      <w:lvlText w:val=""/>
      <w:lvlJc w:val="left"/>
      <w:pPr>
        <w:tabs>
          <w:tab w:val="num" w:pos="360"/>
        </w:tabs>
        <w:ind w:left="360" w:hanging="360"/>
      </w:pPr>
      <w:rPr>
        <w:rFonts w:ascii="Symbol" w:hAnsi="Symbol" w:hint="default"/>
        <w:color w:val="auto"/>
      </w:rPr>
    </w:lvl>
    <w:lvl w:ilvl="1" w:tplc="9E2EBA84" w:tentative="1">
      <w:start w:val="1"/>
      <w:numFmt w:val="bullet"/>
      <w:lvlText w:val="o"/>
      <w:lvlJc w:val="left"/>
      <w:pPr>
        <w:tabs>
          <w:tab w:val="num" w:pos="1440"/>
        </w:tabs>
        <w:ind w:left="1440" w:hanging="360"/>
      </w:pPr>
      <w:rPr>
        <w:rFonts w:ascii="Courier New" w:hAnsi="Courier New" w:cs="Courier New" w:hint="default"/>
      </w:rPr>
    </w:lvl>
    <w:lvl w:ilvl="2" w:tplc="1072606C" w:tentative="1">
      <w:start w:val="1"/>
      <w:numFmt w:val="bullet"/>
      <w:lvlText w:val=""/>
      <w:lvlJc w:val="left"/>
      <w:pPr>
        <w:tabs>
          <w:tab w:val="num" w:pos="2160"/>
        </w:tabs>
        <w:ind w:left="2160" w:hanging="360"/>
      </w:pPr>
      <w:rPr>
        <w:rFonts w:ascii="Wingdings" w:hAnsi="Wingdings" w:hint="default"/>
      </w:rPr>
    </w:lvl>
    <w:lvl w:ilvl="3" w:tplc="6FF8D98E" w:tentative="1">
      <w:start w:val="1"/>
      <w:numFmt w:val="bullet"/>
      <w:lvlText w:val=""/>
      <w:lvlJc w:val="left"/>
      <w:pPr>
        <w:tabs>
          <w:tab w:val="num" w:pos="2880"/>
        </w:tabs>
        <w:ind w:left="2880" w:hanging="360"/>
      </w:pPr>
      <w:rPr>
        <w:rFonts w:ascii="Symbol" w:hAnsi="Symbol" w:hint="default"/>
      </w:rPr>
    </w:lvl>
    <w:lvl w:ilvl="4" w:tplc="B2141572" w:tentative="1">
      <w:start w:val="1"/>
      <w:numFmt w:val="bullet"/>
      <w:lvlText w:val="o"/>
      <w:lvlJc w:val="left"/>
      <w:pPr>
        <w:tabs>
          <w:tab w:val="num" w:pos="3600"/>
        </w:tabs>
        <w:ind w:left="3600" w:hanging="360"/>
      </w:pPr>
      <w:rPr>
        <w:rFonts w:ascii="Courier New" w:hAnsi="Courier New" w:cs="Courier New" w:hint="default"/>
      </w:rPr>
    </w:lvl>
    <w:lvl w:ilvl="5" w:tplc="38C0A50A" w:tentative="1">
      <w:start w:val="1"/>
      <w:numFmt w:val="bullet"/>
      <w:lvlText w:val=""/>
      <w:lvlJc w:val="left"/>
      <w:pPr>
        <w:tabs>
          <w:tab w:val="num" w:pos="4320"/>
        </w:tabs>
        <w:ind w:left="4320" w:hanging="360"/>
      </w:pPr>
      <w:rPr>
        <w:rFonts w:ascii="Wingdings" w:hAnsi="Wingdings" w:hint="default"/>
      </w:rPr>
    </w:lvl>
    <w:lvl w:ilvl="6" w:tplc="D8886B82" w:tentative="1">
      <w:start w:val="1"/>
      <w:numFmt w:val="bullet"/>
      <w:lvlText w:val=""/>
      <w:lvlJc w:val="left"/>
      <w:pPr>
        <w:tabs>
          <w:tab w:val="num" w:pos="5040"/>
        </w:tabs>
        <w:ind w:left="5040" w:hanging="360"/>
      </w:pPr>
      <w:rPr>
        <w:rFonts w:ascii="Symbol" w:hAnsi="Symbol" w:hint="default"/>
      </w:rPr>
    </w:lvl>
    <w:lvl w:ilvl="7" w:tplc="D736EAF4" w:tentative="1">
      <w:start w:val="1"/>
      <w:numFmt w:val="bullet"/>
      <w:lvlText w:val="o"/>
      <w:lvlJc w:val="left"/>
      <w:pPr>
        <w:tabs>
          <w:tab w:val="num" w:pos="5760"/>
        </w:tabs>
        <w:ind w:left="5760" w:hanging="360"/>
      </w:pPr>
      <w:rPr>
        <w:rFonts w:ascii="Courier New" w:hAnsi="Courier New" w:cs="Courier New" w:hint="default"/>
      </w:rPr>
    </w:lvl>
    <w:lvl w:ilvl="8" w:tplc="26EC7726" w:tentative="1">
      <w:start w:val="1"/>
      <w:numFmt w:val="bullet"/>
      <w:lvlText w:val=""/>
      <w:lvlJc w:val="left"/>
      <w:pPr>
        <w:tabs>
          <w:tab w:val="num" w:pos="6480"/>
        </w:tabs>
        <w:ind w:left="6480" w:hanging="360"/>
      </w:pPr>
      <w:rPr>
        <w:rFonts w:ascii="Wingdings" w:hAnsi="Wingdings" w:hint="default"/>
      </w:rPr>
    </w:lvl>
  </w:abstractNum>
  <w:abstractNum w:abstractNumId="13">
    <w:nsid w:val="49D35C15"/>
    <w:multiLevelType w:val="hybridMultilevel"/>
    <w:tmpl w:val="A8A2E45C"/>
    <w:lvl w:ilvl="0" w:tplc="2BBC4412">
      <w:start w:val="1"/>
      <w:numFmt w:val="decimal"/>
      <w:lvlText w:val="%1)"/>
      <w:lvlJc w:val="left"/>
      <w:pPr>
        <w:tabs>
          <w:tab w:val="num" w:pos="340"/>
        </w:tabs>
        <w:ind w:left="340" w:hanging="340"/>
      </w:pPr>
      <w:rPr>
        <w:rFonts w:hint="default"/>
      </w:rPr>
    </w:lvl>
    <w:lvl w:ilvl="1" w:tplc="E6D0536A" w:tentative="1">
      <w:start w:val="1"/>
      <w:numFmt w:val="lowerLetter"/>
      <w:lvlText w:val="%2."/>
      <w:lvlJc w:val="left"/>
      <w:pPr>
        <w:tabs>
          <w:tab w:val="num" w:pos="1440"/>
        </w:tabs>
        <w:ind w:left="1440" w:hanging="360"/>
      </w:pPr>
    </w:lvl>
    <w:lvl w:ilvl="2" w:tplc="5DDC511E" w:tentative="1">
      <w:start w:val="1"/>
      <w:numFmt w:val="lowerRoman"/>
      <w:lvlText w:val="%3."/>
      <w:lvlJc w:val="right"/>
      <w:pPr>
        <w:tabs>
          <w:tab w:val="num" w:pos="2160"/>
        </w:tabs>
        <w:ind w:left="2160" w:hanging="180"/>
      </w:pPr>
    </w:lvl>
    <w:lvl w:ilvl="3" w:tplc="5E02F276" w:tentative="1">
      <w:start w:val="1"/>
      <w:numFmt w:val="decimal"/>
      <w:lvlText w:val="%4."/>
      <w:lvlJc w:val="left"/>
      <w:pPr>
        <w:tabs>
          <w:tab w:val="num" w:pos="2880"/>
        </w:tabs>
        <w:ind w:left="2880" w:hanging="360"/>
      </w:pPr>
    </w:lvl>
    <w:lvl w:ilvl="4" w:tplc="48AA2424" w:tentative="1">
      <w:start w:val="1"/>
      <w:numFmt w:val="lowerLetter"/>
      <w:lvlText w:val="%5."/>
      <w:lvlJc w:val="left"/>
      <w:pPr>
        <w:tabs>
          <w:tab w:val="num" w:pos="3600"/>
        </w:tabs>
        <w:ind w:left="3600" w:hanging="360"/>
      </w:pPr>
    </w:lvl>
    <w:lvl w:ilvl="5" w:tplc="EDEE862C" w:tentative="1">
      <w:start w:val="1"/>
      <w:numFmt w:val="lowerRoman"/>
      <w:lvlText w:val="%6."/>
      <w:lvlJc w:val="right"/>
      <w:pPr>
        <w:tabs>
          <w:tab w:val="num" w:pos="4320"/>
        </w:tabs>
        <w:ind w:left="4320" w:hanging="180"/>
      </w:pPr>
    </w:lvl>
    <w:lvl w:ilvl="6" w:tplc="D2CC6E2C" w:tentative="1">
      <w:start w:val="1"/>
      <w:numFmt w:val="decimal"/>
      <w:lvlText w:val="%7."/>
      <w:lvlJc w:val="left"/>
      <w:pPr>
        <w:tabs>
          <w:tab w:val="num" w:pos="5040"/>
        </w:tabs>
        <w:ind w:left="5040" w:hanging="360"/>
      </w:pPr>
    </w:lvl>
    <w:lvl w:ilvl="7" w:tplc="21D68CCC" w:tentative="1">
      <w:start w:val="1"/>
      <w:numFmt w:val="lowerLetter"/>
      <w:lvlText w:val="%8."/>
      <w:lvlJc w:val="left"/>
      <w:pPr>
        <w:tabs>
          <w:tab w:val="num" w:pos="5760"/>
        </w:tabs>
        <w:ind w:left="5760" w:hanging="360"/>
      </w:pPr>
    </w:lvl>
    <w:lvl w:ilvl="8" w:tplc="07F82AA0" w:tentative="1">
      <w:start w:val="1"/>
      <w:numFmt w:val="lowerRoman"/>
      <w:lvlText w:val="%9."/>
      <w:lvlJc w:val="right"/>
      <w:pPr>
        <w:tabs>
          <w:tab w:val="num" w:pos="6480"/>
        </w:tabs>
        <w:ind w:left="6480" w:hanging="180"/>
      </w:pPr>
    </w:lvl>
  </w:abstractNum>
  <w:abstractNum w:abstractNumId="14">
    <w:nsid w:val="642F3AFA"/>
    <w:multiLevelType w:val="hybridMultilevel"/>
    <w:tmpl w:val="9DF09BE6"/>
    <w:lvl w:ilvl="0" w:tplc="13D656EA">
      <w:start w:val="1"/>
      <w:numFmt w:val="decimal"/>
      <w:lvlText w:val="%1."/>
      <w:lvlJc w:val="left"/>
      <w:pPr>
        <w:tabs>
          <w:tab w:val="num" w:pos="1057"/>
        </w:tabs>
        <w:ind w:left="1057" w:hanging="360"/>
      </w:pPr>
      <w:rPr>
        <w:rFonts w:hint="default"/>
      </w:rPr>
    </w:lvl>
    <w:lvl w:ilvl="1" w:tplc="E266E694" w:tentative="1">
      <w:start w:val="1"/>
      <w:numFmt w:val="lowerLetter"/>
      <w:lvlText w:val="%2."/>
      <w:lvlJc w:val="left"/>
      <w:pPr>
        <w:tabs>
          <w:tab w:val="num" w:pos="2137"/>
        </w:tabs>
        <w:ind w:left="2137" w:hanging="360"/>
      </w:pPr>
    </w:lvl>
    <w:lvl w:ilvl="2" w:tplc="3F6EEBB4" w:tentative="1">
      <w:start w:val="1"/>
      <w:numFmt w:val="lowerRoman"/>
      <w:lvlText w:val="%3."/>
      <w:lvlJc w:val="right"/>
      <w:pPr>
        <w:tabs>
          <w:tab w:val="num" w:pos="2857"/>
        </w:tabs>
        <w:ind w:left="2857" w:hanging="180"/>
      </w:pPr>
    </w:lvl>
    <w:lvl w:ilvl="3" w:tplc="D9DEA65E" w:tentative="1">
      <w:start w:val="1"/>
      <w:numFmt w:val="decimal"/>
      <w:lvlText w:val="%4."/>
      <w:lvlJc w:val="left"/>
      <w:pPr>
        <w:tabs>
          <w:tab w:val="num" w:pos="3577"/>
        </w:tabs>
        <w:ind w:left="3577" w:hanging="360"/>
      </w:pPr>
    </w:lvl>
    <w:lvl w:ilvl="4" w:tplc="04AA2C3C" w:tentative="1">
      <w:start w:val="1"/>
      <w:numFmt w:val="lowerLetter"/>
      <w:lvlText w:val="%5."/>
      <w:lvlJc w:val="left"/>
      <w:pPr>
        <w:tabs>
          <w:tab w:val="num" w:pos="4297"/>
        </w:tabs>
        <w:ind w:left="4297" w:hanging="360"/>
      </w:pPr>
    </w:lvl>
    <w:lvl w:ilvl="5" w:tplc="87847C1C" w:tentative="1">
      <w:start w:val="1"/>
      <w:numFmt w:val="lowerRoman"/>
      <w:lvlText w:val="%6."/>
      <w:lvlJc w:val="right"/>
      <w:pPr>
        <w:tabs>
          <w:tab w:val="num" w:pos="5017"/>
        </w:tabs>
        <w:ind w:left="5017" w:hanging="180"/>
      </w:pPr>
    </w:lvl>
    <w:lvl w:ilvl="6" w:tplc="DA126E3E" w:tentative="1">
      <w:start w:val="1"/>
      <w:numFmt w:val="decimal"/>
      <w:lvlText w:val="%7."/>
      <w:lvlJc w:val="left"/>
      <w:pPr>
        <w:tabs>
          <w:tab w:val="num" w:pos="5737"/>
        </w:tabs>
        <w:ind w:left="5737" w:hanging="360"/>
      </w:pPr>
    </w:lvl>
    <w:lvl w:ilvl="7" w:tplc="CDF0F4C4" w:tentative="1">
      <w:start w:val="1"/>
      <w:numFmt w:val="lowerLetter"/>
      <w:lvlText w:val="%8."/>
      <w:lvlJc w:val="left"/>
      <w:pPr>
        <w:tabs>
          <w:tab w:val="num" w:pos="6457"/>
        </w:tabs>
        <w:ind w:left="6457" w:hanging="360"/>
      </w:pPr>
    </w:lvl>
    <w:lvl w:ilvl="8" w:tplc="C90C5E40" w:tentative="1">
      <w:start w:val="1"/>
      <w:numFmt w:val="lowerRoman"/>
      <w:lvlText w:val="%9."/>
      <w:lvlJc w:val="right"/>
      <w:pPr>
        <w:tabs>
          <w:tab w:val="num" w:pos="7177"/>
        </w:tabs>
        <w:ind w:left="7177" w:hanging="180"/>
      </w:pPr>
    </w:lvl>
  </w:abstractNum>
  <w:abstractNum w:abstractNumId="15">
    <w:nsid w:val="7212657C"/>
    <w:multiLevelType w:val="hybridMultilevel"/>
    <w:tmpl w:val="0A8E2A84"/>
    <w:lvl w:ilvl="0" w:tplc="84B0F6D8">
      <w:start w:val="1"/>
      <w:numFmt w:val="decimal"/>
      <w:pStyle w:val="ATSNumber1"/>
      <w:lvlText w:val="%1)"/>
      <w:lvlJc w:val="left"/>
      <w:pPr>
        <w:tabs>
          <w:tab w:val="num" w:pos="720"/>
        </w:tabs>
        <w:ind w:left="720" w:hanging="360"/>
      </w:pPr>
    </w:lvl>
    <w:lvl w:ilvl="1" w:tplc="663687CE" w:tentative="1">
      <w:start w:val="1"/>
      <w:numFmt w:val="lowerLetter"/>
      <w:lvlText w:val="%2."/>
      <w:lvlJc w:val="left"/>
      <w:pPr>
        <w:tabs>
          <w:tab w:val="num" w:pos="1440"/>
        </w:tabs>
        <w:ind w:left="1440" w:hanging="360"/>
      </w:pPr>
    </w:lvl>
    <w:lvl w:ilvl="2" w:tplc="4B34810A" w:tentative="1">
      <w:start w:val="1"/>
      <w:numFmt w:val="lowerRoman"/>
      <w:lvlText w:val="%3."/>
      <w:lvlJc w:val="right"/>
      <w:pPr>
        <w:tabs>
          <w:tab w:val="num" w:pos="2160"/>
        </w:tabs>
        <w:ind w:left="2160" w:hanging="180"/>
      </w:pPr>
    </w:lvl>
    <w:lvl w:ilvl="3" w:tplc="EFBEFF70" w:tentative="1">
      <w:start w:val="1"/>
      <w:numFmt w:val="decimal"/>
      <w:lvlText w:val="%4."/>
      <w:lvlJc w:val="left"/>
      <w:pPr>
        <w:tabs>
          <w:tab w:val="num" w:pos="2880"/>
        </w:tabs>
        <w:ind w:left="2880" w:hanging="360"/>
      </w:pPr>
    </w:lvl>
    <w:lvl w:ilvl="4" w:tplc="FD6EEE6C" w:tentative="1">
      <w:start w:val="1"/>
      <w:numFmt w:val="lowerLetter"/>
      <w:lvlText w:val="%5."/>
      <w:lvlJc w:val="left"/>
      <w:pPr>
        <w:tabs>
          <w:tab w:val="num" w:pos="3600"/>
        </w:tabs>
        <w:ind w:left="3600" w:hanging="360"/>
      </w:pPr>
    </w:lvl>
    <w:lvl w:ilvl="5" w:tplc="6668090A" w:tentative="1">
      <w:start w:val="1"/>
      <w:numFmt w:val="lowerRoman"/>
      <w:lvlText w:val="%6."/>
      <w:lvlJc w:val="right"/>
      <w:pPr>
        <w:tabs>
          <w:tab w:val="num" w:pos="4320"/>
        </w:tabs>
        <w:ind w:left="4320" w:hanging="180"/>
      </w:pPr>
    </w:lvl>
    <w:lvl w:ilvl="6" w:tplc="03263D7E" w:tentative="1">
      <w:start w:val="1"/>
      <w:numFmt w:val="decimal"/>
      <w:lvlText w:val="%7."/>
      <w:lvlJc w:val="left"/>
      <w:pPr>
        <w:tabs>
          <w:tab w:val="num" w:pos="5040"/>
        </w:tabs>
        <w:ind w:left="5040" w:hanging="360"/>
      </w:pPr>
    </w:lvl>
    <w:lvl w:ilvl="7" w:tplc="621675A2" w:tentative="1">
      <w:start w:val="1"/>
      <w:numFmt w:val="lowerLetter"/>
      <w:lvlText w:val="%8."/>
      <w:lvlJc w:val="left"/>
      <w:pPr>
        <w:tabs>
          <w:tab w:val="num" w:pos="5760"/>
        </w:tabs>
        <w:ind w:left="5760" w:hanging="360"/>
      </w:pPr>
    </w:lvl>
    <w:lvl w:ilvl="8" w:tplc="62A265D4" w:tentative="1">
      <w:start w:val="1"/>
      <w:numFmt w:val="lowerRoman"/>
      <w:lvlText w:val="%9."/>
      <w:lvlJc w:val="right"/>
      <w:pPr>
        <w:tabs>
          <w:tab w:val="num" w:pos="6480"/>
        </w:tabs>
        <w:ind w:left="6480" w:hanging="180"/>
      </w:pPr>
    </w:lvl>
  </w:abstractNum>
  <w:abstractNum w:abstractNumId="16">
    <w:nsid w:val="743D2161"/>
    <w:multiLevelType w:val="hybridMultilevel"/>
    <w:tmpl w:val="B0868D9E"/>
    <w:lvl w:ilvl="0" w:tplc="DB12E4F2">
      <w:start w:val="1"/>
      <w:numFmt w:val="bullet"/>
      <w:pStyle w:val="ATSBullet2"/>
      <w:lvlText w:val="-"/>
      <w:lvlJc w:val="left"/>
      <w:pPr>
        <w:tabs>
          <w:tab w:val="num" w:pos="1080"/>
        </w:tabs>
        <w:ind w:left="1080" w:hanging="360"/>
      </w:pPr>
      <w:rPr>
        <w:rFonts w:ascii="Times New Roman" w:hAnsi="Times New Roman" w:cs="Times New Roman" w:hint="default"/>
        <w:color w:val="auto"/>
      </w:rPr>
    </w:lvl>
    <w:lvl w:ilvl="1" w:tplc="B9C2EA10" w:tentative="1">
      <w:start w:val="1"/>
      <w:numFmt w:val="bullet"/>
      <w:lvlText w:val="o"/>
      <w:lvlJc w:val="left"/>
      <w:pPr>
        <w:tabs>
          <w:tab w:val="num" w:pos="2517"/>
        </w:tabs>
        <w:ind w:left="2517" w:hanging="360"/>
      </w:pPr>
      <w:rPr>
        <w:rFonts w:ascii="Courier New" w:hAnsi="Courier New" w:cs="Courier New" w:hint="default"/>
      </w:rPr>
    </w:lvl>
    <w:lvl w:ilvl="2" w:tplc="0EC88A04" w:tentative="1">
      <w:start w:val="1"/>
      <w:numFmt w:val="bullet"/>
      <w:lvlText w:val=""/>
      <w:lvlJc w:val="left"/>
      <w:pPr>
        <w:tabs>
          <w:tab w:val="num" w:pos="3237"/>
        </w:tabs>
        <w:ind w:left="3237" w:hanging="360"/>
      </w:pPr>
      <w:rPr>
        <w:rFonts w:ascii="Wingdings" w:hAnsi="Wingdings" w:hint="default"/>
      </w:rPr>
    </w:lvl>
    <w:lvl w:ilvl="3" w:tplc="4F9C9A36" w:tentative="1">
      <w:start w:val="1"/>
      <w:numFmt w:val="bullet"/>
      <w:lvlText w:val=""/>
      <w:lvlJc w:val="left"/>
      <w:pPr>
        <w:tabs>
          <w:tab w:val="num" w:pos="3957"/>
        </w:tabs>
        <w:ind w:left="3957" w:hanging="360"/>
      </w:pPr>
      <w:rPr>
        <w:rFonts w:ascii="Symbol" w:hAnsi="Symbol" w:hint="default"/>
      </w:rPr>
    </w:lvl>
    <w:lvl w:ilvl="4" w:tplc="732CD6DE" w:tentative="1">
      <w:start w:val="1"/>
      <w:numFmt w:val="bullet"/>
      <w:lvlText w:val="o"/>
      <w:lvlJc w:val="left"/>
      <w:pPr>
        <w:tabs>
          <w:tab w:val="num" w:pos="4677"/>
        </w:tabs>
        <w:ind w:left="4677" w:hanging="360"/>
      </w:pPr>
      <w:rPr>
        <w:rFonts w:ascii="Courier New" w:hAnsi="Courier New" w:cs="Courier New" w:hint="default"/>
      </w:rPr>
    </w:lvl>
    <w:lvl w:ilvl="5" w:tplc="B3B6CD56" w:tentative="1">
      <w:start w:val="1"/>
      <w:numFmt w:val="bullet"/>
      <w:lvlText w:val=""/>
      <w:lvlJc w:val="left"/>
      <w:pPr>
        <w:tabs>
          <w:tab w:val="num" w:pos="5397"/>
        </w:tabs>
        <w:ind w:left="5397" w:hanging="360"/>
      </w:pPr>
      <w:rPr>
        <w:rFonts w:ascii="Wingdings" w:hAnsi="Wingdings" w:hint="default"/>
      </w:rPr>
    </w:lvl>
    <w:lvl w:ilvl="6" w:tplc="E916A534" w:tentative="1">
      <w:start w:val="1"/>
      <w:numFmt w:val="bullet"/>
      <w:lvlText w:val=""/>
      <w:lvlJc w:val="left"/>
      <w:pPr>
        <w:tabs>
          <w:tab w:val="num" w:pos="6117"/>
        </w:tabs>
        <w:ind w:left="6117" w:hanging="360"/>
      </w:pPr>
      <w:rPr>
        <w:rFonts w:ascii="Symbol" w:hAnsi="Symbol" w:hint="default"/>
      </w:rPr>
    </w:lvl>
    <w:lvl w:ilvl="7" w:tplc="4C20DC90" w:tentative="1">
      <w:start w:val="1"/>
      <w:numFmt w:val="bullet"/>
      <w:lvlText w:val="o"/>
      <w:lvlJc w:val="left"/>
      <w:pPr>
        <w:tabs>
          <w:tab w:val="num" w:pos="6837"/>
        </w:tabs>
        <w:ind w:left="6837" w:hanging="360"/>
      </w:pPr>
      <w:rPr>
        <w:rFonts w:ascii="Courier New" w:hAnsi="Courier New" w:cs="Courier New" w:hint="default"/>
      </w:rPr>
    </w:lvl>
    <w:lvl w:ilvl="8" w:tplc="0DF8597A" w:tentative="1">
      <w:start w:val="1"/>
      <w:numFmt w:val="bullet"/>
      <w:lvlText w:val=""/>
      <w:lvlJc w:val="left"/>
      <w:pPr>
        <w:tabs>
          <w:tab w:val="num" w:pos="7557"/>
        </w:tabs>
        <w:ind w:left="7557" w:hanging="360"/>
      </w:pPr>
      <w:rPr>
        <w:rFonts w:ascii="Wingdings" w:hAnsi="Wingdings" w:hint="default"/>
      </w:rPr>
    </w:lvl>
  </w:abstractNum>
  <w:abstractNum w:abstractNumId="17">
    <w:nsid w:val="7C866FC0"/>
    <w:multiLevelType w:val="hybridMultilevel"/>
    <w:tmpl w:val="57EA2900"/>
    <w:lvl w:ilvl="0" w:tplc="5E429952">
      <w:start w:val="1"/>
      <w:numFmt w:val="decimal"/>
      <w:pStyle w:val="ATSNumber2"/>
      <w:lvlText w:val="%1."/>
      <w:lvlJc w:val="left"/>
      <w:pPr>
        <w:tabs>
          <w:tab w:val="num" w:pos="720"/>
        </w:tabs>
        <w:ind w:left="720" w:hanging="360"/>
      </w:pPr>
      <w:rPr>
        <w:rFonts w:hint="default"/>
      </w:rPr>
    </w:lvl>
    <w:lvl w:ilvl="1" w:tplc="5DDE8824" w:tentative="1">
      <w:start w:val="1"/>
      <w:numFmt w:val="lowerLetter"/>
      <w:lvlText w:val="%2."/>
      <w:lvlJc w:val="left"/>
      <w:pPr>
        <w:tabs>
          <w:tab w:val="num" w:pos="1440"/>
        </w:tabs>
        <w:ind w:left="1440" w:hanging="360"/>
      </w:pPr>
    </w:lvl>
    <w:lvl w:ilvl="2" w:tplc="5D7A91B8" w:tentative="1">
      <w:start w:val="1"/>
      <w:numFmt w:val="lowerRoman"/>
      <w:lvlText w:val="%3."/>
      <w:lvlJc w:val="right"/>
      <w:pPr>
        <w:tabs>
          <w:tab w:val="num" w:pos="2160"/>
        </w:tabs>
        <w:ind w:left="2160" w:hanging="180"/>
      </w:pPr>
    </w:lvl>
    <w:lvl w:ilvl="3" w:tplc="D6CC0A0E" w:tentative="1">
      <w:start w:val="1"/>
      <w:numFmt w:val="decimal"/>
      <w:lvlText w:val="%4."/>
      <w:lvlJc w:val="left"/>
      <w:pPr>
        <w:tabs>
          <w:tab w:val="num" w:pos="2880"/>
        </w:tabs>
        <w:ind w:left="2880" w:hanging="360"/>
      </w:pPr>
    </w:lvl>
    <w:lvl w:ilvl="4" w:tplc="1FD48476" w:tentative="1">
      <w:start w:val="1"/>
      <w:numFmt w:val="lowerLetter"/>
      <w:lvlText w:val="%5."/>
      <w:lvlJc w:val="left"/>
      <w:pPr>
        <w:tabs>
          <w:tab w:val="num" w:pos="3600"/>
        </w:tabs>
        <w:ind w:left="3600" w:hanging="360"/>
      </w:pPr>
    </w:lvl>
    <w:lvl w:ilvl="5" w:tplc="061C9EC0" w:tentative="1">
      <w:start w:val="1"/>
      <w:numFmt w:val="lowerRoman"/>
      <w:lvlText w:val="%6."/>
      <w:lvlJc w:val="right"/>
      <w:pPr>
        <w:tabs>
          <w:tab w:val="num" w:pos="4320"/>
        </w:tabs>
        <w:ind w:left="4320" w:hanging="180"/>
      </w:pPr>
    </w:lvl>
    <w:lvl w:ilvl="6" w:tplc="B7DCFD42" w:tentative="1">
      <w:start w:val="1"/>
      <w:numFmt w:val="decimal"/>
      <w:lvlText w:val="%7."/>
      <w:lvlJc w:val="left"/>
      <w:pPr>
        <w:tabs>
          <w:tab w:val="num" w:pos="5040"/>
        </w:tabs>
        <w:ind w:left="5040" w:hanging="360"/>
      </w:pPr>
    </w:lvl>
    <w:lvl w:ilvl="7" w:tplc="7BEEC63C" w:tentative="1">
      <w:start w:val="1"/>
      <w:numFmt w:val="lowerLetter"/>
      <w:lvlText w:val="%8."/>
      <w:lvlJc w:val="left"/>
      <w:pPr>
        <w:tabs>
          <w:tab w:val="num" w:pos="5760"/>
        </w:tabs>
        <w:ind w:left="5760" w:hanging="360"/>
      </w:pPr>
    </w:lvl>
    <w:lvl w:ilvl="8" w:tplc="7548DEFC"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3"/>
  </w:num>
  <w:num w:numId="15">
    <w:abstractNumId w:val="14"/>
  </w:num>
  <w:num w:numId="16">
    <w:abstractNumId w:val="11"/>
  </w:num>
  <w:num w:numId="17">
    <w:abstractNumId w:val="12"/>
  </w:num>
  <w:num w:numId="18">
    <w:abstractNumId w:val="16"/>
  </w:num>
  <w:num w:numId="19">
    <w:abstractNumId w:val="15"/>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08"/>
    <w:rsid w:val="002C5231"/>
    <w:rsid w:val="004846E5"/>
    <w:rsid w:val="00531E38"/>
    <w:rsid w:val="007B0708"/>
    <w:rsid w:val="00D814AB"/>
    <w:rsid w:val="00DB7907"/>
    <w:rsid w:val="00F710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ED0F"/>
  <w15:chartTrackingRefBased/>
  <w15:docId w15:val="{64A7B2E8-E5C6-47F3-9DBB-30DD2CDA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9F"/>
    <w:rPr>
      <w:sz w:val="22"/>
      <w:szCs w:val="24"/>
      <w:lang w:val="en-US" w:eastAsia="en-US"/>
    </w:rPr>
  </w:style>
  <w:style w:type="paragraph" w:styleId="Heading1">
    <w:name w:val="heading 1"/>
    <w:basedOn w:val="Normal"/>
    <w:next w:val="Normal"/>
    <w:qFormat/>
    <w:rsid w:val="001B789F"/>
    <w:pPr>
      <w:keepNext/>
      <w:spacing w:before="180" w:after="360"/>
      <w:jc w:val="center"/>
      <w:outlineLvl w:val="0"/>
    </w:pPr>
    <w:rPr>
      <w:rFonts w:ascii="Arial" w:hAnsi="Arial"/>
      <w:b/>
      <w:kern w:val="28"/>
      <w:sz w:val="32"/>
      <w:szCs w:val="20"/>
    </w:rPr>
  </w:style>
  <w:style w:type="paragraph" w:styleId="Heading2">
    <w:name w:val="heading 2"/>
    <w:basedOn w:val="Normal"/>
    <w:next w:val="Normal"/>
    <w:qFormat/>
    <w:rsid w:val="001B789F"/>
    <w:pPr>
      <w:keepNext/>
      <w:spacing w:before="120" w:after="240"/>
      <w:outlineLvl w:val="1"/>
    </w:pPr>
    <w:rPr>
      <w:b/>
      <w:i/>
      <w:sz w:val="28"/>
      <w:szCs w:val="20"/>
    </w:rPr>
  </w:style>
  <w:style w:type="paragraph" w:styleId="Heading3">
    <w:name w:val="heading 3"/>
    <w:basedOn w:val="Normal"/>
    <w:next w:val="Normal"/>
    <w:qFormat/>
    <w:rsid w:val="001B789F"/>
    <w:pPr>
      <w:keepNext/>
      <w:spacing w:before="120" w:after="180"/>
      <w:outlineLvl w:val="2"/>
    </w:pPr>
    <w:rPr>
      <w:rFonts w:eastAsia="SimSun"/>
      <w:b/>
      <w:sz w:val="24"/>
      <w:szCs w:val="20"/>
      <w:lang w:val="en-GB" w:eastAsia="zh-CN"/>
    </w:rPr>
  </w:style>
  <w:style w:type="paragraph" w:styleId="Heading4">
    <w:name w:val="heading 4"/>
    <w:basedOn w:val="Normal"/>
    <w:next w:val="Normal"/>
    <w:qFormat/>
    <w:rsid w:val="001B789F"/>
    <w:pPr>
      <w:keepNext/>
      <w:spacing w:before="60" w:after="120"/>
      <w:outlineLvl w:val="3"/>
    </w:pPr>
    <w:rPr>
      <w:b/>
      <w:bCs/>
      <w:i/>
      <w:szCs w:val="28"/>
    </w:rPr>
  </w:style>
  <w:style w:type="paragraph" w:styleId="Heading5">
    <w:name w:val="heading 5"/>
    <w:basedOn w:val="Normal"/>
    <w:next w:val="Normal"/>
    <w:qFormat/>
    <w:rsid w:val="001B789F"/>
    <w:pPr>
      <w:spacing w:before="240" w:after="60"/>
      <w:outlineLvl w:val="4"/>
    </w:pPr>
    <w:rPr>
      <w:b/>
      <w:bCs/>
      <w:i/>
      <w:iCs/>
      <w:sz w:val="26"/>
      <w:szCs w:val="26"/>
    </w:rPr>
  </w:style>
  <w:style w:type="paragraph" w:styleId="Heading6">
    <w:name w:val="heading 6"/>
    <w:basedOn w:val="Normal"/>
    <w:next w:val="Normal"/>
    <w:qFormat/>
    <w:rsid w:val="001B789F"/>
    <w:pPr>
      <w:spacing w:before="240" w:after="60"/>
      <w:outlineLvl w:val="5"/>
    </w:pPr>
    <w:rPr>
      <w:b/>
      <w:bCs/>
      <w:szCs w:val="22"/>
    </w:rPr>
  </w:style>
  <w:style w:type="paragraph" w:styleId="Heading7">
    <w:name w:val="heading 7"/>
    <w:basedOn w:val="Normal"/>
    <w:next w:val="Normal"/>
    <w:qFormat/>
    <w:rsid w:val="001B789F"/>
    <w:pPr>
      <w:spacing w:before="240" w:after="60"/>
      <w:outlineLvl w:val="6"/>
    </w:pPr>
    <w:rPr>
      <w:sz w:val="24"/>
    </w:rPr>
  </w:style>
  <w:style w:type="paragraph" w:styleId="Heading8">
    <w:name w:val="heading 8"/>
    <w:basedOn w:val="Normal"/>
    <w:next w:val="Normal"/>
    <w:qFormat/>
    <w:rsid w:val="001B789F"/>
    <w:pPr>
      <w:spacing w:before="240" w:after="60"/>
      <w:outlineLvl w:val="7"/>
    </w:pPr>
    <w:rPr>
      <w:i/>
      <w:iCs/>
      <w:sz w:val="24"/>
    </w:rPr>
  </w:style>
  <w:style w:type="paragraph" w:styleId="Heading9">
    <w:name w:val="heading 9"/>
    <w:basedOn w:val="Normal"/>
    <w:next w:val="Normal"/>
    <w:qFormat/>
    <w:rsid w:val="001B789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SNormal">
    <w:name w:val="ATS Normal"/>
    <w:basedOn w:val="Normal"/>
    <w:qFormat/>
    <w:rsid w:val="001B789F"/>
    <w:pPr>
      <w:spacing w:before="120" w:after="120"/>
    </w:pPr>
    <w:rPr>
      <w:lang w:val="en-GB" w:eastAsia="en-GB"/>
    </w:rPr>
  </w:style>
  <w:style w:type="paragraph" w:customStyle="1" w:styleId="ATSBullet1">
    <w:name w:val="ATS Bullet 1"/>
    <w:basedOn w:val="ATSNormal"/>
    <w:rsid w:val="001B789F"/>
    <w:pPr>
      <w:numPr>
        <w:numId w:val="17"/>
      </w:numPr>
      <w:spacing w:before="60" w:after="0"/>
    </w:pPr>
  </w:style>
  <w:style w:type="paragraph" w:customStyle="1" w:styleId="ATSBullet2">
    <w:name w:val="ATS Bullet 2"/>
    <w:basedOn w:val="ATSNormal"/>
    <w:rsid w:val="001B789F"/>
    <w:pPr>
      <w:numPr>
        <w:numId w:val="18"/>
      </w:numPr>
      <w:tabs>
        <w:tab w:val="left" w:pos="720"/>
      </w:tabs>
      <w:spacing w:before="60" w:after="0"/>
    </w:pPr>
  </w:style>
  <w:style w:type="paragraph" w:customStyle="1" w:styleId="ATSCompact">
    <w:name w:val="ATS Compact"/>
    <w:basedOn w:val="ATSNormal"/>
    <w:rsid w:val="001B789F"/>
    <w:pPr>
      <w:spacing w:before="0" w:after="0"/>
    </w:pPr>
  </w:style>
  <w:style w:type="paragraph" w:customStyle="1" w:styleId="ATSHeading1">
    <w:name w:val="ATS Heading 1"/>
    <w:basedOn w:val="ATSNormal"/>
    <w:next w:val="ATSNormal"/>
    <w:rsid w:val="001B789F"/>
    <w:pPr>
      <w:spacing w:before="360" w:after="360"/>
      <w:jc w:val="center"/>
    </w:pPr>
    <w:rPr>
      <w:rFonts w:ascii="Arial" w:hAnsi="Arial"/>
      <w:b/>
      <w:sz w:val="32"/>
    </w:rPr>
  </w:style>
  <w:style w:type="paragraph" w:customStyle="1" w:styleId="ATSHeading2">
    <w:name w:val="ATS Heading 2"/>
    <w:basedOn w:val="ATSNormal"/>
    <w:next w:val="ATSNormal"/>
    <w:qFormat/>
    <w:rsid w:val="001B789F"/>
    <w:pPr>
      <w:spacing w:before="480"/>
      <w:jc w:val="both"/>
    </w:pPr>
    <w:rPr>
      <w:rFonts w:ascii="Arial" w:hAnsi="Arial"/>
      <w:b/>
      <w:i/>
      <w:sz w:val="24"/>
      <w:szCs w:val="22"/>
    </w:rPr>
  </w:style>
  <w:style w:type="paragraph" w:customStyle="1" w:styleId="ATSHeading3">
    <w:name w:val="ATS Heading 3"/>
    <w:basedOn w:val="ATSNormal"/>
    <w:next w:val="ATSNormal"/>
    <w:rsid w:val="001B789F"/>
    <w:pPr>
      <w:spacing w:before="240" w:after="60"/>
    </w:pPr>
    <w:rPr>
      <w:b/>
    </w:rPr>
  </w:style>
  <w:style w:type="paragraph" w:customStyle="1" w:styleId="ATSHeading4">
    <w:name w:val="ATS Heading 4"/>
    <w:basedOn w:val="ATSNormal"/>
    <w:next w:val="ATSNormal"/>
    <w:rsid w:val="001B789F"/>
    <w:pPr>
      <w:spacing w:before="240" w:after="60"/>
    </w:pPr>
    <w:rPr>
      <w:i/>
    </w:rPr>
  </w:style>
  <w:style w:type="paragraph" w:customStyle="1" w:styleId="AtsNumber">
    <w:name w:val="Ats Number"/>
    <w:basedOn w:val="ATSNormal"/>
    <w:rsid w:val="001B789F"/>
    <w:pPr>
      <w:spacing w:before="60" w:after="0"/>
    </w:pPr>
  </w:style>
  <w:style w:type="paragraph" w:customStyle="1" w:styleId="ATSNumber1">
    <w:name w:val="ATS Number 1"/>
    <w:basedOn w:val="ATSNormal"/>
    <w:rsid w:val="001B789F"/>
    <w:pPr>
      <w:numPr>
        <w:numId w:val="19"/>
      </w:numPr>
      <w:spacing w:before="60" w:after="0"/>
    </w:pPr>
  </w:style>
  <w:style w:type="paragraph" w:customStyle="1" w:styleId="ATSNumber2">
    <w:name w:val="ATS Number 2"/>
    <w:basedOn w:val="ATSNormal"/>
    <w:autoRedefine/>
    <w:rsid w:val="001B789F"/>
    <w:pPr>
      <w:numPr>
        <w:numId w:val="20"/>
      </w:numPr>
      <w:spacing w:after="0"/>
      <w:jc w:val="both"/>
    </w:pPr>
  </w:style>
  <w:style w:type="paragraph" w:customStyle="1" w:styleId="ATSQuote">
    <w:name w:val="ATS Quote"/>
    <w:basedOn w:val="Normal"/>
    <w:rsid w:val="001B789F"/>
    <w:pPr>
      <w:ind w:left="357"/>
    </w:pPr>
    <w:rPr>
      <w:i/>
      <w:szCs w:val="18"/>
    </w:rPr>
  </w:style>
  <w:style w:type="paragraph" w:customStyle="1" w:styleId="ATSTitle">
    <w:name w:val="ATS Title"/>
    <w:basedOn w:val="Normal"/>
    <w:rsid w:val="001B789F"/>
    <w:pPr>
      <w:spacing w:before="360" w:after="360"/>
      <w:contextualSpacing/>
      <w:jc w:val="center"/>
    </w:pPr>
    <w:rPr>
      <w:rFonts w:ascii="Arial" w:hAnsi="Arial"/>
      <w:b/>
      <w:sz w:val="48"/>
    </w:rPr>
  </w:style>
  <w:style w:type="paragraph" w:styleId="BalloonText">
    <w:name w:val="Balloon Text"/>
    <w:basedOn w:val="Normal"/>
    <w:semiHidden/>
    <w:rsid w:val="001B789F"/>
    <w:rPr>
      <w:rFonts w:ascii="Tahoma" w:hAnsi="Tahoma" w:cs="Tahoma"/>
      <w:sz w:val="16"/>
      <w:szCs w:val="16"/>
    </w:rPr>
  </w:style>
  <w:style w:type="character" w:customStyle="1" w:styleId="BodyTextChar">
    <w:name w:val="Body Text Char"/>
    <w:semiHidden/>
    <w:rsid w:val="001B789F"/>
    <w:rPr>
      <w:sz w:val="24"/>
      <w:szCs w:val="22"/>
      <w:lang w:val="en-US" w:eastAsia="zh-CN" w:bidi="ar-SA"/>
    </w:rPr>
  </w:style>
  <w:style w:type="character" w:customStyle="1" w:styleId="CharacterStyle1">
    <w:name w:val="Character Style 1"/>
    <w:semiHidden/>
    <w:rsid w:val="001B789F"/>
    <w:rPr>
      <w:sz w:val="22"/>
      <w:szCs w:val="22"/>
    </w:rPr>
  </w:style>
  <w:style w:type="character" w:customStyle="1" w:styleId="descriptions1">
    <w:name w:val="descriptions1"/>
    <w:semiHidden/>
    <w:rsid w:val="001B789F"/>
    <w:rPr>
      <w:rFonts w:ascii="Verdana" w:hAnsi="Verdana" w:hint="default"/>
      <w:b/>
      <w:bCs/>
      <w:i w:val="0"/>
      <w:iCs w:val="0"/>
      <w:caps w:val="0"/>
      <w:smallCaps w:val="0"/>
      <w:color w:val="585858"/>
      <w:sz w:val="12"/>
      <w:szCs w:val="12"/>
    </w:rPr>
  </w:style>
  <w:style w:type="paragraph" w:styleId="DocumentMap">
    <w:name w:val="Document Map"/>
    <w:basedOn w:val="Normal"/>
    <w:semiHidden/>
    <w:rsid w:val="001B789F"/>
    <w:pPr>
      <w:shd w:val="clear" w:color="auto" w:fill="000080"/>
    </w:pPr>
    <w:rPr>
      <w:rFonts w:ascii="Tahoma" w:hAnsi="Tahoma" w:cs="Tahoma"/>
      <w:sz w:val="20"/>
      <w:szCs w:val="20"/>
    </w:rPr>
  </w:style>
  <w:style w:type="character" w:styleId="EndnoteReference">
    <w:name w:val="endnote reference"/>
    <w:semiHidden/>
    <w:rsid w:val="001B789F"/>
    <w:rPr>
      <w:vertAlign w:val="superscript"/>
    </w:rPr>
  </w:style>
  <w:style w:type="paragraph" w:styleId="EndnoteText">
    <w:name w:val="endnote text"/>
    <w:basedOn w:val="Normal"/>
    <w:semiHidden/>
    <w:rsid w:val="001B789F"/>
    <w:rPr>
      <w:sz w:val="20"/>
      <w:szCs w:val="20"/>
    </w:rPr>
  </w:style>
  <w:style w:type="character" w:styleId="FollowedHyperlink">
    <w:name w:val="FollowedHyperlink"/>
    <w:semiHidden/>
    <w:rsid w:val="001B789F"/>
    <w:rPr>
      <w:color w:val="800080"/>
      <w:u w:val="single"/>
    </w:rPr>
  </w:style>
  <w:style w:type="paragraph" w:styleId="Footer">
    <w:name w:val="footer"/>
    <w:basedOn w:val="Normal"/>
    <w:semiHidden/>
    <w:rsid w:val="001B789F"/>
    <w:pPr>
      <w:tabs>
        <w:tab w:val="center" w:pos="4419"/>
        <w:tab w:val="right" w:pos="8838"/>
      </w:tabs>
    </w:pPr>
  </w:style>
  <w:style w:type="character" w:styleId="FootnoteReference">
    <w:name w:val="footnote reference"/>
    <w:rsid w:val="001B789F"/>
    <w:rPr>
      <w:vertAlign w:val="superscript"/>
    </w:rPr>
  </w:style>
  <w:style w:type="paragraph" w:styleId="FootnoteText">
    <w:name w:val="footnote text"/>
    <w:basedOn w:val="Normal"/>
    <w:rsid w:val="001B789F"/>
    <w:rPr>
      <w:szCs w:val="22"/>
    </w:rPr>
  </w:style>
  <w:style w:type="paragraph" w:styleId="Header">
    <w:name w:val="header"/>
    <w:basedOn w:val="Normal"/>
    <w:semiHidden/>
    <w:rsid w:val="001B789F"/>
    <w:pPr>
      <w:tabs>
        <w:tab w:val="center" w:pos="4419"/>
        <w:tab w:val="right" w:pos="8838"/>
      </w:tabs>
    </w:pPr>
  </w:style>
  <w:style w:type="character" w:styleId="Hyperlink">
    <w:name w:val="Hyperlink"/>
    <w:semiHidden/>
    <w:rsid w:val="001B789F"/>
    <w:rPr>
      <w:color w:val="660000"/>
      <w:u w:val="single"/>
    </w:rPr>
  </w:style>
  <w:style w:type="paragraph" w:styleId="NormalWeb">
    <w:name w:val="Normal (Web)"/>
    <w:basedOn w:val="Normal"/>
    <w:semiHidden/>
    <w:rsid w:val="001B789F"/>
    <w:pPr>
      <w:spacing w:before="100" w:beforeAutospacing="1" w:after="100" w:afterAutospacing="1"/>
      <w:jc w:val="both"/>
    </w:pPr>
    <w:rPr>
      <w:sz w:val="24"/>
      <w:lang w:val="en-AU" w:eastAsia="en-AU"/>
    </w:rPr>
  </w:style>
  <w:style w:type="character" w:styleId="PageNumber">
    <w:name w:val="page number"/>
    <w:basedOn w:val="DefaultParagraphFont"/>
    <w:semiHidden/>
    <w:rsid w:val="001B789F"/>
  </w:style>
  <w:style w:type="character" w:styleId="Strong">
    <w:name w:val="Strong"/>
    <w:qFormat/>
    <w:rsid w:val="001B789F"/>
    <w:rPr>
      <w:b/>
      <w:bCs/>
    </w:rPr>
  </w:style>
  <w:style w:type="table" w:styleId="TableGrid">
    <w:name w:val="Table Grid"/>
    <w:basedOn w:val="TableNormal"/>
    <w:semiHidden/>
    <w:rsid w:val="001B7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g1">
    <w:name w:val="tag1"/>
    <w:semiHidden/>
    <w:rsid w:val="001B789F"/>
    <w:rPr>
      <w:rFonts w:ascii="Verdana" w:hAnsi="Verdana" w:hint="default"/>
      <w:b w:val="0"/>
      <w:bCs w:val="0"/>
      <w:i w:val="0"/>
      <w:iCs w:val="0"/>
      <w:caps w:val="0"/>
      <w:smallCaps w:val="0"/>
      <w:strike w:val="0"/>
      <w:dstrike w:val="0"/>
      <w:color w:val="585858"/>
      <w:sz w:val="12"/>
      <w:szCs w:val="12"/>
      <w:u w:val="none"/>
      <w:effect w:val="none"/>
    </w:rPr>
  </w:style>
  <w:style w:type="paragraph" w:customStyle="1" w:styleId="TexteFr">
    <w:name w:val="TexteFr"/>
    <w:basedOn w:val="Normal"/>
    <w:semiHidden/>
    <w:rsid w:val="001B789F"/>
    <w:pPr>
      <w:pBdr>
        <w:top w:val="single" w:sz="4" w:space="1" w:color="auto"/>
        <w:left w:val="single" w:sz="4" w:space="4" w:color="auto"/>
        <w:bottom w:val="single" w:sz="4" w:space="1" w:color="auto"/>
        <w:right w:val="single" w:sz="4" w:space="4" w:color="auto"/>
      </w:pBdr>
      <w:shd w:val="pct10" w:color="000000" w:fill="auto"/>
      <w:tabs>
        <w:tab w:val="left" w:pos="1711"/>
        <w:tab w:val="left" w:pos="2209"/>
        <w:tab w:val="left" w:pos="2760"/>
        <w:tab w:val="left" w:pos="5101"/>
        <w:tab w:val="left" w:pos="5886"/>
        <w:tab w:val="left" w:pos="7128"/>
      </w:tabs>
      <w:ind w:left="272" w:hanging="272"/>
      <w:jc w:val="both"/>
    </w:pPr>
    <w:rPr>
      <w:szCs w:val="22"/>
      <w:lang w:val="fr-FR" w:eastAsia="en-AU"/>
    </w:rPr>
  </w:style>
  <w:style w:type="paragraph" w:customStyle="1" w:styleId="TextEn">
    <w:name w:val="TextEn"/>
    <w:basedOn w:val="Normal"/>
    <w:semiHidden/>
    <w:rsid w:val="001B789F"/>
    <w:pPr>
      <w:spacing w:after="120"/>
    </w:pPr>
    <w:rPr>
      <w:szCs w:val="22"/>
    </w:rPr>
  </w:style>
  <w:style w:type="paragraph" w:customStyle="1" w:styleId="TextEnSingle">
    <w:name w:val="TextEnSingle"/>
    <w:basedOn w:val="TextEn"/>
    <w:semiHidden/>
    <w:rsid w:val="001B789F"/>
    <w:pPr>
      <w:spacing w:after="0"/>
    </w:pPr>
  </w:style>
  <w:style w:type="paragraph" w:customStyle="1" w:styleId="TextSp">
    <w:name w:val="TextSp"/>
    <w:basedOn w:val="Normal"/>
    <w:semiHidden/>
    <w:rsid w:val="001B789F"/>
    <w:pPr>
      <w:spacing w:after="120"/>
    </w:pPr>
    <w:rPr>
      <w:szCs w:val="22"/>
      <w:lang w:val="es-AR" w:eastAsia="es-ES"/>
    </w:rPr>
  </w:style>
  <w:style w:type="paragraph" w:styleId="TOC1">
    <w:name w:val="toc 1"/>
    <w:basedOn w:val="Normal"/>
    <w:next w:val="Normal"/>
    <w:autoRedefine/>
    <w:semiHidden/>
    <w:rsid w:val="001B789F"/>
    <w:rPr>
      <w:b/>
      <w:bCs/>
      <w:i/>
      <w:iCs/>
      <w:sz w:val="24"/>
    </w:rPr>
  </w:style>
  <w:style w:type="paragraph" w:styleId="TOC2">
    <w:name w:val="toc 2"/>
    <w:basedOn w:val="Normal"/>
    <w:next w:val="Normal"/>
    <w:autoRedefine/>
    <w:semiHidden/>
    <w:rsid w:val="001B789F"/>
    <w:pPr>
      <w:ind w:left="220"/>
    </w:pPr>
    <w:rPr>
      <w:b/>
      <w:bCs/>
      <w:szCs w:val="22"/>
    </w:rPr>
  </w:style>
  <w:style w:type="paragraph" w:styleId="TOC3">
    <w:name w:val="toc 3"/>
    <w:basedOn w:val="Normal"/>
    <w:next w:val="Normal"/>
    <w:autoRedefine/>
    <w:semiHidden/>
    <w:rsid w:val="001B789F"/>
    <w:pPr>
      <w:ind w:left="440"/>
    </w:pPr>
    <w:rPr>
      <w:sz w:val="20"/>
      <w:szCs w:val="20"/>
    </w:rPr>
  </w:style>
  <w:style w:type="paragraph" w:styleId="TOC4">
    <w:name w:val="toc 4"/>
    <w:basedOn w:val="Normal"/>
    <w:next w:val="Normal"/>
    <w:autoRedefine/>
    <w:semiHidden/>
    <w:rsid w:val="001B789F"/>
    <w:pPr>
      <w:ind w:left="660"/>
    </w:pPr>
    <w:rPr>
      <w:sz w:val="20"/>
      <w:szCs w:val="20"/>
    </w:rPr>
  </w:style>
  <w:style w:type="paragraph" w:styleId="TOC5">
    <w:name w:val="toc 5"/>
    <w:basedOn w:val="Normal"/>
    <w:next w:val="Normal"/>
    <w:autoRedefine/>
    <w:semiHidden/>
    <w:rsid w:val="001B789F"/>
    <w:pPr>
      <w:ind w:left="880"/>
    </w:pPr>
    <w:rPr>
      <w:sz w:val="20"/>
      <w:szCs w:val="20"/>
    </w:rPr>
  </w:style>
  <w:style w:type="paragraph" w:styleId="TOC6">
    <w:name w:val="toc 6"/>
    <w:basedOn w:val="Normal"/>
    <w:next w:val="Normal"/>
    <w:autoRedefine/>
    <w:semiHidden/>
    <w:rsid w:val="001B789F"/>
    <w:pPr>
      <w:ind w:left="1100"/>
    </w:pPr>
    <w:rPr>
      <w:sz w:val="20"/>
      <w:szCs w:val="20"/>
    </w:rPr>
  </w:style>
  <w:style w:type="paragraph" w:styleId="TOC7">
    <w:name w:val="toc 7"/>
    <w:basedOn w:val="Normal"/>
    <w:next w:val="Normal"/>
    <w:autoRedefine/>
    <w:semiHidden/>
    <w:rsid w:val="001B789F"/>
    <w:pPr>
      <w:ind w:left="1320"/>
    </w:pPr>
    <w:rPr>
      <w:sz w:val="20"/>
      <w:szCs w:val="20"/>
    </w:rPr>
  </w:style>
  <w:style w:type="paragraph" w:styleId="TOC8">
    <w:name w:val="toc 8"/>
    <w:basedOn w:val="Normal"/>
    <w:next w:val="Normal"/>
    <w:autoRedefine/>
    <w:semiHidden/>
    <w:rsid w:val="001B789F"/>
    <w:pPr>
      <w:ind w:left="1540"/>
    </w:pPr>
    <w:rPr>
      <w:sz w:val="20"/>
      <w:szCs w:val="20"/>
    </w:rPr>
  </w:style>
  <w:style w:type="paragraph" w:styleId="TOC9">
    <w:name w:val="toc 9"/>
    <w:basedOn w:val="Normal"/>
    <w:next w:val="Normal"/>
    <w:autoRedefine/>
    <w:semiHidden/>
    <w:rsid w:val="001B789F"/>
    <w:pPr>
      <w:ind w:left="1760"/>
    </w:pPr>
    <w:rPr>
      <w:sz w:val="20"/>
      <w:szCs w:val="20"/>
    </w:rPr>
  </w:style>
  <w:style w:type="paragraph" w:customStyle="1" w:styleId="TytApp">
    <w:name w:val="Tyt. App."/>
    <w:basedOn w:val="Normal"/>
    <w:autoRedefine/>
    <w:semiHidden/>
    <w:rsid w:val="001B789F"/>
    <w:pPr>
      <w:widowControl w:val="0"/>
      <w:numPr>
        <w:ilvl w:val="12"/>
      </w:numPr>
      <w:tabs>
        <w:tab w:val="left" w:pos="90"/>
        <w:tab w:val="left" w:pos="737"/>
        <w:tab w:val="left" w:pos="2835"/>
      </w:tabs>
      <w:spacing w:before="180" w:after="40" w:line="260" w:lineRule="exact"/>
      <w:jc w:val="center"/>
    </w:pPr>
    <w:rPr>
      <w:b/>
      <w:snapToGrid w:val="0"/>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nkd.in/dQEzM2h" TargetMode="External"/><Relationship Id="rId2" Type="http://schemas.openxmlformats.org/officeDocument/2006/relationships/styles" Target="styles.xml"/><Relationship Id="rId16" Type="http://schemas.openxmlformats.org/officeDocument/2006/relationships/hyperlink" Target="mailto:boris.dorschel@awi.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dcs@iho.int"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6372</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 español</vt:lpstr>
      <vt:lpstr>paper template español</vt:lpstr>
    </vt:vector>
  </TitlesOfParts>
  <Company>ATS</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español</dc:title>
  <dc:creator>Pepe Agraz</dc:creator>
  <cp:lastModifiedBy>YG</cp:lastModifiedBy>
  <cp:revision>2</cp:revision>
  <cp:lastPrinted>1900-01-01T03:00:00Z</cp:lastPrinted>
  <dcterms:created xsi:type="dcterms:W3CDTF">2021-04-15T05:43:00Z</dcterms:created>
  <dcterms:modified xsi:type="dcterms:W3CDTF">2021-04-15T05:43:00Z</dcterms:modified>
</cp:coreProperties>
</file>