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FBFF0B" w14:textId="77777777" w:rsidR="00C26F2D" w:rsidRPr="00BF077B" w:rsidRDefault="00FB122D" w:rsidP="00BF077B">
      <w:pPr>
        <w:pStyle w:val="ATSNormal"/>
        <w:rPr>
          <w:rStyle w:val="BookTitle"/>
        </w:rPr>
      </w:pPr>
      <w:bookmarkStart w:id="0" w:name="_GoBack"/>
      <w:bookmarkEnd w:id="0"/>
    </w:p>
    <w:p w14:paraId="0374465B" w14:textId="77777777" w:rsidR="002F0A13" w:rsidRDefault="00FB122D" w:rsidP="004B4A60">
      <w:pPr>
        <w:rPr>
          <w:b/>
          <w:u w:val="single"/>
          <w:lang w:val="es-ES_tradnl"/>
        </w:rPr>
      </w:pPr>
    </w:p>
    <w:p w14:paraId="1EBBC01E" w14:textId="77777777" w:rsidR="002F0A13" w:rsidRDefault="00FB122D" w:rsidP="004B4A60">
      <w:pPr>
        <w:rPr>
          <w:b/>
          <w:u w:val="single"/>
          <w:lang w:val="es-ES_tradnl"/>
        </w:rPr>
      </w:pPr>
    </w:p>
    <w:p w14:paraId="23C5F513" w14:textId="77777777" w:rsidR="002F0A13" w:rsidRDefault="00FB122D" w:rsidP="004B4A60">
      <w:pPr>
        <w:rPr>
          <w:b/>
          <w:u w:val="single"/>
          <w:lang w:val="es-ES_tradnl"/>
        </w:rPr>
      </w:pPr>
    </w:p>
    <w:p w14:paraId="7C5799E3" w14:textId="77777777" w:rsidR="002F0A13" w:rsidRDefault="00FB122D" w:rsidP="004B4A60">
      <w:pPr>
        <w:rPr>
          <w:b/>
          <w:u w:val="single"/>
          <w:lang w:val="es-ES_tradnl"/>
        </w:rPr>
      </w:pPr>
    </w:p>
    <w:p w14:paraId="47B79E50" w14:textId="77777777" w:rsidR="00C26F2D" w:rsidRDefault="00FB122D" w:rsidP="004B4A60">
      <w:pPr>
        <w:rPr>
          <w:b/>
          <w:u w:val="single"/>
          <w:lang w:val="es-ES_tradnl"/>
        </w:rPr>
      </w:pPr>
    </w:p>
    <w:p w14:paraId="6A413ED9" w14:textId="77777777" w:rsidR="004B4A60" w:rsidRPr="0057246E" w:rsidRDefault="00DC2133" w:rsidP="001B789F">
      <w:pPr>
        <w:pStyle w:val="ATSTitle"/>
      </w:pPr>
      <w:bookmarkStart w:id="1" w:name="name"/>
      <w:r>
        <w:t>Rapport de l’Organisation hydrographique internationale (OHI)</w:t>
      </w:r>
    </w:p>
    <w:bookmarkEnd w:id="1"/>
    <w:p w14:paraId="6414F83A" w14:textId="77777777" w:rsidR="00FB3025" w:rsidRDefault="00FB3025" w:rsidP="001B789F">
      <w:pPr>
        <w:pStyle w:val="ATSTitle"/>
      </w:pPr>
    </w:p>
    <w:p w14:paraId="1383AA68" w14:textId="77777777" w:rsidR="004B4A60" w:rsidRPr="0057246E" w:rsidRDefault="00FB122D" w:rsidP="00F75424">
      <w:pPr>
        <w:jc w:val="center"/>
      </w:pPr>
    </w:p>
    <w:p w14:paraId="3D2D0962" w14:textId="77777777" w:rsidR="004B4A60" w:rsidRPr="002F0A13" w:rsidRDefault="00FB122D" w:rsidP="002F0A13"/>
    <w:p w14:paraId="03CDD7E3" w14:textId="77777777" w:rsidR="004B4A60" w:rsidRDefault="00FB122D" w:rsidP="00F75424">
      <w:pPr>
        <w:jc w:val="center"/>
      </w:pPr>
      <w:bookmarkStart w:id="2" w:name="memo"/>
      <w:bookmarkEnd w:id="2"/>
    </w:p>
    <w:p w14:paraId="0ADFC66E" w14:textId="77777777" w:rsidR="0097629D" w:rsidRDefault="00FB122D" w:rsidP="00F75424">
      <w:pPr>
        <w:jc w:val="center"/>
      </w:pPr>
    </w:p>
    <w:p w14:paraId="45CC2ED2" w14:textId="77777777" w:rsidR="0097629D" w:rsidRDefault="00FB122D" w:rsidP="00F75424">
      <w:pPr>
        <w:jc w:val="center"/>
      </w:pPr>
    </w:p>
    <w:p w14:paraId="452D055B" w14:textId="77777777" w:rsidR="0097629D" w:rsidRDefault="00FB122D" w:rsidP="00F75424">
      <w:pPr>
        <w:jc w:val="center"/>
      </w:pPr>
    </w:p>
    <w:p w14:paraId="6B335071" w14:textId="77777777" w:rsidR="0097629D" w:rsidRPr="00C26F2D" w:rsidRDefault="00FB122D" w:rsidP="00F75424">
      <w:pPr>
        <w:jc w:val="center"/>
      </w:pPr>
    </w:p>
    <w:p w14:paraId="2AA1FDD5" w14:textId="77777777" w:rsidR="004B4A60" w:rsidRPr="0057246E" w:rsidRDefault="00FB122D" w:rsidP="004B4A60"/>
    <w:p w14:paraId="239394BF" w14:textId="77777777" w:rsidR="00C26F2D" w:rsidRDefault="00FB122D" w:rsidP="00952E9F">
      <w:pPr>
        <w:sectPr w:rsidR="00C26F2D" w:rsidSect="00D5023C">
          <w:headerReference w:type="even" r:id="rId8"/>
          <w:headerReference w:type="default" r:id="rId9"/>
          <w:footerReference w:type="even" r:id="rId10"/>
          <w:footerReference w:type="default" r:id="rId11"/>
          <w:headerReference w:type="first" r:id="rId12"/>
          <w:footerReference w:type="first" r:id="rId13"/>
          <w:pgSz w:w="11907" w:h="16840" w:code="9"/>
          <w:pgMar w:top="1134" w:right="1701" w:bottom="1134" w:left="1701" w:header="709" w:footer="709" w:gutter="0"/>
          <w:cols w:space="708"/>
          <w:docGrid w:linePitch="360"/>
        </w:sectPr>
      </w:pPr>
    </w:p>
    <w:p w14:paraId="1984BB78" w14:textId="77777777" w:rsidR="00DC2133" w:rsidRPr="00DC2133" w:rsidRDefault="00DC2133" w:rsidP="00DC2133">
      <w:pPr>
        <w:pStyle w:val="ATSHeading1"/>
      </w:pPr>
      <w:r>
        <w:lastRenderedPageBreak/>
        <w:t>Rapport de</w:t>
      </w:r>
      <w:r>
        <w:br/>
        <w:t>l’Organisation hydrographique internationale (OHI)</w:t>
      </w:r>
    </w:p>
    <w:p w14:paraId="0EFF0F84" w14:textId="5B1EB16E" w:rsidR="00DC2133" w:rsidRPr="00DC2133" w:rsidRDefault="00DC2133" w:rsidP="00DC2133">
      <w:pPr>
        <w:pStyle w:val="ATSHeading1"/>
        <w:rPr>
          <w:sz w:val="28"/>
          <w:szCs w:val="28"/>
        </w:rPr>
      </w:pPr>
      <w:r>
        <w:rPr>
          <w:sz w:val="28"/>
        </w:rPr>
        <w:t>Aperçu rapide des questions d’intérêt pour la région et quelques considérations sur l’impact du changement climatique et la mise en œuvre du Code polaire de l’OMI</w:t>
      </w:r>
    </w:p>
    <w:p w14:paraId="54A971D7" w14:textId="4B929001" w:rsidR="00DC2133" w:rsidRPr="00DC2133" w:rsidRDefault="00DC2133" w:rsidP="00DC2133">
      <w:pPr>
        <w:pStyle w:val="ATSHeading2"/>
      </w:pPr>
      <w:r>
        <w:t>Rapport du Secrétariat de l’Organisation hydrographique internationale en tant que président de la Commission hydrographique de l’OHI sur l’Antarctique</w:t>
      </w:r>
    </w:p>
    <w:p w14:paraId="03811DAD" w14:textId="77777777" w:rsidR="00DC2133" w:rsidRDefault="00DC2133" w:rsidP="00DC2133">
      <w:pPr>
        <w:pStyle w:val="ATSHeading2"/>
        <w:keepNext/>
      </w:pPr>
      <w:r>
        <w:t>Introduction</w:t>
      </w:r>
    </w:p>
    <w:p w14:paraId="0B5C1DCA" w14:textId="77777777" w:rsidR="00DC2133" w:rsidRDefault="00DC2133" w:rsidP="00DC2133">
      <w:pPr>
        <w:pStyle w:val="ATSNormal"/>
        <w:jc w:val="both"/>
      </w:pPr>
      <w:r>
        <w:t>L’Organisation hydrographique internationale (OHI) est une organisation intergouvernementale consultative et technique. Elle comprend 98 États membres. Chaque État est normalement représenté par son hydrographe national.</w:t>
      </w:r>
    </w:p>
    <w:p w14:paraId="67EF7ABD" w14:textId="77777777" w:rsidR="00DC2133" w:rsidRDefault="00DC2133" w:rsidP="00DC2133">
      <w:pPr>
        <w:pStyle w:val="ATSNormal"/>
        <w:jc w:val="both"/>
        <w:rPr>
          <w:rFonts w:eastAsia="Calibri"/>
        </w:rPr>
      </w:pPr>
      <w:r>
        <w:t>L’OHI coordonne à l’échelle mondiale l’établissement de normes pour les données hydrographiques et la fourniture de services hydrographiques à l’appui de la sécurité de la navigation et de la protection et de l’utilisation durable de l’environnement marin. L’objectif principal de l’OHI est veiller à ce que toutes les mers, tous les océans et toutes les eaux navigables du monde soient étudiés et cartographiés.</w:t>
      </w:r>
    </w:p>
    <w:p w14:paraId="694492E1" w14:textId="77777777" w:rsidR="00DC2133" w:rsidRDefault="00DC2133" w:rsidP="00DC2133">
      <w:pPr>
        <w:pStyle w:val="ATSHeading2"/>
        <w:keepNext/>
      </w:pPr>
      <w:r>
        <w:t>Importance de l’hydrographie en Antarctique</w:t>
      </w:r>
    </w:p>
    <w:p w14:paraId="06C3A300" w14:textId="77777777" w:rsidR="00DC2133" w:rsidRPr="00D37BC4" w:rsidRDefault="00DC2133" w:rsidP="00DC2133">
      <w:pPr>
        <w:pStyle w:val="ATSNormal"/>
        <w:jc w:val="both"/>
        <w:rPr>
          <w:rFonts w:eastAsia="Calibri"/>
        </w:rPr>
      </w:pPr>
      <w:r>
        <w:t>Les informations hydrographiques constituent une condition préalable essentielle au développement d’activités humaines fructueuses et écologiquement durables dans les mers et les océans. Malheureusement, il n’existe que peu ou pas d’informations hydrographiques pour un certain nombre de régions du monde, en particulier l’Antarctique.</w:t>
      </w:r>
    </w:p>
    <w:p w14:paraId="1A50E1A3" w14:textId="77777777" w:rsidR="00DC2133" w:rsidRDefault="00DC2133" w:rsidP="00DC2133">
      <w:pPr>
        <w:pStyle w:val="ATSHeading2"/>
        <w:keepNext/>
      </w:pPr>
      <w:r>
        <w:t>Commission hydrographique de l’OHI sur l’Antarctique (CHA) et autre</w:t>
      </w:r>
    </w:p>
    <w:p w14:paraId="2BECEB41" w14:textId="77777777" w:rsidR="00DC2133" w:rsidRDefault="00DC2133" w:rsidP="00DC2133">
      <w:pPr>
        <w:pStyle w:val="ATSNormal"/>
        <w:jc w:val="both"/>
        <w:rPr>
          <w:rFonts w:eastAsia="Calibri"/>
        </w:rPr>
      </w:pPr>
      <w:r>
        <w:t>La CHA est le principal organe de l’OHI chargé de traiter les questions relatives à l’Antarctique.</w:t>
      </w:r>
    </w:p>
    <w:p w14:paraId="3B09E991" w14:textId="77777777" w:rsidR="00DC2133" w:rsidRDefault="00DC2133" w:rsidP="00DC2133">
      <w:pPr>
        <w:pStyle w:val="ATSNormal"/>
        <w:jc w:val="both"/>
        <w:rPr>
          <w:rFonts w:eastAsia="Arial Unicode MS"/>
        </w:rPr>
      </w:pPr>
      <w:r>
        <w:t xml:space="preserve">La CHA comprend 24 États membres de l’OHI (Afrique du Sud, Allemagne, Argentine, Australie, Brésil, Chili, Chine, Colombie, Équateur, Espagne, Fédération de Russie, France, Grèce, Inde, Italie, Japon, Norvège, Nouvelle-Zélande, Pérou, République de Corée, Royaume-Uni, Uruguay, États-Unis, Venezuela), qui ont tous adhéré au traité sur l’Antarctique et sont donc également directement représentés au sein de la RCTA. </w:t>
      </w:r>
    </w:p>
    <w:p w14:paraId="0652280F" w14:textId="77777777" w:rsidR="00DC2133" w:rsidRPr="00597DFB" w:rsidRDefault="00DC2133" w:rsidP="00DC2133">
      <w:pPr>
        <w:pStyle w:val="ATSNormal"/>
        <w:numPr>
          <w:ilvl w:val="0"/>
          <w:numId w:val="22"/>
        </w:numPr>
        <w:jc w:val="both"/>
        <w:rPr>
          <w:rFonts w:eastAsia="Arial Unicode MS"/>
          <w:b/>
        </w:rPr>
      </w:pPr>
      <w:r>
        <w:rPr>
          <w:b/>
        </w:rPr>
        <w:t>Trois États membres de l’OHI (Pays-Bas, Pologne et Turquie) ont demandé à devenir membres de la CHA en 2023.</w:t>
      </w:r>
    </w:p>
    <w:p w14:paraId="18D78CC3" w14:textId="77777777" w:rsidR="00DC2133" w:rsidRDefault="00DC2133" w:rsidP="00DC2133">
      <w:pPr>
        <w:pStyle w:val="ATSNormal"/>
        <w:jc w:val="both"/>
        <w:rPr>
          <w:rFonts w:eastAsia="Arial Unicode MS"/>
        </w:rPr>
      </w:pPr>
      <w:r>
        <w:t>La Commission hydrographique de l’OHI sur l’Antarctique (CHA) a été créée en 1998 dans le but de coordonner les activités entre ses États membres afin d’améliorer la qualité, la couverture et la disponibilité des cartes marines ainsi que d’autres informations et services géospatiaux et hydrographiques marins couvrant la région de l’Antarctique.</w:t>
      </w:r>
    </w:p>
    <w:p w14:paraId="203FC8FE" w14:textId="77777777" w:rsidR="00DC2133" w:rsidRPr="00003821" w:rsidRDefault="00DC2133" w:rsidP="00DC2133">
      <w:pPr>
        <w:pStyle w:val="ATSNormal"/>
        <w:numPr>
          <w:ilvl w:val="0"/>
          <w:numId w:val="22"/>
        </w:numPr>
        <w:jc w:val="both"/>
        <w:rPr>
          <w:rFonts w:eastAsia="Arial Unicode MS"/>
          <w:b/>
        </w:rPr>
      </w:pPr>
      <w:r>
        <w:rPr>
          <w:b/>
        </w:rPr>
        <w:t>Les statuts de la CHA ont été révisés en 2021 et sont entrés en vigueur avant la 44</w:t>
      </w:r>
      <w:r>
        <w:rPr>
          <w:b/>
          <w:vertAlign w:val="superscript"/>
        </w:rPr>
        <w:t>e</w:t>
      </w:r>
      <w:r>
        <w:rPr>
          <w:b/>
        </w:rPr>
        <w:t xml:space="preserve"> RCTA à Berlin en mai 2022. Le principal objectif des amendements était de </w:t>
      </w:r>
      <w:r>
        <w:rPr>
          <w:b/>
        </w:rPr>
        <w:lastRenderedPageBreak/>
        <w:t>mieux aligner les activités de la CHA sur le Système du Traité sur l’Antarctique</w:t>
      </w:r>
      <w:r>
        <w:rPr>
          <w:rStyle w:val="FootnoteReference"/>
          <w:rFonts w:eastAsia="Arial Unicode MS"/>
          <w:b/>
          <w:lang w:val="en-AU"/>
        </w:rPr>
        <w:footnoteReference w:id="1"/>
      </w:r>
      <w:r>
        <w:rPr>
          <w:b/>
        </w:rPr>
        <w:t xml:space="preserve"> et les dernières résolutions de la RCTA sur les questions hydrographiques</w:t>
      </w:r>
      <w:r>
        <w:rPr>
          <w:rStyle w:val="FootnoteReference"/>
          <w:rFonts w:eastAsia="Arial Unicode MS"/>
          <w:b/>
          <w:lang w:val="en-AU"/>
        </w:rPr>
        <w:footnoteReference w:id="2"/>
      </w:r>
      <w:r>
        <w:rPr>
          <w:b/>
        </w:rPr>
        <w:t>.</w:t>
      </w:r>
    </w:p>
    <w:p w14:paraId="4A0E7BEF" w14:textId="77777777" w:rsidR="00DC2133" w:rsidRDefault="00DC2133" w:rsidP="00DC2133">
      <w:pPr>
        <w:pStyle w:val="ATSNormal"/>
        <w:jc w:val="both"/>
        <w:rPr>
          <w:rFonts w:eastAsia="Arial Unicode MS"/>
        </w:rPr>
      </w:pPr>
      <w:r>
        <w:t xml:space="preserve">L’OHI est engagée dans les activités des régions polaires en général, par l’intermédiaire de la CHA pour l’Antarctique, mais également par l’intermédiaire de la Commission hydrographique régionale de l’Arctique (CHRA) pour la région arctique, en soutien au Conseil de l’Arctique et à son groupe de travail pour la protection de l’environnement marin arctique (PEMA) en particulier. Ce double engagement dans les régions polaires au sein de l’OHI est un catalyseur clé pour le développement de synergies dans divers domaines (technologies autonomes de cartographie des fond marin, développement de nouveaux services opérationnels S-100 et portails géospatiaux pour répondre aux besoins des utilisateurs). </w:t>
      </w:r>
    </w:p>
    <w:p w14:paraId="28B55A7D" w14:textId="77777777" w:rsidR="00DC2133" w:rsidRDefault="00DC2133" w:rsidP="00DC2133">
      <w:pPr>
        <w:pStyle w:val="ATSNormal"/>
        <w:numPr>
          <w:ilvl w:val="0"/>
          <w:numId w:val="22"/>
        </w:numPr>
        <w:jc w:val="both"/>
        <w:rPr>
          <w:rFonts w:eastAsia="Arial Unicode MS"/>
          <w:b/>
        </w:rPr>
      </w:pPr>
      <w:r>
        <w:rPr>
          <w:b/>
        </w:rPr>
        <w:t>Dans les deux régions polaires, en raison des effets du changement climatique, de nouvelles zones non sondées et non répertoriées voient leur glace fondre et sont donc potentiellement ouvertes à la navigation. La CHA demande à la RCTA de tenir l’OHI informée de ses priorités géographiques pour cartographier ces nouvelles zones, le cas échéant. L’OHI a récemment mis en place de nouveaux indicateurs de performance stratégiques afin d’évaluer l’adéquation des levés et de la couverture cartographique dans le monde, y compris dans les régions polaires.</w:t>
      </w:r>
    </w:p>
    <w:p w14:paraId="505D3F02" w14:textId="77777777" w:rsidR="00DC2133" w:rsidRPr="00116145" w:rsidRDefault="00DC2133" w:rsidP="00DC2133">
      <w:pPr>
        <w:pStyle w:val="ATSNormal"/>
        <w:numPr>
          <w:ilvl w:val="0"/>
          <w:numId w:val="22"/>
        </w:numPr>
        <w:jc w:val="both"/>
        <w:rPr>
          <w:rFonts w:eastAsia="Arial Unicode MS"/>
          <w:b/>
        </w:rPr>
      </w:pPr>
      <w:r>
        <w:rPr>
          <w:b/>
        </w:rPr>
        <w:t>De nouveaux services de données hydrographiques utilisant le modèle universel de données hydrographiques de l’OHI (S-100) sont en cours de développement. L’OMI a approuvé l’introduction du nouveau S-100 ECDIS de 2026 à 2029. Les sections et recommandations actuelles du Code polaire de l’OMI relatives à la navigation dans les eaux polaires restent pertinentes, mais l’introduction des nouveaux services S-100, qui rassemblent de nouveaux ensembles de données modernes et qualifiées pour la surveillance (et la planification) des routes, vise à améliorer la sécurité, en particulier dans les régions polaires. Des amendements au Code polaire seront soumis par l’OHI à l’OMI, le cas échéant, une fois que ces nouveaux services de données S-100 seront opérationnels.</w:t>
      </w:r>
    </w:p>
    <w:p w14:paraId="24470226" w14:textId="77777777" w:rsidR="00DC2133" w:rsidRPr="00ED152F" w:rsidRDefault="00DC2133" w:rsidP="00DC2133">
      <w:pPr>
        <w:pStyle w:val="ATSHeading2"/>
        <w:keepNext/>
      </w:pPr>
      <w:r>
        <w:t>CHA et IBCSO GEBCO</w:t>
      </w:r>
    </w:p>
    <w:p w14:paraId="532A3E26" w14:textId="77777777" w:rsidR="00DC2133" w:rsidRDefault="00DC2133" w:rsidP="00DC2133">
      <w:pPr>
        <w:pStyle w:val="ATSNormal"/>
        <w:jc w:val="both"/>
        <w:rPr>
          <w:rFonts w:eastAsia="Arial Unicode MS"/>
        </w:rPr>
      </w:pPr>
      <w:r>
        <w:t>Le D</w:t>
      </w:r>
      <w:r>
        <w:rPr>
          <w:vertAlign w:val="superscript"/>
        </w:rPr>
        <w:t>r</w:t>
      </w:r>
      <w:r>
        <w:t> Boris Dorschel (Institut allemand Alfred Wegener pour la recherche polaire et marine) est responsable de la compilation de la 2</w:t>
      </w:r>
      <w:r>
        <w:rPr>
          <w:vertAlign w:val="superscript"/>
        </w:rPr>
        <w:t>e</w:t>
      </w:r>
      <w:r>
        <w:t> version</w:t>
      </w:r>
      <w:r>
        <w:rPr>
          <w:rStyle w:val="FootnoteReference"/>
          <w:rFonts w:eastAsia="Arial Unicode MS"/>
          <w:lang w:val="en-AU"/>
        </w:rPr>
        <w:footnoteReference w:id="3"/>
      </w:r>
      <w:r>
        <w:t xml:space="preserve"> de la carte bathymétrique internationale de l’océan austral (IBCSO) de la GEBCO, qui est basée sur un nouveau modèle bathymétrique maillé haute résolution (500 m). Début 2021, la CHA a demandé à ses membres de partager leurs données bathymétriques de la région avec le responsable du projet afin de soutenir la phase de compilation. Cet appel s’applique non seulement aux bureaux hydrographiques représentant leurs nations à l’OHI, mais aussi aux instituts scientifiques et de recherche du monde entier. </w:t>
      </w:r>
    </w:p>
    <w:p w14:paraId="169F298C" w14:textId="77777777" w:rsidR="00DC2133" w:rsidRDefault="00DC2133" w:rsidP="00DC2133">
      <w:pPr>
        <w:pStyle w:val="ATSHeading2"/>
        <w:keepNext/>
      </w:pPr>
      <w:r>
        <w:t>CHA et RCTA</w:t>
      </w:r>
    </w:p>
    <w:p w14:paraId="7309AF5B" w14:textId="77777777" w:rsidR="00DC2133" w:rsidRDefault="00DC2133" w:rsidP="00DC2133">
      <w:pPr>
        <w:pStyle w:val="ATSNormal"/>
        <w:jc w:val="both"/>
        <w:rPr>
          <w:rFonts w:eastAsia="Arial Unicode MS"/>
        </w:rPr>
      </w:pPr>
      <w:r>
        <w:t>La CHA a établi de bons liens avec la RCTA, le Secrétariat du Traité sur l’Antarctique et d’autres organisations de soutien (IAATO, SCAR, COMNAP, Quantarctica, ...) pendant de nombreuses années par la collecte de données, l’échange d’informations, la participation régulière aux réunions consultatives de la RCTA en tant qu’observateur ou l’organisation de séminaires et d’ateliers en marge des réunions des groupes de travail de la RCTA.</w:t>
      </w:r>
    </w:p>
    <w:p w14:paraId="55992B8C" w14:textId="77777777" w:rsidR="00DC2133" w:rsidRDefault="00DC2133" w:rsidP="00DC2133">
      <w:pPr>
        <w:pStyle w:val="ATSNormal"/>
        <w:jc w:val="both"/>
        <w:rPr>
          <w:rFonts w:eastAsia="Arial Unicode MS"/>
        </w:rPr>
      </w:pPr>
      <w:r>
        <w:lastRenderedPageBreak/>
        <w:t>Depuis la XL</w:t>
      </w:r>
      <w:r>
        <w:rPr>
          <w:vertAlign w:val="superscript"/>
        </w:rPr>
        <w:t>e</w:t>
      </w:r>
      <w:r>
        <w:t> RCTA qui s'est tenue à Pékin en 2017, le secrétaire exécutif du Traité sur l’Antarctique invite aimablement l’OHI à envisager d’envoyer des experts à chaque RCTA, y compris la XLV</w:t>
      </w:r>
      <w:r>
        <w:rPr>
          <w:vertAlign w:val="superscript"/>
        </w:rPr>
        <w:t>e</w:t>
      </w:r>
      <w:r>
        <w:t> RCTA à Helsinki.</w:t>
      </w:r>
    </w:p>
    <w:p w14:paraId="70286C81" w14:textId="77777777" w:rsidR="00DC2133" w:rsidRDefault="00DC2133" w:rsidP="00DC2133">
      <w:pPr>
        <w:pStyle w:val="ATSNormal"/>
        <w:jc w:val="both"/>
        <w:rPr>
          <w:rFonts w:eastAsia="Arial Unicode MS"/>
        </w:rPr>
      </w:pPr>
      <w:r>
        <w:t>L’OHI a le plaisir de confirmer que la 19</w:t>
      </w:r>
      <w:r>
        <w:rPr>
          <w:vertAlign w:val="superscript"/>
        </w:rPr>
        <w:t>e</w:t>
      </w:r>
      <w:r>
        <w:t> conférence de la CHA (CHA-19) devrait se tenir en Italie en avril 2024, sous l’égide de l’</w:t>
      </w:r>
      <w:r>
        <w:rPr>
          <w:i/>
        </w:rPr>
        <w:t xml:space="preserve">Istituto Idrografico della Marina </w:t>
      </w:r>
      <w:r>
        <w:t>(IIM), l’Institut hydrographique italien.</w:t>
      </w:r>
    </w:p>
    <w:p w14:paraId="59D7781D" w14:textId="77777777" w:rsidR="00DC2133" w:rsidRDefault="00DC2133" w:rsidP="00DC2133">
      <w:pPr>
        <w:pStyle w:val="ATSNormal"/>
        <w:jc w:val="both"/>
        <w:rPr>
          <w:rFonts w:eastAsia="Arial Unicode MS"/>
        </w:rPr>
      </w:pPr>
      <w:r>
        <w:t>Du point de vue de la RCTA, le principal résultat de cette coopération de longue date entre la RCTA et l’OHI peut être résumé simplement en rappelant trois résolutions importantes de la RCTA adoptées de 2008 à 2019. Il s’agit des résolutions suivantes :</w:t>
      </w:r>
    </w:p>
    <w:p w14:paraId="3A27D610" w14:textId="77777777" w:rsidR="00DC2133" w:rsidRDefault="00DC2133" w:rsidP="00DC2133">
      <w:pPr>
        <w:pStyle w:val="ATSNormal"/>
        <w:numPr>
          <w:ilvl w:val="0"/>
          <w:numId w:val="21"/>
        </w:numPr>
        <w:jc w:val="both"/>
        <w:rPr>
          <w:rFonts w:eastAsia="Calibri"/>
        </w:rPr>
      </w:pPr>
      <w:r>
        <w:t xml:space="preserve">Résolution 5 (2008) de la RCTA : </w:t>
      </w:r>
      <w:r>
        <w:rPr>
          <w:i/>
        </w:rPr>
        <w:t>Amélioration des levés hydrographiques et de la cartographie marine pour renforcer la sécurité de la navigation dans la région antarctique.</w:t>
      </w:r>
    </w:p>
    <w:p w14:paraId="254C0260" w14:textId="77777777" w:rsidR="00DC2133" w:rsidRDefault="00DC2133" w:rsidP="00DC2133">
      <w:pPr>
        <w:pStyle w:val="ATSNormal"/>
        <w:numPr>
          <w:ilvl w:val="0"/>
          <w:numId w:val="21"/>
        </w:numPr>
        <w:jc w:val="both"/>
        <w:rPr>
          <w:rFonts w:eastAsia="Calibri"/>
        </w:rPr>
      </w:pPr>
      <w:r>
        <w:t xml:space="preserve">Résolution 5 (2014) de la RCTA : </w:t>
      </w:r>
      <w:r>
        <w:rPr>
          <w:i/>
          <w:iCs/>
        </w:rPr>
        <w:t>Renforcement de la coopération lors des campagnes de relevés hydrographiques et de cartographie des eaux de l'Antarctique</w:t>
      </w:r>
      <w:r>
        <w:t>.</w:t>
      </w:r>
    </w:p>
    <w:p w14:paraId="7003D931" w14:textId="77777777" w:rsidR="00DC2133" w:rsidRDefault="00DC2133" w:rsidP="00DC2133">
      <w:pPr>
        <w:pStyle w:val="ATSNormal"/>
        <w:numPr>
          <w:ilvl w:val="0"/>
          <w:numId w:val="21"/>
        </w:numPr>
        <w:jc w:val="both"/>
        <w:rPr>
          <w:rFonts w:eastAsia="Calibri"/>
        </w:rPr>
      </w:pPr>
      <w:r>
        <w:t xml:space="preserve">Résolution 6 (2019) de la RCTA : </w:t>
      </w:r>
      <w:r>
        <w:rPr>
          <w:i/>
        </w:rPr>
        <w:t>Cartographie hydrographique des eaux de l’Antarctique.</w:t>
      </w:r>
    </w:p>
    <w:p w14:paraId="5EB00F1B" w14:textId="77777777" w:rsidR="00DC2133" w:rsidRDefault="00DC2133" w:rsidP="00DC2133">
      <w:pPr>
        <w:pStyle w:val="ATSNormal"/>
        <w:jc w:val="both"/>
        <w:rPr>
          <w:rFonts w:eastAsia="Calibri"/>
        </w:rPr>
      </w:pPr>
      <w:r>
        <w:t xml:space="preserve">Il ne fait aucun doute que les recommandations formulées dans ces résolutions constituent des outils essentiels pour certaines nations impliquées dans la recherche scientifique dans les eaux de l’Antarctique. </w:t>
      </w:r>
    </w:p>
    <w:p w14:paraId="234064A3" w14:textId="77777777" w:rsidR="00DC2133" w:rsidRPr="00B9058C" w:rsidRDefault="00DC2133" w:rsidP="00DC2133">
      <w:pPr>
        <w:pStyle w:val="ATSNormal"/>
        <w:jc w:val="center"/>
        <w:rPr>
          <w:rFonts w:eastAsia="Calibri"/>
        </w:rPr>
      </w:pPr>
    </w:p>
    <w:p w14:paraId="78619548" w14:textId="77777777" w:rsidR="00DC2133" w:rsidRDefault="00DC2133" w:rsidP="00DC2133">
      <w:pPr>
        <w:pStyle w:val="ATSNormal"/>
        <w:jc w:val="both"/>
        <w:rPr>
          <w:rFonts w:eastAsia="Calibri"/>
        </w:rPr>
      </w:pPr>
      <w:r>
        <w:t>Cependant, pour transformer les résolutions en un plan opérationnel efficace pouvant être soutenu par l’OHI, la 1</w:t>
      </w:r>
      <w:r>
        <w:rPr>
          <w:vertAlign w:val="superscript"/>
        </w:rPr>
        <w:t>re</w:t>
      </w:r>
      <w:r>
        <w:t> étape consiste certainement d’identifier, de collecter et de hiérarchiser ces besoins. Cette tâche relève de la responsabilité de la RCTA.</w:t>
      </w:r>
    </w:p>
    <w:p w14:paraId="52A8E3B7" w14:textId="77777777" w:rsidR="00DC2133" w:rsidRPr="00837933" w:rsidRDefault="00DC2133" w:rsidP="00DC2133">
      <w:pPr>
        <w:pStyle w:val="ATSNormal"/>
        <w:numPr>
          <w:ilvl w:val="0"/>
          <w:numId w:val="22"/>
        </w:numPr>
        <w:jc w:val="both"/>
        <w:rPr>
          <w:rFonts w:eastAsia="Arial Unicode MS"/>
          <w:b/>
        </w:rPr>
      </w:pPr>
      <w:r>
        <w:rPr>
          <w:b/>
        </w:rPr>
        <w:t>Toute exigence dans le résultat de la XLV</w:t>
      </w:r>
      <w:r>
        <w:rPr>
          <w:b/>
          <w:vertAlign w:val="superscript"/>
        </w:rPr>
        <w:t>e</w:t>
      </w:r>
      <w:r>
        <w:rPr>
          <w:b/>
        </w:rPr>
        <w:t> RCTA ayant un impact possible sur les activités hydrographiques sera examinée lors de la CHA-19.</w:t>
      </w:r>
    </w:p>
    <w:p w14:paraId="3434C75C" w14:textId="77777777" w:rsidR="00DC2133" w:rsidRDefault="00DC2133" w:rsidP="00DC2133">
      <w:pPr>
        <w:pStyle w:val="ATSNormal"/>
        <w:jc w:val="both"/>
        <w:rPr>
          <w:rFonts w:eastAsia="Calibri"/>
        </w:rPr>
      </w:pPr>
      <w:r>
        <w:t>La 3</w:t>
      </w:r>
      <w:r>
        <w:rPr>
          <w:vertAlign w:val="superscript"/>
        </w:rPr>
        <w:t>e</w:t>
      </w:r>
      <w:r>
        <w:t> session de l’Assemblée de l’OHI (A-3)</w:t>
      </w:r>
      <w:r>
        <w:rPr>
          <w:rStyle w:val="FootnoteReference"/>
          <w:rFonts w:eastAsia="Calibri"/>
          <w:lang w:val="en-AU"/>
        </w:rPr>
        <w:footnoteReference w:id="4"/>
      </w:r>
      <w:r>
        <w:t>, 450 participants, est prévue à Monaco du 1</w:t>
      </w:r>
      <w:r>
        <w:rPr>
          <w:vertAlign w:val="superscript"/>
        </w:rPr>
        <w:t>er</w:t>
      </w:r>
      <w:r>
        <w:t xml:space="preserve"> au 5 mai 2023. </w:t>
      </w:r>
    </w:p>
    <w:p w14:paraId="67D0F321" w14:textId="77777777" w:rsidR="00DC2133" w:rsidRPr="00837933" w:rsidRDefault="00DC2133" w:rsidP="00DC2133">
      <w:pPr>
        <w:pStyle w:val="ATSNormal"/>
        <w:numPr>
          <w:ilvl w:val="0"/>
          <w:numId w:val="22"/>
        </w:numPr>
        <w:jc w:val="both"/>
        <w:rPr>
          <w:rFonts w:eastAsia="Calibri"/>
        </w:rPr>
      </w:pPr>
      <w:r>
        <w:rPr>
          <w:b/>
        </w:rPr>
        <w:t>La RCTA est informée qu’une proposition de nouvelle résolution de l’OHI sur la reconnaissance de l’existence et des limites de l’</w:t>
      </w:r>
      <w:r>
        <w:rPr>
          <w:b/>
          <w:i/>
        </w:rPr>
        <w:t>océan austral</w:t>
      </w:r>
      <w:r>
        <w:rPr>
          <w:b/>
        </w:rPr>
        <w:t xml:space="preserve"> autour de l’Antarctique a été soumise par le président de la CHA à l’A-3</w:t>
      </w:r>
      <w:r>
        <w:rPr>
          <w:rStyle w:val="FootnoteReference"/>
          <w:rFonts w:eastAsia="Arial Unicode MS"/>
          <w:b/>
          <w:lang w:val="en-AU"/>
        </w:rPr>
        <w:footnoteReference w:id="5"/>
      </w:r>
      <w:r>
        <w:rPr>
          <w:b/>
        </w:rPr>
        <w:t xml:space="preserve">. Il est prévu d’inclure les positions et/ou réserves nationales sur cette résolution dans cette résolution. </w:t>
      </w:r>
    </w:p>
    <w:p w14:paraId="560C299B" w14:textId="77777777" w:rsidR="00DC2133" w:rsidRPr="001100D7" w:rsidRDefault="00DC2133" w:rsidP="00DC2133">
      <w:pPr>
        <w:pStyle w:val="ATSHeading2"/>
        <w:keepNext/>
      </w:pPr>
      <w:r>
        <w:t xml:space="preserve">Propositions à examiner par la RCTA </w:t>
      </w:r>
    </w:p>
    <w:p w14:paraId="2BA4F960" w14:textId="77777777" w:rsidR="00DC2133" w:rsidRPr="00B9058C" w:rsidRDefault="00DC2133" w:rsidP="00DC2133">
      <w:pPr>
        <w:pStyle w:val="ATSNormal"/>
        <w:jc w:val="both"/>
        <w:rPr>
          <w:rFonts w:eastAsia="Calibri"/>
        </w:rPr>
      </w:pPr>
    </w:p>
    <w:p w14:paraId="72FF9816" w14:textId="77777777" w:rsidR="00DC2133" w:rsidRPr="00527507" w:rsidRDefault="00DC2133" w:rsidP="00DC2133">
      <w:pPr>
        <w:pStyle w:val="ATSNormal"/>
        <w:numPr>
          <w:ilvl w:val="0"/>
          <w:numId w:val="22"/>
        </w:numPr>
        <w:jc w:val="both"/>
        <w:rPr>
          <w:rFonts w:eastAsia="Calibri"/>
          <w:b/>
        </w:rPr>
      </w:pPr>
      <w:r>
        <w:rPr>
          <w:b/>
        </w:rPr>
        <w:t>La RCTA est invitée à prendre note du rapport, des recommandations et des points importants en particulier.</w:t>
      </w:r>
    </w:p>
    <w:p w14:paraId="7A4A3D8C" w14:textId="77777777" w:rsidR="00DC2133" w:rsidRPr="00B9058C" w:rsidRDefault="00DC2133" w:rsidP="00DC2133">
      <w:pPr>
        <w:jc w:val="center"/>
        <w:rPr>
          <w:b/>
          <w:i/>
          <w:sz w:val="36"/>
        </w:rPr>
      </w:pPr>
    </w:p>
    <w:p w14:paraId="6FBE17FC" w14:textId="77777777" w:rsidR="004B4A60" w:rsidRDefault="00FB122D" w:rsidP="00952E9F"/>
    <w:sectPr w:rsidR="004B4A60" w:rsidSect="00283F0F">
      <w:headerReference w:type="default" r:id="rId14"/>
      <w:footerReference w:type="default" r:id="rId15"/>
      <w:type w:val="oddPage"/>
      <w:pgSz w:w="11907" w:h="16840" w:code="9"/>
      <w:pgMar w:top="1134" w:right="170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EE3A32" w14:textId="77777777" w:rsidR="00FB122D" w:rsidRDefault="00FB122D">
      <w:r>
        <w:separator/>
      </w:r>
    </w:p>
  </w:endnote>
  <w:endnote w:type="continuationSeparator" w:id="0">
    <w:p w14:paraId="61D0C6D2" w14:textId="77777777" w:rsidR="00FB122D" w:rsidRDefault="00FB1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B96018" w14:textId="77777777" w:rsidR="00FA0B9F" w:rsidRDefault="00DC2133" w:rsidP="00CF5C82">
    <w:pPr>
      <w:framePr w:wrap="around" w:vAnchor="text" w:hAnchor="margin" w:xAlign="right" w:y="1"/>
    </w:pPr>
    <w:r>
      <w:fldChar w:fldCharType="begin"/>
    </w:r>
    <w:r>
      <w:instrText xml:space="preserve">PAGE  </w:instrText>
    </w:r>
    <w:r>
      <w:fldChar w:fldCharType="end"/>
    </w:r>
  </w:p>
  <w:p w14:paraId="14A85076" w14:textId="77777777" w:rsidR="00FA0B9F" w:rsidRDefault="00FB122D" w:rsidP="00FA0B9F">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EE5D37" w14:textId="77777777" w:rsidR="00FA0B9F" w:rsidRDefault="00DC2133" w:rsidP="00CF5C82">
    <w:pPr>
      <w:framePr w:wrap="around" w:vAnchor="text" w:hAnchor="margin" w:xAlign="right" w:y="1"/>
    </w:pPr>
    <w:r>
      <w:fldChar w:fldCharType="begin"/>
    </w:r>
    <w:r>
      <w:instrText xml:space="preserve">PAGE  </w:instrText>
    </w:r>
    <w:r>
      <w:fldChar w:fldCharType="separate"/>
    </w:r>
    <w:r w:rsidR="00B9058C">
      <w:rPr>
        <w:noProof/>
      </w:rPr>
      <w:t>1</w:t>
    </w:r>
    <w:r>
      <w:fldChar w:fldCharType="end"/>
    </w:r>
  </w:p>
  <w:p w14:paraId="217ACAB8" w14:textId="6E94061C" w:rsidR="00FA0B9F" w:rsidRDefault="00FB122D" w:rsidP="00DC2133">
    <w:pP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AB9C75" w14:textId="77777777" w:rsidR="00DC2133" w:rsidRDefault="00DC213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B1619C" w14:textId="77777777" w:rsidR="00E311C9" w:rsidRDefault="00DC2133" w:rsidP="00CF5C82">
    <w:pPr>
      <w:framePr w:wrap="around" w:vAnchor="text" w:hAnchor="margin" w:xAlign="right" w:y="1"/>
    </w:pPr>
    <w:r>
      <w:fldChar w:fldCharType="begin"/>
    </w:r>
    <w:r>
      <w:instrText xml:space="preserve">PAGE  </w:instrText>
    </w:r>
    <w:r>
      <w:fldChar w:fldCharType="separate"/>
    </w:r>
    <w:r w:rsidR="00B9058C">
      <w:rPr>
        <w:noProof/>
      </w:rPr>
      <w:t>3</w:t>
    </w:r>
    <w:r>
      <w:fldChar w:fldCharType="end"/>
    </w:r>
  </w:p>
  <w:p w14:paraId="41FA7F4E" w14:textId="77777777" w:rsidR="00E311C9" w:rsidRDefault="00FB122D" w:rsidP="00E311C9">
    <w:pP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721359" w14:textId="77777777" w:rsidR="00FB122D" w:rsidRDefault="00FB122D">
      <w:r>
        <w:separator/>
      </w:r>
    </w:p>
  </w:footnote>
  <w:footnote w:type="continuationSeparator" w:id="0">
    <w:p w14:paraId="3E206FC8" w14:textId="77777777" w:rsidR="00FB122D" w:rsidRDefault="00FB122D">
      <w:r>
        <w:continuationSeparator/>
      </w:r>
    </w:p>
  </w:footnote>
  <w:footnote w:id="1">
    <w:p w14:paraId="527A7762" w14:textId="77777777" w:rsidR="00DC2133" w:rsidRPr="00003821" w:rsidRDefault="00DC2133" w:rsidP="00DC2133">
      <w:pPr>
        <w:pStyle w:val="FootnoteText"/>
        <w:rPr>
          <w:sz w:val="18"/>
          <w:szCs w:val="18"/>
        </w:rPr>
      </w:pPr>
      <w:r>
        <w:rPr>
          <w:sz w:val="18"/>
          <w:szCs w:val="18"/>
        </w:rPr>
        <w:footnoteRef/>
      </w:r>
      <w:r>
        <w:rPr>
          <w:sz w:val="18"/>
        </w:rPr>
        <w:t xml:space="preserve"> Traité sur l’Antarctique, article III 1.(c) en particulier qui stipule que « les observations et résultats scientifiques provenant de l’Antarctique sont échangés et mis à disposition librement ».</w:t>
      </w:r>
    </w:p>
  </w:footnote>
  <w:footnote w:id="2">
    <w:p w14:paraId="3F42B9F3" w14:textId="77777777" w:rsidR="00DC2133" w:rsidRPr="00003821" w:rsidRDefault="00DC2133" w:rsidP="00DC2133">
      <w:pPr>
        <w:pStyle w:val="FootnoteText"/>
        <w:rPr>
          <w:sz w:val="18"/>
          <w:szCs w:val="18"/>
        </w:rPr>
      </w:pPr>
      <w:r>
        <w:rPr>
          <w:sz w:val="18"/>
          <w:szCs w:val="18"/>
        </w:rPr>
        <w:footnoteRef/>
      </w:r>
      <w:r>
        <w:rPr>
          <w:sz w:val="18"/>
        </w:rPr>
        <w:t xml:space="preserve"> Résolutions 5 (2008), 5 (2014) et 6 (2019) de la RCTA.</w:t>
      </w:r>
    </w:p>
  </w:footnote>
  <w:footnote w:id="3">
    <w:p w14:paraId="7DE486D3" w14:textId="77777777" w:rsidR="00DC2133" w:rsidRPr="00DC2133" w:rsidRDefault="00DC2133" w:rsidP="00DC2133">
      <w:pPr>
        <w:pStyle w:val="FootnoteText"/>
        <w:rPr>
          <w:sz w:val="18"/>
          <w:szCs w:val="18"/>
        </w:rPr>
      </w:pPr>
      <w:r>
        <w:rPr>
          <w:sz w:val="18"/>
          <w:szCs w:val="18"/>
        </w:rPr>
        <w:footnoteRef/>
      </w:r>
      <w:r>
        <w:rPr>
          <w:sz w:val="18"/>
        </w:rPr>
        <w:t xml:space="preserve"> Carte bathymétrique générale des océans (GEBCO), programme OHI-COI.</w:t>
      </w:r>
    </w:p>
  </w:footnote>
  <w:footnote w:id="4">
    <w:p w14:paraId="43154DE7" w14:textId="77777777" w:rsidR="00DC2133" w:rsidRPr="00E2255F" w:rsidRDefault="00DC2133" w:rsidP="00DC2133">
      <w:pPr>
        <w:pStyle w:val="FootnoteText"/>
      </w:pPr>
      <w:r>
        <w:rPr>
          <w:rStyle w:val="FootnoteReference"/>
        </w:rPr>
        <w:footnoteRef/>
      </w:r>
      <w:r>
        <w:t xml:space="preserve"> </w:t>
      </w:r>
      <w:hyperlink r:id="rId1" w:history="1">
        <w:r>
          <w:rPr>
            <w:rStyle w:val="Hyperlink"/>
          </w:rPr>
          <w:t>3</w:t>
        </w:r>
        <w:r>
          <w:rPr>
            <w:rStyle w:val="Hyperlink"/>
            <w:vertAlign w:val="superscript"/>
          </w:rPr>
          <w:t>e</w:t>
        </w:r>
        <w:r>
          <w:rPr>
            <w:rStyle w:val="Hyperlink"/>
          </w:rPr>
          <w:t> session de l’Assemblée de l’OHI</w:t>
        </w:r>
      </w:hyperlink>
      <w:r>
        <w:t>.</w:t>
      </w:r>
    </w:p>
  </w:footnote>
  <w:footnote w:id="5">
    <w:p w14:paraId="235A7D7F" w14:textId="77777777" w:rsidR="00DC2133" w:rsidRPr="001242FE" w:rsidRDefault="00DC2133" w:rsidP="00DC2133">
      <w:pPr>
        <w:pStyle w:val="FootnoteText"/>
      </w:pPr>
      <w:r>
        <w:rPr>
          <w:rStyle w:val="FootnoteReference"/>
        </w:rPr>
        <w:footnoteRef/>
      </w:r>
      <w:r>
        <w:t xml:space="preserve"> À la date de soumission de ce rapport de l’OHI à le STA, le résultat des discussions sur cette proposition n’est pas connu. Référence utile : </w:t>
      </w:r>
      <w:hyperlink r:id="rId2" w:history="1">
        <w:r>
          <w:rPr>
            <w:rStyle w:val="Hyperlink"/>
          </w:rPr>
          <w:t>OHI A-3 PRO 3.3</w:t>
        </w:r>
      </w:hyperlink>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994E15" w14:textId="77777777" w:rsidR="00DC2133" w:rsidRDefault="00DC213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272" w:type="dxa"/>
      <w:jc w:val="center"/>
      <w:tblLook w:val="01E0" w:firstRow="1" w:lastRow="1" w:firstColumn="1" w:lastColumn="1" w:noHBand="0" w:noVBand="0"/>
    </w:tblPr>
    <w:tblGrid>
      <w:gridCol w:w="5495"/>
      <w:gridCol w:w="3005"/>
      <w:gridCol w:w="1248"/>
      <w:gridCol w:w="1134"/>
      <w:gridCol w:w="390"/>
    </w:tblGrid>
    <w:tr w:rsidR="00FB3025" w14:paraId="25E0149B" w14:textId="77777777" w:rsidTr="002E12EC">
      <w:trPr>
        <w:trHeight w:val="344"/>
        <w:jc w:val="center"/>
      </w:trPr>
      <w:tc>
        <w:tcPr>
          <w:tcW w:w="5495" w:type="dxa"/>
        </w:tcPr>
        <w:p w14:paraId="63CEC8AE" w14:textId="77777777" w:rsidR="00DB7C09" w:rsidRDefault="00FB122D" w:rsidP="00F968D4"/>
      </w:tc>
      <w:tc>
        <w:tcPr>
          <w:tcW w:w="4253" w:type="dxa"/>
          <w:gridSpan w:val="2"/>
        </w:tcPr>
        <w:p w14:paraId="0EF5A1B7" w14:textId="77777777" w:rsidR="00DB7C09" w:rsidRPr="00BD47E4" w:rsidRDefault="00DC2133" w:rsidP="002A07BC">
          <w:pPr>
            <w:jc w:val="right"/>
            <w:rPr>
              <w:b/>
              <w:sz w:val="32"/>
              <w:szCs w:val="32"/>
            </w:rPr>
          </w:pPr>
          <w:bookmarkStart w:id="3" w:name="type"/>
          <w:r>
            <w:rPr>
              <w:b/>
              <w:sz w:val="32"/>
            </w:rPr>
            <w:t>IP</w:t>
          </w:r>
          <w:bookmarkEnd w:id="3"/>
        </w:p>
      </w:tc>
      <w:tc>
        <w:tcPr>
          <w:tcW w:w="1524" w:type="dxa"/>
          <w:gridSpan w:val="2"/>
        </w:tcPr>
        <w:p w14:paraId="0049AF8B" w14:textId="77777777" w:rsidR="00DB7C09" w:rsidRPr="00BD47E4" w:rsidRDefault="00DC2133" w:rsidP="00DB7C09">
          <w:pPr>
            <w:rPr>
              <w:b/>
              <w:sz w:val="32"/>
              <w:szCs w:val="32"/>
            </w:rPr>
          </w:pPr>
          <w:bookmarkStart w:id="4" w:name="number"/>
          <w:r>
            <w:rPr>
              <w:b/>
              <w:sz w:val="32"/>
            </w:rPr>
            <w:t>15</w:t>
          </w:r>
          <w:bookmarkEnd w:id="4"/>
        </w:p>
      </w:tc>
    </w:tr>
    <w:tr w:rsidR="00FB3025" w14:paraId="79AC9065" w14:textId="77777777" w:rsidTr="002E12EC">
      <w:trPr>
        <w:trHeight w:val="2165"/>
        <w:jc w:val="center"/>
      </w:trPr>
      <w:tc>
        <w:tcPr>
          <w:tcW w:w="5495" w:type="dxa"/>
        </w:tcPr>
        <w:p w14:paraId="20833F20" w14:textId="77777777" w:rsidR="00490760" w:rsidRPr="00EE4D48" w:rsidRDefault="00DC2133" w:rsidP="002A07BC">
          <w:pPr>
            <w:rPr>
              <w:b/>
              <w:sz w:val="28"/>
              <w:szCs w:val="28"/>
            </w:rPr>
          </w:pPr>
          <w:r>
            <w:rPr>
              <w:noProof/>
              <w:lang w:eastAsia="fr-FR"/>
            </w:rPr>
            <w:drawing>
              <wp:inline distT="0" distB="0" distL="0" distR="0" wp14:anchorId="49697E3F" wp14:editId="6F1D1405">
                <wp:extent cx="2763277" cy="1612900"/>
                <wp:effectExtent l="0" t="0" r="0" b="6350"/>
                <wp:docPr id="2" name="Imagen 2" descr="Diagrama, 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7128520" name="Imagen 2" descr="Diagrama, Logotipo, nombre de la empresa&#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2916315" cy="1702227"/>
                        </a:xfrm>
                        <a:prstGeom prst="rect">
                          <a:avLst/>
                        </a:prstGeom>
                      </pic:spPr>
                    </pic:pic>
                  </a:graphicData>
                </a:graphic>
              </wp:inline>
            </w:drawing>
          </w:r>
        </w:p>
      </w:tc>
      <w:tc>
        <w:tcPr>
          <w:tcW w:w="5777" w:type="dxa"/>
          <w:gridSpan w:val="4"/>
          <w:vAlign w:val="center"/>
        </w:tcPr>
        <w:p w14:paraId="6619750E" w14:textId="77777777" w:rsidR="00490760" w:rsidRPr="00FE5146" w:rsidRDefault="00DC2133" w:rsidP="00490760">
          <w:pPr>
            <w:jc w:val="right"/>
            <w:rPr>
              <w:sz w:val="144"/>
              <w:szCs w:val="144"/>
            </w:rPr>
          </w:pPr>
          <w:r>
            <w:rPr>
              <w:sz w:val="144"/>
            </w:rPr>
            <w:t>FRA</w:t>
          </w:r>
        </w:p>
      </w:tc>
    </w:tr>
    <w:tr w:rsidR="00FB3025" w14:paraId="3832B222" w14:textId="77777777" w:rsidTr="002E12EC">
      <w:trPr>
        <w:trHeight w:val="409"/>
        <w:jc w:val="center"/>
      </w:trPr>
      <w:tc>
        <w:tcPr>
          <w:tcW w:w="8500" w:type="dxa"/>
          <w:gridSpan w:val="2"/>
        </w:tcPr>
        <w:p w14:paraId="6C2C6BA0" w14:textId="77777777" w:rsidR="00BD47E4" w:rsidRDefault="00DC2133" w:rsidP="002C30DA">
          <w:pPr>
            <w:jc w:val="right"/>
          </w:pPr>
          <w:r>
            <w:t>Point à l’ordre du jour :</w:t>
          </w:r>
        </w:p>
      </w:tc>
      <w:tc>
        <w:tcPr>
          <w:tcW w:w="2382" w:type="dxa"/>
          <w:gridSpan w:val="2"/>
        </w:tcPr>
        <w:p w14:paraId="3E968ECA" w14:textId="77777777" w:rsidR="00DC2133" w:rsidRDefault="00DC2133" w:rsidP="002C30DA">
          <w:pPr>
            <w:jc w:val="right"/>
          </w:pPr>
          <w:bookmarkStart w:id="5" w:name="agenda"/>
          <w:r>
            <w:t xml:space="preserve">RCTA 4, </w:t>
          </w:r>
        </w:p>
        <w:p w14:paraId="6FC06A8F" w14:textId="77777777" w:rsidR="00DC2133" w:rsidRDefault="00DC2133" w:rsidP="002C30DA">
          <w:pPr>
            <w:jc w:val="right"/>
          </w:pPr>
          <w:r>
            <w:t xml:space="preserve">RCTA 13, </w:t>
          </w:r>
        </w:p>
        <w:p w14:paraId="7F29B98E" w14:textId="53D3646C" w:rsidR="00BD47E4" w:rsidRDefault="00DC2133" w:rsidP="002C30DA">
          <w:pPr>
            <w:jc w:val="right"/>
          </w:pPr>
          <w:r>
            <w:t>RCTA 16</w:t>
          </w:r>
          <w:bookmarkEnd w:id="5"/>
        </w:p>
      </w:tc>
      <w:tc>
        <w:tcPr>
          <w:tcW w:w="390" w:type="dxa"/>
        </w:tcPr>
        <w:p w14:paraId="7EC07418" w14:textId="77777777" w:rsidR="00BD47E4" w:rsidRDefault="00FB122D" w:rsidP="00387A65">
          <w:pPr>
            <w:jc w:val="right"/>
          </w:pPr>
        </w:p>
      </w:tc>
    </w:tr>
    <w:tr w:rsidR="00FB3025" w14:paraId="6816AA83" w14:textId="77777777" w:rsidTr="002E12EC">
      <w:trPr>
        <w:trHeight w:val="397"/>
        <w:jc w:val="center"/>
      </w:trPr>
      <w:tc>
        <w:tcPr>
          <w:tcW w:w="8500" w:type="dxa"/>
          <w:gridSpan w:val="2"/>
        </w:tcPr>
        <w:p w14:paraId="0BE88E1C" w14:textId="77777777" w:rsidR="00BD47E4" w:rsidRDefault="00DC2133" w:rsidP="002C30DA">
          <w:pPr>
            <w:jc w:val="right"/>
          </w:pPr>
          <w:r>
            <w:t>Présenté par :</w:t>
          </w:r>
        </w:p>
      </w:tc>
      <w:tc>
        <w:tcPr>
          <w:tcW w:w="2382" w:type="dxa"/>
          <w:gridSpan w:val="2"/>
        </w:tcPr>
        <w:p w14:paraId="73A06DC8" w14:textId="77777777" w:rsidR="00BD47E4" w:rsidRDefault="00DC2133" w:rsidP="002C30DA">
          <w:pPr>
            <w:jc w:val="right"/>
          </w:pPr>
          <w:bookmarkStart w:id="6" w:name="party"/>
          <w:r>
            <w:t>OHI</w:t>
          </w:r>
          <w:bookmarkEnd w:id="6"/>
        </w:p>
      </w:tc>
      <w:tc>
        <w:tcPr>
          <w:tcW w:w="390" w:type="dxa"/>
        </w:tcPr>
        <w:p w14:paraId="6CA098E6" w14:textId="77777777" w:rsidR="00BD47E4" w:rsidRDefault="00FB122D" w:rsidP="00387A65">
          <w:pPr>
            <w:jc w:val="right"/>
          </w:pPr>
        </w:p>
      </w:tc>
    </w:tr>
    <w:tr w:rsidR="00FB3025" w14:paraId="78224673" w14:textId="77777777" w:rsidTr="002E12EC">
      <w:trPr>
        <w:trHeight w:val="409"/>
        <w:jc w:val="center"/>
      </w:trPr>
      <w:tc>
        <w:tcPr>
          <w:tcW w:w="8500" w:type="dxa"/>
          <w:gridSpan w:val="2"/>
        </w:tcPr>
        <w:p w14:paraId="48984047" w14:textId="77777777" w:rsidR="00BD47E4" w:rsidRDefault="00DC2133" w:rsidP="002C30DA">
          <w:pPr>
            <w:jc w:val="right"/>
          </w:pPr>
          <w:r>
            <w:t>Original :</w:t>
          </w:r>
        </w:p>
      </w:tc>
      <w:tc>
        <w:tcPr>
          <w:tcW w:w="2382" w:type="dxa"/>
          <w:gridSpan w:val="2"/>
        </w:tcPr>
        <w:p w14:paraId="13E6B1B9" w14:textId="77777777" w:rsidR="00BD47E4" w:rsidRDefault="00DC2133" w:rsidP="002C30DA">
          <w:pPr>
            <w:jc w:val="right"/>
          </w:pPr>
          <w:bookmarkStart w:id="7" w:name="language"/>
          <w:r>
            <w:t>Anglais</w:t>
          </w:r>
          <w:bookmarkEnd w:id="7"/>
        </w:p>
      </w:tc>
      <w:tc>
        <w:tcPr>
          <w:tcW w:w="390" w:type="dxa"/>
        </w:tcPr>
        <w:p w14:paraId="143CB617" w14:textId="77777777" w:rsidR="00BD47E4" w:rsidRDefault="00FB122D" w:rsidP="00387A65">
          <w:pPr>
            <w:jc w:val="right"/>
          </w:pPr>
        </w:p>
      </w:tc>
    </w:tr>
    <w:tr w:rsidR="00FB3025" w14:paraId="30FC3E66" w14:textId="77777777" w:rsidTr="002E12EC">
      <w:trPr>
        <w:trHeight w:val="409"/>
        <w:jc w:val="center"/>
      </w:trPr>
      <w:tc>
        <w:tcPr>
          <w:tcW w:w="8500" w:type="dxa"/>
          <w:gridSpan w:val="2"/>
        </w:tcPr>
        <w:p w14:paraId="55F5AF86" w14:textId="77777777" w:rsidR="0097629D" w:rsidRDefault="00DC2133" w:rsidP="002C30DA">
          <w:pPr>
            <w:jc w:val="right"/>
          </w:pPr>
          <w:r>
            <w:t>Soumis le :</w:t>
          </w:r>
        </w:p>
      </w:tc>
      <w:tc>
        <w:tcPr>
          <w:tcW w:w="2382" w:type="dxa"/>
          <w:gridSpan w:val="2"/>
        </w:tcPr>
        <w:p w14:paraId="4D5B8A5C" w14:textId="77777777" w:rsidR="0097629D" w:rsidRDefault="00DC2133" w:rsidP="0097629D">
          <w:pPr>
            <w:jc w:val="right"/>
          </w:pPr>
          <w:bookmarkStart w:id="8" w:name="date_submission"/>
          <w:r>
            <w:t>14 avril 2023</w:t>
          </w:r>
          <w:bookmarkEnd w:id="8"/>
        </w:p>
      </w:tc>
      <w:tc>
        <w:tcPr>
          <w:tcW w:w="390" w:type="dxa"/>
        </w:tcPr>
        <w:p w14:paraId="4BD7CDBA" w14:textId="77777777" w:rsidR="0097629D" w:rsidRDefault="00FB122D" w:rsidP="00387A65">
          <w:pPr>
            <w:jc w:val="right"/>
          </w:pPr>
        </w:p>
      </w:tc>
    </w:tr>
  </w:tbl>
  <w:p w14:paraId="57F2A320" w14:textId="77777777" w:rsidR="00AE5DD0" w:rsidRDefault="00FB122D"/>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D07658" w14:textId="77777777" w:rsidR="00DC2133" w:rsidRDefault="00DC213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026" w:type="dxa"/>
      <w:jc w:val="center"/>
      <w:tblLook w:val="01E0" w:firstRow="1" w:lastRow="1" w:firstColumn="1" w:lastColumn="1" w:noHBand="0" w:noVBand="0"/>
    </w:tblPr>
    <w:tblGrid>
      <w:gridCol w:w="9694"/>
      <w:gridCol w:w="1332"/>
    </w:tblGrid>
    <w:tr w:rsidR="00FB3025" w14:paraId="2D0B79D7" w14:textId="77777777">
      <w:trPr>
        <w:trHeight w:val="354"/>
        <w:jc w:val="center"/>
      </w:trPr>
      <w:tc>
        <w:tcPr>
          <w:tcW w:w="9694" w:type="dxa"/>
        </w:tcPr>
        <w:p w14:paraId="1E46CFAC" w14:textId="704BC2E7" w:rsidR="00AE5DD0" w:rsidRPr="00BD47E4" w:rsidRDefault="00DC2133" w:rsidP="00C26F2D">
          <w:pPr>
            <w:jc w:val="right"/>
            <w:rPr>
              <w:b/>
              <w:sz w:val="32"/>
              <w:szCs w:val="32"/>
            </w:rPr>
          </w:pPr>
          <w:r>
            <w:rPr>
              <w:b/>
              <w:sz w:val="32"/>
            </w:rPr>
            <w:t>IP</w:t>
          </w:r>
        </w:p>
      </w:tc>
      <w:tc>
        <w:tcPr>
          <w:tcW w:w="1332" w:type="dxa"/>
        </w:tcPr>
        <w:p w14:paraId="1D99B6EE" w14:textId="7419D36A" w:rsidR="00AE5DD0" w:rsidRPr="00BD47E4" w:rsidRDefault="00DC2133" w:rsidP="00080F4C">
          <w:pPr>
            <w:rPr>
              <w:b/>
              <w:sz w:val="32"/>
              <w:szCs w:val="32"/>
            </w:rPr>
          </w:pPr>
          <w:r>
            <w:rPr>
              <w:b/>
              <w:sz w:val="32"/>
            </w:rPr>
            <w:t>15</w:t>
          </w:r>
        </w:p>
      </w:tc>
    </w:tr>
    <w:tr w:rsidR="00DC2133" w14:paraId="539E9C3A" w14:textId="77777777">
      <w:trPr>
        <w:trHeight w:val="354"/>
        <w:jc w:val="center"/>
      </w:trPr>
      <w:tc>
        <w:tcPr>
          <w:tcW w:w="9694" w:type="dxa"/>
        </w:tcPr>
        <w:p w14:paraId="372E70D7" w14:textId="01A8122D" w:rsidR="00DC2133" w:rsidRDefault="00DC2133" w:rsidP="00DC2133">
          <w:pPr>
            <w:rPr>
              <w:b/>
              <w:sz w:val="32"/>
              <w:szCs w:val="32"/>
            </w:rPr>
          </w:pPr>
        </w:p>
      </w:tc>
      <w:tc>
        <w:tcPr>
          <w:tcW w:w="1332" w:type="dxa"/>
        </w:tcPr>
        <w:p w14:paraId="0BABA9D2" w14:textId="77777777" w:rsidR="00DC2133" w:rsidRPr="00BD47E4" w:rsidRDefault="00DC2133" w:rsidP="00080F4C">
          <w:pPr>
            <w:rPr>
              <w:b/>
              <w:sz w:val="32"/>
              <w:szCs w:val="32"/>
            </w:rPr>
          </w:pPr>
        </w:p>
      </w:tc>
    </w:tr>
  </w:tbl>
  <w:p w14:paraId="2C4DFB7B" w14:textId="77777777" w:rsidR="00AE5DD0" w:rsidRDefault="00FB122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0449870"/>
    <w:lvl w:ilvl="0">
      <w:start w:val="1"/>
      <w:numFmt w:val="decimal"/>
      <w:lvlText w:val="%1."/>
      <w:lvlJc w:val="left"/>
      <w:pPr>
        <w:tabs>
          <w:tab w:val="num" w:pos="1800"/>
        </w:tabs>
        <w:ind w:left="1800" w:hanging="360"/>
      </w:pPr>
    </w:lvl>
  </w:abstractNum>
  <w:abstractNum w:abstractNumId="1">
    <w:nsid w:val="FFFFFF7D"/>
    <w:multiLevelType w:val="singleLevel"/>
    <w:tmpl w:val="AE0EC736"/>
    <w:lvl w:ilvl="0">
      <w:start w:val="1"/>
      <w:numFmt w:val="decimal"/>
      <w:lvlText w:val="%1."/>
      <w:lvlJc w:val="left"/>
      <w:pPr>
        <w:tabs>
          <w:tab w:val="num" w:pos="1440"/>
        </w:tabs>
        <w:ind w:left="1440" w:hanging="360"/>
      </w:pPr>
    </w:lvl>
  </w:abstractNum>
  <w:abstractNum w:abstractNumId="2">
    <w:nsid w:val="FFFFFF7E"/>
    <w:multiLevelType w:val="singleLevel"/>
    <w:tmpl w:val="9EB63ED2"/>
    <w:lvl w:ilvl="0">
      <w:start w:val="1"/>
      <w:numFmt w:val="decimal"/>
      <w:lvlText w:val="%1."/>
      <w:lvlJc w:val="left"/>
      <w:pPr>
        <w:tabs>
          <w:tab w:val="num" w:pos="1080"/>
        </w:tabs>
        <w:ind w:left="1080" w:hanging="360"/>
      </w:pPr>
    </w:lvl>
  </w:abstractNum>
  <w:abstractNum w:abstractNumId="3">
    <w:nsid w:val="FFFFFF7F"/>
    <w:multiLevelType w:val="singleLevel"/>
    <w:tmpl w:val="D9D2F982"/>
    <w:lvl w:ilvl="0">
      <w:start w:val="1"/>
      <w:numFmt w:val="decimal"/>
      <w:lvlText w:val="%1."/>
      <w:lvlJc w:val="left"/>
      <w:pPr>
        <w:tabs>
          <w:tab w:val="num" w:pos="720"/>
        </w:tabs>
        <w:ind w:left="720" w:hanging="360"/>
      </w:pPr>
    </w:lvl>
  </w:abstractNum>
  <w:abstractNum w:abstractNumId="4">
    <w:nsid w:val="FFFFFF80"/>
    <w:multiLevelType w:val="singleLevel"/>
    <w:tmpl w:val="5114CC6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E141F9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0DA274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982BAE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A6C1318"/>
    <w:lvl w:ilvl="0">
      <w:start w:val="1"/>
      <w:numFmt w:val="decimal"/>
      <w:lvlText w:val="%1."/>
      <w:lvlJc w:val="left"/>
      <w:pPr>
        <w:tabs>
          <w:tab w:val="num" w:pos="360"/>
        </w:tabs>
        <w:ind w:left="360" w:hanging="360"/>
      </w:pPr>
    </w:lvl>
  </w:abstractNum>
  <w:abstractNum w:abstractNumId="9">
    <w:nsid w:val="FFFFFF89"/>
    <w:multiLevelType w:val="singleLevel"/>
    <w:tmpl w:val="ADCC038C"/>
    <w:lvl w:ilvl="0">
      <w:start w:val="1"/>
      <w:numFmt w:val="bullet"/>
      <w:lvlText w:val=""/>
      <w:lvlJc w:val="left"/>
      <w:pPr>
        <w:tabs>
          <w:tab w:val="num" w:pos="360"/>
        </w:tabs>
        <w:ind w:left="360" w:hanging="360"/>
      </w:pPr>
      <w:rPr>
        <w:rFonts w:ascii="Symbol" w:hAnsi="Symbol" w:hint="default"/>
      </w:rPr>
    </w:lvl>
  </w:abstractNum>
  <w:abstractNum w:abstractNumId="10">
    <w:nsid w:val="065461AA"/>
    <w:multiLevelType w:val="hybridMultilevel"/>
    <w:tmpl w:val="20B2A1D2"/>
    <w:lvl w:ilvl="0" w:tplc="3398B13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DF94657"/>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286577EA"/>
    <w:multiLevelType w:val="hybridMultilevel"/>
    <w:tmpl w:val="21A63D98"/>
    <w:lvl w:ilvl="0" w:tplc="B848247E">
      <w:start w:val="1"/>
      <w:numFmt w:val="bullet"/>
      <w:pStyle w:val="ATSBullet1"/>
      <w:lvlText w:val=""/>
      <w:lvlJc w:val="left"/>
      <w:pPr>
        <w:tabs>
          <w:tab w:val="num" w:pos="360"/>
        </w:tabs>
        <w:ind w:left="360" w:hanging="360"/>
      </w:pPr>
      <w:rPr>
        <w:rFonts w:ascii="Symbol" w:hAnsi="Symbol" w:hint="default"/>
        <w:color w:val="auto"/>
      </w:rPr>
    </w:lvl>
    <w:lvl w:ilvl="1" w:tplc="82BE2DE4" w:tentative="1">
      <w:start w:val="1"/>
      <w:numFmt w:val="bullet"/>
      <w:lvlText w:val="o"/>
      <w:lvlJc w:val="left"/>
      <w:pPr>
        <w:tabs>
          <w:tab w:val="num" w:pos="1440"/>
        </w:tabs>
        <w:ind w:left="1440" w:hanging="360"/>
      </w:pPr>
      <w:rPr>
        <w:rFonts w:ascii="Courier New" w:hAnsi="Courier New" w:cs="Courier New" w:hint="default"/>
      </w:rPr>
    </w:lvl>
    <w:lvl w:ilvl="2" w:tplc="FB0ED93E" w:tentative="1">
      <w:start w:val="1"/>
      <w:numFmt w:val="bullet"/>
      <w:lvlText w:val=""/>
      <w:lvlJc w:val="left"/>
      <w:pPr>
        <w:tabs>
          <w:tab w:val="num" w:pos="2160"/>
        </w:tabs>
        <w:ind w:left="2160" w:hanging="360"/>
      </w:pPr>
      <w:rPr>
        <w:rFonts w:ascii="Wingdings" w:hAnsi="Wingdings" w:hint="default"/>
      </w:rPr>
    </w:lvl>
    <w:lvl w:ilvl="3" w:tplc="CBF4F6F4" w:tentative="1">
      <w:start w:val="1"/>
      <w:numFmt w:val="bullet"/>
      <w:lvlText w:val=""/>
      <w:lvlJc w:val="left"/>
      <w:pPr>
        <w:tabs>
          <w:tab w:val="num" w:pos="2880"/>
        </w:tabs>
        <w:ind w:left="2880" w:hanging="360"/>
      </w:pPr>
      <w:rPr>
        <w:rFonts w:ascii="Symbol" w:hAnsi="Symbol" w:hint="default"/>
      </w:rPr>
    </w:lvl>
    <w:lvl w:ilvl="4" w:tplc="A2A65A74" w:tentative="1">
      <w:start w:val="1"/>
      <w:numFmt w:val="bullet"/>
      <w:lvlText w:val="o"/>
      <w:lvlJc w:val="left"/>
      <w:pPr>
        <w:tabs>
          <w:tab w:val="num" w:pos="3600"/>
        </w:tabs>
        <w:ind w:left="3600" w:hanging="360"/>
      </w:pPr>
      <w:rPr>
        <w:rFonts w:ascii="Courier New" w:hAnsi="Courier New" w:cs="Courier New" w:hint="default"/>
      </w:rPr>
    </w:lvl>
    <w:lvl w:ilvl="5" w:tplc="80E2F20A" w:tentative="1">
      <w:start w:val="1"/>
      <w:numFmt w:val="bullet"/>
      <w:lvlText w:val=""/>
      <w:lvlJc w:val="left"/>
      <w:pPr>
        <w:tabs>
          <w:tab w:val="num" w:pos="4320"/>
        </w:tabs>
        <w:ind w:left="4320" w:hanging="360"/>
      </w:pPr>
      <w:rPr>
        <w:rFonts w:ascii="Wingdings" w:hAnsi="Wingdings" w:hint="default"/>
      </w:rPr>
    </w:lvl>
    <w:lvl w:ilvl="6" w:tplc="EDA689F4" w:tentative="1">
      <w:start w:val="1"/>
      <w:numFmt w:val="bullet"/>
      <w:lvlText w:val=""/>
      <w:lvlJc w:val="left"/>
      <w:pPr>
        <w:tabs>
          <w:tab w:val="num" w:pos="5040"/>
        </w:tabs>
        <w:ind w:left="5040" w:hanging="360"/>
      </w:pPr>
      <w:rPr>
        <w:rFonts w:ascii="Symbol" w:hAnsi="Symbol" w:hint="default"/>
      </w:rPr>
    </w:lvl>
    <w:lvl w:ilvl="7" w:tplc="E0189C82" w:tentative="1">
      <w:start w:val="1"/>
      <w:numFmt w:val="bullet"/>
      <w:lvlText w:val="o"/>
      <w:lvlJc w:val="left"/>
      <w:pPr>
        <w:tabs>
          <w:tab w:val="num" w:pos="5760"/>
        </w:tabs>
        <w:ind w:left="5760" w:hanging="360"/>
      </w:pPr>
      <w:rPr>
        <w:rFonts w:ascii="Courier New" w:hAnsi="Courier New" w:cs="Courier New" w:hint="default"/>
      </w:rPr>
    </w:lvl>
    <w:lvl w:ilvl="8" w:tplc="AFB6551A" w:tentative="1">
      <w:start w:val="1"/>
      <w:numFmt w:val="bullet"/>
      <w:lvlText w:val=""/>
      <w:lvlJc w:val="left"/>
      <w:pPr>
        <w:tabs>
          <w:tab w:val="num" w:pos="6480"/>
        </w:tabs>
        <w:ind w:left="6480" w:hanging="360"/>
      </w:pPr>
      <w:rPr>
        <w:rFonts w:ascii="Wingdings" w:hAnsi="Wingdings" w:hint="default"/>
      </w:rPr>
    </w:lvl>
  </w:abstractNum>
  <w:abstractNum w:abstractNumId="13">
    <w:nsid w:val="49D35C15"/>
    <w:multiLevelType w:val="hybridMultilevel"/>
    <w:tmpl w:val="A8A2E45C"/>
    <w:lvl w:ilvl="0" w:tplc="A1DE74E2">
      <w:start w:val="1"/>
      <w:numFmt w:val="decimal"/>
      <w:lvlText w:val="%1)"/>
      <w:lvlJc w:val="left"/>
      <w:pPr>
        <w:tabs>
          <w:tab w:val="num" w:pos="340"/>
        </w:tabs>
        <w:ind w:left="340" w:hanging="340"/>
      </w:pPr>
      <w:rPr>
        <w:rFonts w:hint="default"/>
      </w:rPr>
    </w:lvl>
    <w:lvl w:ilvl="1" w:tplc="68A29228" w:tentative="1">
      <w:start w:val="1"/>
      <w:numFmt w:val="lowerLetter"/>
      <w:lvlText w:val="%2."/>
      <w:lvlJc w:val="left"/>
      <w:pPr>
        <w:tabs>
          <w:tab w:val="num" w:pos="1440"/>
        </w:tabs>
        <w:ind w:left="1440" w:hanging="360"/>
      </w:pPr>
    </w:lvl>
    <w:lvl w:ilvl="2" w:tplc="7C78ABDC" w:tentative="1">
      <w:start w:val="1"/>
      <w:numFmt w:val="lowerRoman"/>
      <w:lvlText w:val="%3."/>
      <w:lvlJc w:val="right"/>
      <w:pPr>
        <w:tabs>
          <w:tab w:val="num" w:pos="2160"/>
        </w:tabs>
        <w:ind w:left="2160" w:hanging="180"/>
      </w:pPr>
    </w:lvl>
    <w:lvl w:ilvl="3" w:tplc="9A4001C2" w:tentative="1">
      <w:start w:val="1"/>
      <w:numFmt w:val="decimal"/>
      <w:lvlText w:val="%4."/>
      <w:lvlJc w:val="left"/>
      <w:pPr>
        <w:tabs>
          <w:tab w:val="num" w:pos="2880"/>
        </w:tabs>
        <w:ind w:left="2880" w:hanging="360"/>
      </w:pPr>
    </w:lvl>
    <w:lvl w:ilvl="4" w:tplc="CE4028A8" w:tentative="1">
      <w:start w:val="1"/>
      <w:numFmt w:val="lowerLetter"/>
      <w:lvlText w:val="%5."/>
      <w:lvlJc w:val="left"/>
      <w:pPr>
        <w:tabs>
          <w:tab w:val="num" w:pos="3600"/>
        </w:tabs>
        <w:ind w:left="3600" w:hanging="360"/>
      </w:pPr>
    </w:lvl>
    <w:lvl w:ilvl="5" w:tplc="2168F16E" w:tentative="1">
      <w:start w:val="1"/>
      <w:numFmt w:val="lowerRoman"/>
      <w:lvlText w:val="%6."/>
      <w:lvlJc w:val="right"/>
      <w:pPr>
        <w:tabs>
          <w:tab w:val="num" w:pos="4320"/>
        </w:tabs>
        <w:ind w:left="4320" w:hanging="180"/>
      </w:pPr>
    </w:lvl>
    <w:lvl w:ilvl="6" w:tplc="AF28183A" w:tentative="1">
      <w:start w:val="1"/>
      <w:numFmt w:val="decimal"/>
      <w:lvlText w:val="%7."/>
      <w:lvlJc w:val="left"/>
      <w:pPr>
        <w:tabs>
          <w:tab w:val="num" w:pos="5040"/>
        </w:tabs>
        <w:ind w:left="5040" w:hanging="360"/>
      </w:pPr>
    </w:lvl>
    <w:lvl w:ilvl="7" w:tplc="AFFE423A" w:tentative="1">
      <w:start w:val="1"/>
      <w:numFmt w:val="lowerLetter"/>
      <w:lvlText w:val="%8."/>
      <w:lvlJc w:val="left"/>
      <w:pPr>
        <w:tabs>
          <w:tab w:val="num" w:pos="5760"/>
        </w:tabs>
        <w:ind w:left="5760" w:hanging="360"/>
      </w:pPr>
    </w:lvl>
    <w:lvl w:ilvl="8" w:tplc="F90AB06C" w:tentative="1">
      <w:start w:val="1"/>
      <w:numFmt w:val="lowerRoman"/>
      <w:lvlText w:val="%9."/>
      <w:lvlJc w:val="right"/>
      <w:pPr>
        <w:tabs>
          <w:tab w:val="num" w:pos="6480"/>
        </w:tabs>
        <w:ind w:left="6480" w:hanging="180"/>
      </w:pPr>
    </w:lvl>
  </w:abstractNum>
  <w:abstractNum w:abstractNumId="14">
    <w:nsid w:val="642F3AFA"/>
    <w:multiLevelType w:val="hybridMultilevel"/>
    <w:tmpl w:val="9DF09BE6"/>
    <w:lvl w:ilvl="0" w:tplc="17CA27A6">
      <w:start w:val="1"/>
      <w:numFmt w:val="decimal"/>
      <w:lvlText w:val="%1."/>
      <w:lvlJc w:val="left"/>
      <w:pPr>
        <w:tabs>
          <w:tab w:val="num" w:pos="1057"/>
        </w:tabs>
        <w:ind w:left="1057" w:hanging="360"/>
      </w:pPr>
      <w:rPr>
        <w:rFonts w:hint="default"/>
      </w:rPr>
    </w:lvl>
    <w:lvl w:ilvl="1" w:tplc="63BA6116" w:tentative="1">
      <w:start w:val="1"/>
      <w:numFmt w:val="lowerLetter"/>
      <w:lvlText w:val="%2."/>
      <w:lvlJc w:val="left"/>
      <w:pPr>
        <w:tabs>
          <w:tab w:val="num" w:pos="2137"/>
        </w:tabs>
        <w:ind w:left="2137" w:hanging="360"/>
      </w:pPr>
    </w:lvl>
    <w:lvl w:ilvl="2" w:tplc="1894498C" w:tentative="1">
      <w:start w:val="1"/>
      <w:numFmt w:val="lowerRoman"/>
      <w:lvlText w:val="%3."/>
      <w:lvlJc w:val="right"/>
      <w:pPr>
        <w:tabs>
          <w:tab w:val="num" w:pos="2857"/>
        </w:tabs>
        <w:ind w:left="2857" w:hanging="180"/>
      </w:pPr>
    </w:lvl>
    <w:lvl w:ilvl="3" w:tplc="DEFE32F8" w:tentative="1">
      <w:start w:val="1"/>
      <w:numFmt w:val="decimal"/>
      <w:lvlText w:val="%4."/>
      <w:lvlJc w:val="left"/>
      <w:pPr>
        <w:tabs>
          <w:tab w:val="num" w:pos="3577"/>
        </w:tabs>
        <w:ind w:left="3577" w:hanging="360"/>
      </w:pPr>
    </w:lvl>
    <w:lvl w:ilvl="4" w:tplc="A4D86588" w:tentative="1">
      <w:start w:val="1"/>
      <w:numFmt w:val="lowerLetter"/>
      <w:lvlText w:val="%5."/>
      <w:lvlJc w:val="left"/>
      <w:pPr>
        <w:tabs>
          <w:tab w:val="num" w:pos="4297"/>
        </w:tabs>
        <w:ind w:left="4297" w:hanging="360"/>
      </w:pPr>
    </w:lvl>
    <w:lvl w:ilvl="5" w:tplc="8B5CBB50" w:tentative="1">
      <w:start w:val="1"/>
      <w:numFmt w:val="lowerRoman"/>
      <w:lvlText w:val="%6."/>
      <w:lvlJc w:val="right"/>
      <w:pPr>
        <w:tabs>
          <w:tab w:val="num" w:pos="5017"/>
        </w:tabs>
        <w:ind w:left="5017" w:hanging="180"/>
      </w:pPr>
    </w:lvl>
    <w:lvl w:ilvl="6" w:tplc="A1000C7A" w:tentative="1">
      <w:start w:val="1"/>
      <w:numFmt w:val="decimal"/>
      <w:lvlText w:val="%7."/>
      <w:lvlJc w:val="left"/>
      <w:pPr>
        <w:tabs>
          <w:tab w:val="num" w:pos="5737"/>
        </w:tabs>
        <w:ind w:left="5737" w:hanging="360"/>
      </w:pPr>
    </w:lvl>
    <w:lvl w:ilvl="7" w:tplc="060666B6" w:tentative="1">
      <w:start w:val="1"/>
      <w:numFmt w:val="lowerLetter"/>
      <w:lvlText w:val="%8."/>
      <w:lvlJc w:val="left"/>
      <w:pPr>
        <w:tabs>
          <w:tab w:val="num" w:pos="6457"/>
        </w:tabs>
        <w:ind w:left="6457" w:hanging="360"/>
      </w:pPr>
    </w:lvl>
    <w:lvl w:ilvl="8" w:tplc="AC3CEF3C" w:tentative="1">
      <w:start w:val="1"/>
      <w:numFmt w:val="lowerRoman"/>
      <w:lvlText w:val="%9."/>
      <w:lvlJc w:val="right"/>
      <w:pPr>
        <w:tabs>
          <w:tab w:val="num" w:pos="7177"/>
        </w:tabs>
        <w:ind w:left="7177" w:hanging="180"/>
      </w:pPr>
    </w:lvl>
  </w:abstractNum>
  <w:abstractNum w:abstractNumId="15">
    <w:nsid w:val="7212657C"/>
    <w:multiLevelType w:val="hybridMultilevel"/>
    <w:tmpl w:val="0A8E2A84"/>
    <w:lvl w:ilvl="0" w:tplc="10FCF550">
      <w:start w:val="1"/>
      <w:numFmt w:val="decimal"/>
      <w:pStyle w:val="ATSNumber1"/>
      <w:lvlText w:val="%1)"/>
      <w:lvlJc w:val="left"/>
      <w:pPr>
        <w:tabs>
          <w:tab w:val="num" w:pos="720"/>
        </w:tabs>
        <w:ind w:left="720" w:hanging="360"/>
      </w:pPr>
    </w:lvl>
    <w:lvl w:ilvl="1" w:tplc="928CA67E" w:tentative="1">
      <w:start w:val="1"/>
      <w:numFmt w:val="lowerLetter"/>
      <w:lvlText w:val="%2."/>
      <w:lvlJc w:val="left"/>
      <w:pPr>
        <w:tabs>
          <w:tab w:val="num" w:pos="1440"/>
        </w:tabs>
        <w:ind w:left="1440" w:hanging="360"/>
      </w:pPr>
    </w:lvl>
    <w:lvl w:ilvl="2" w:tplc="DE503D32" w:tentative="1">
      <w:start w:val="1"/>
      <w:numFmt w:val="lowerRoman"/>
      <w:lvlText w:val="%3."/>
      <w:lvlJc w:val="right"/>
      <w:pPr>
        <w:tabs>
          <w:tab w:val="num" w:pos="2160"/>
        </w:tabs>
        <w:ind w:left="2160" w:hanging="180"/>
      </w:pPr>
    </w:lvl>
    <w:lvl w:ilvl="3" w:tplc="2D56B8C0" w:tentative="1">
      <w:start w:val="1"/>
      <w:numFmt w:val="decimal"/>
      <w:lvlText w:val="%4."/>
      <w:lvlJc w:val="left"/>
      <w:pPr>
        <w:tabs>
          <w:tab w:val="num" w:pos="2880"/>
        </w:tabs>
        <w:ind w:left="2880" w:hanging="360"/>
      </w:pPr>
    </w:lvl>
    <w:lvl w:ilvl="4" w:tplc="4AFC32F4" w:tentative="1">
      <w:start w:val="1"/>
      <w:numFmt w:val="lowerLetter"/>
      <w:lvlText w:val="%5."/>
      <w:lvlJc w:val="left"/>
      <w:pPr>
        <w:tabs>
          <w:tab w:val="num" w:pos="3600"/>
        </w:tabs>
        <w:ind w:left="3600" w:hanging="360"/>
      </w:pPr>
    </w:lvl>
    <w:lvl w:ilvl="5" w:tplc="3956FCEA" w:tentative="1">
      <w:start w:val="1"/>
      <w:numFmt w:val="lowerRoman"/>
      <w:lvlText w:val="%6."/>
      <w:lvlJc w:val="right"/>
      <w:pPr>
        <w:tabs>
          <w:tab w:val="num" w:pos="4320"/>
        </w:tabs>
        <w:ind w:left="4320" w:hanging="180"/>
      </w:pPr>
    </w:lvl>
    <w:lvl w:ilvl="6" w:tplc="3BF48040" w:tentative="1">
      <w:start w:val="1"/>
      <w:numFmt w:val="decimal"/>
      <w:lvlText w:val="%7."/>
      <w:lvlJc w:val="left"/>
      <w:pPr>
        <w:tabs>
          <w:tab w:val="num" w:pos="5040"/>
        </w:tabs>
        <w:ind w:left="5040" w:hanging="360"/>
      </w:pPr>
    </w:lvl>
    <w:lvl w:ilvl="7" w:tplc="79D679D0" w:tentative="1">
      <w:start w:val="1"/>
      <w:numFmt w:val="lowerLetter"/>
      <w:lvlText w:val="%8."/>
      <w:lvlJc w:val="left"/>
      <w:pPr>
        <w:tabs>
          <w:tab w:val="num" w:pos="5760"/>
        </w:tabs>
        <w:ind w:left="5760" w:hanging="360"/>
      </w:pPr>
    </w:lvl>
    <w:lvl w:ilvl="8" w:tplc="A7223D5C" w:tentative="1">
      <w:start w:val="1"/>
      <w:numFmt w:val="lowerRoman"/>
      <w:lvlText w:val="%9."/>
      <w:lvlJc w:val="right"/>
      <w:pPr>
        <w:tabs>
          <w:tab w:val="num" w:pos="6480"/>
        </w:tabs>
        <w:ind w:left="6480" w:hanging="180"/>
      </w:pPr>
    </w:lvl>
  </w:abstractNum>
  <w:abstractNum w:abstractNumId="16">
    <w:nsid w:val="743D2161"/>
    <w:multiLevelType w:val="hybridMultilevel"/>
    <w:tmpl w:val="B0868D9E"/>
    <w:lvl w:ilvl="0" w:tplc="16A87700">
      <w:start w:val="1"/>
      <w:numFmt w:val="bullet"/>
      <w:pStyle w:val="ATSBullet2"/>
      <w:lvlText w:val="-"/>
      <w:lvlJc w:val="left"/>
      <w:pPr>
        <w:tabs>
          <w:tab w:val="num" w:pos="1080"/>
        </w:tabs>
        <w:ind w:left="1080" w:hanging="360"/>
      </w:pPr>
      <w:rPr>
        <w:rFonts w:ascii="Times New Roman" w:hAnsi="Times New Roman" w:cs="Times New Roman" w:hint="default"/>
        <w:color w:val="auto"/>
      </w:rPr>
    </w:lvl>
    <w:lvl w:ilvl="1" w:tplc="DFAC8ACA" w:tentative="1">
      <w:start w:val="1"/>
      <w:numFmt w:val="bullet"/>
      <w:lvlText w:val="o"/>
      <w:lvlJc w:val="left"/>
      <w:pPr>
        <w:tabs>
          <w:tab w:val="num" w:pos="2517"/>
        </w:tabs>
        <w:ind w:left="2517" w:hanging="360"/>
      </w:pPr>
      <w:rPr>
        <w:rFonts w:ascii="Courier New" w:hAnsi="Courier New" w:cs="Courier New" w:hint="default"/>
      </w:rPr>
    </w:lvl>
    <w:lvl w:ilvl="2" w:tplc="DE48E910" w:tentative="1">
      <w:start w:val="1"/>
      <w:numFmt w:val="bullet"/>
      <w:lvlText w:val=""/>
      <w:lvlJc w:val="left"/>
      <w:pPr>
        <w:tabs>
          <w:tab w:val="num" w:pos="3237"/>
        </w:tabs>
        <w:ind w:left="3237" w:hanging="360"/>
      </w:pPr>
      <w:rPr>
        <w:rFonts w:ascii="Wingdings" w:hAnsi="Wingdings" w:hint="default"/>
      </w:rPr>
    </w:lvl>
    <w:lvl w:ilvl="3" w:tplc="C3B21E4C" w:tentative="1">
      <w:start w:val="1"/>
      <w:numFmt w:val="bullet"/>
      <w:lvlText w:val=""/>
      <w:lvlJc w:val="left"/>
      <w:pPr>
        <w:tabs>
          <w:tab w:val="num" w:pos="3957"/>
        </w:tabs>
        <w:ind w:left="3957" w:hanging="360"/>
      </w:pPr>
      <w:rPr>
        <w:rFonts w:ascii="Symbol" w:hAnsi="Symbol" w:hint="default"/>
      </w:rPr>
    </w:lvl>
    <w:lvl w:ilvl="4" w:tplc="B4A49282" w:tentative="1">
      <w:start w:val="1"/>
      <w:numFmt w:val="bullet"/>
      <w:lvlText w:val="o"/>
      <w:lvlJc w:val="left"/>
      <w:pPr>
        <w:tabs>
          <w:tab w:val="num" w:pos="4677"/>
        </w:tabs>
        <w:ind w:left="4677" w:hanging="360"/>
      </w:pPr>
      <w:rPr>
        <w:rFonts w:ascii="Courier New" w:hAnsi="Courier New" w:cs="Courier New" w:hint="default"/>
      </w:rPr>
    </w:lvl>
    <w:lvl w:ilvl="5" w:tplc="230006D0" w:tentative="1">
      <w:start w:val="1"/>
      <w:numFmt w:val="bullet"/>
      <w:lvlText w:val=""/>
      <w:lvlJc w:val="left"/>
      <w:pPr>
        <w:tabs>
          <w:tab w:val="num" w:pos="5397"/>
        </w:tabs>
        <w:ind w:left="5397" w:hanging="360"/>
      </w:pPr>
      <w:rPr>
        <w:rFonts w:ascii="Wingdings" w:hAnsi="Wingdings" w:hint="default"/>
      </w:rPr>
    </w:lvl>
    <w:lvl w:ilvl="6" w:tplc="B24EE382" w:tentative="1">
      <w:start w:val="1"/>
      <w:numFmt w:val="bullet"/>
      <w:lvlText w:val=""/>
      <w:lvlJc w:val="left"/>
      <w:pPr>
        <w:tabs>
          <w:tab w:val="num" w:pos="6117"/>
        </w:tabs>
        <w:ind w:left="6117" w:hanging="360"/>
      </w:pPr>
      <w:rPr>
        <w:rFonts w:ascii="Symbol" w:hAnsi="Symbol" w:hint="default"/>
      </w:rPr>
    </w:lvl>
    <w:lvl w:ilvl="7" w:tplc="B2DC3704" w:tentative="1">
      <w:start w:val="1"/>
      <w:numFmt w:val="bullet"/>
      <w:lvlText w:val="o"/>
      <w:lvlJc w:val="left"/>
      <w:pPr>
        <w:tabs>
          <w:tab w:val="num" w:pos="6837"/>
        </w:tabs>
        <w:ind w:left="6837" w:hanging="360"/>
      </w:pPr>
      <w:rPr>
        <w:rFonts w:ascii="Courier New" w:hAnsi="Courier New" w:cs="Courier New" w:hint="default"/>
      </w:rPr>
    </w:lvl>
    <w:lvl w:ilvl="8" w:tplc="176CE732" w:tentative="1">
      <w:start w:val="1"/>
      <w:numFmt w:val="bullet"/>
      <w:lvlText w:val=""/>
      <w:lvlJc w:val="left"/>
      <w:pPr>
        <w:tabs>
          <w:tab w:val="num" w:pos="7557"/>
        </w:tabs>
        <w:ind w:left="7557" w:hanging="360"/>
      </w:pPr>
      <w:rPr>
        <w:rFonts w:ascii="Wingdings" w:hAnsi="Wingdings" w:hint="default"/>
      </w:rPr>
    </w:lvl>
  </w:abstractNum>
  <w:abstractNum w:abstractNumId="17">
    <w:nsid w:val="7A0A3455"/>
    <w:multiLevelType w:val="hybridMultilevel"/>
    <w:tmpl w:val="2A821FC4"/>
    <w:lvl w:ilvl="0" w:tplc="8C10C982">
      <w:numFmt w:val="bullet"/>
      <w:lvlText w:val=""/>
      <w:lvlJc w:val="left"/>
      <w:pPr>
        <w:ind w:left="720" w:hanging="360"/>
      </w:pPr>
      <w:rPr>
        <w:rFonts w:ascii="Wingdings" w:eastAsia="Arial Unicode MS"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7C866FC0"/>
    <w:multiLevelType w:val="hybridMultilevel"/>
    <w:tmpl w:val="57EA2900"/>
    <w:lvl w:ilvl="0" w:tplc="7376D224">
      <w:start w:val="1"/>
      <w:numFmt w:val="decimal"/>
      <w:pStyle w:val="ATSNumber2"/>
      <w:lvlText w:val="%1."/>
      <w:lvlJc w:val="left"/>
      <w:pPr>
        <w:tabs>
          <w:tab w:val="num" w:pos="720"/>
        </w:tabs>
        <w:ind w:left="720" w:hanging="360"/>
      </w:pPr>
      <w:rPr>
        <w:rFonts w:hint="default"/>
      </w:rPr>
    </w:lvl>
    <w:lvl w:ilvl="1" w:tplc="3DE49F56" w:tentative="1">
      <w:start w:val="1"/>
      <w:numFmt w:val="lowerLetter"/>
      <w:lvlText w:val="%2."/>
      <w:lvlJc w:val="left"/>
      <w:pPr>
        <w:tabs>
          <w:tab w:val="num" w:pos="1440"/>
        </w:tabs>
        <w:ind w:left="1440" w:hanging="360"/>
      </w:pPr>
    </w:lvl>
    <w:lvl w:ilvl="2" w:tplc="4BECF93C" w:tentative="1">
      <w:start w:val="1"/>
      <w:numFmt w:val="lowerRoman"/>
      <w:lvlText w:val="%3."/>
      <w:lvlJc w:val="right"/>
      <w:pPr>
        <w:tabs>
          <w:tab w:val="num" w:pos="2160"/>
        </w:tabs>
        <w:ind w:left="2160" w:hanging="180"/>
      </w:pPr>
    </w:lvl>
    <w:lvl w:ilvl="3" w:tplc="35961C40" w:tentative="1">
      <w:start w:val="1"/>
      <w:numFmt w:val="decimal"/>
      <w:lvlText w:val="%4."/>
      <w:lvlJc w:val="left"/>
      <w:pPr>
        <w:tabs>
          <w:tab w:val="num" w:pos="2880"/>
        </w:tabs>
        <w:ind w:left="2880" w:hanging="360"/>
      </w:pPr>
    </w:lvl>
    <w:lvl w:ilvl="4" w:tplc="1A548676" w:tentative="1">
      <w:start w:val="1"/>
      <w:numFmt w:val="lowerLetter"/>
      <w:lvlText w:val="%5."/>
      <w:lvlJc w:val="left"/>
      <w:pPr>
        <w:tabs>
          <w:tab w:val="num" w:pos="3600"/>
        </w:tabs>
        <w:ind w:left="3600" w:hanging="360"/>
      </w:pPr>
    </w:lvl>
    <w:lvl w:ilvl="5" w:tplc="EEACC2E6" w:tentative="1">
      <w:start w:val="1"/>
      <w:numFmt w:val="lowerRoman"/>
      <w:lvlText w:val="%6."/>
      <w:lvlJc w:val="right"/>
      <w:pPr>
        <w:tabs>
          <w:tab w:val="num" w:pos="4320"/>
        </w:tabs>
        <w:ind w:left="4320" w:hanging="180"/>
      </w:pPr>
    </w:lvl>
    <w:lvl w:ilvl="6" w:tplc="96BE972A" w:tentative="1">
      <w:start w:val="1"/>
      <w:numFmt w:val="decimal"/>
      <w:lvlText w:val="%7."/>
      <w:lvlJc w:val="left"/>
      <w:pPr>
        <w:tabs>
          <w:tab w:val="num" w:pos="5040"/>
        </w:tabs>
        <w:ind w:left="5040" w:hanging="360"/>
      </w:pPr>
    </w:lvl>
    <w:lvl w:ilvl="7" w:tplc="C0169368" w:tentative="1">
      <w:start w:val="1"/>
      <w:numFmt w:val="lowerLetter"/>
      <w:lvlText w:val="%8."/>
      <w:lvlJc w:val="left"/>
      <w:pPr>
        <w:tabs>
          <w:tab w:val="num" w:pos="5760"/>
        </w:tabs>
        <w:ind w:left="5760" w:hanging="360"/>
      </w:pPr>
    </w:lvl>
    <w:lvl w:ilvl="8" w:tplc="8F342DAA"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6"/>
  </w:num>
  <w:num w:numId="13">
    <w:abstractNumId w:val="15"/>
  </w:num>
  <w:num w:numId="14">
    <w:abstractNumId w:val="13"/>
  </w:num>
  <w:num w:numId="15">
    <w:abstractNumId w:val="14"/>
  </w:num>
  <w:num w:numId="16">
    <w:abstractNumId w:val="11"/>
  </w:num>
  <w:num w:numId="17">
    <w:abstractNumId w:val="12"/>
  </w:num>
  <w:num w:numId="18">
    <w:abstractNumId w:val="16"/>
  </w:num>
  <w:num w:numId="19">
    <w:abstractNumId w:val="15"/>
  </w:num>
  <w:num w:numId="20">
    <w:abstractNumId w:val="18"/>
  </w:num>
  <w:num w:numId="21">
    <w:abstractNumId w:val="10"/>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025"/>
    <w:rsid w:val="00B9058C"/>
    <w:rsid w:val="00DC2133"/>
    <w:rsid w:val="00F972F0"/>
    <w:rsid w:val="00FB122D"/>
    <w:rsid w:val="00FB302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E03441"/>
  <w15:chartTrackingRefBased/>
  <w15:docId w15:val="{5DD38017-8268-46FA-9A77-A13665084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es-AR" w:bidi="ar-SA"/>
      </w:rPr>
    </w:rPrDefault>
    <w:pPrDefault/>
  </w:docDefaults>
  <w:latentStyles w:defLockedState="0" w:defUIPriority="0" w:defSemiHidden="0" w:defUnhideWhenUsed="0" w:defQFormat="0" w:count="371">
    <w:lsdException w:name="Normal" w:qFormat="1"/>
    <w:lsdException w:name="caption" w:semiHidden="1" w:unhideWhenUsed="1" w:qFormat="1"/>
    <w:lsdException w:name="Hyperlink"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789F"/>
    <w:rPr>
      <w:sz w:val="22"/>
      <w:szCs w:val="24"/>
      <w:lang w:eastAsia="en-US"/>
    </w:rPr>
  </w:style>
  <w:style w:type="paragraph" w:styleId="Heading1">
    <w:name w:val="heading 1"/>
    <w:basedOn w:val="Normal"/>
    <w:next w:val="Normal"/>
    <w:rsid w:val="001B789F"/>
    <w:pPr>
      <w:keepNext/>
      <w:spacing w:before="180" w:after="360"/>
      <w:jc w:val="center"/>
      <w:outlineLvl w:val="0"/>
    </w:pPr>
    <w:rPr>
      <w:rFonts w:ascii="Arial" w:hAnsi="Arial"/>
      <w:b/>
      <w:kern w:val="28"/>
      <w:sz w:val="32"/>
      <w:szCs w:val="20"/>
    </w:rPr>
  </w:style>
  <w:style w:type="paragraph" w:styleId="Heading2">
    <w:name w:val="heading 2"/>
    <w:basedOn w:val="Normal"/>
    <w:next w:val="Normal"/>
    <w:rsid w:val="001B789F"/>
    <w:pPr>
      <w:keepNext/>
      <w:spacing w:before="120" w:after="240"/>
      <w:outlineLvl w:val="1"/>
    </w:pPr>
    <w:rPr>
      <w:b/>
      <w:i/>
      <w:sz w:val="28"/>
      <w:szCs w:val="20"/>
    </w:rPr>
  </w:style>
  <w:style w:type="paragraph" w:styleId="Heading3">
    <w:name w:val="heading 3"/>
    <w:basedOn w:val="Normal"/>
    <w:next w:val="Normal"/>
    <w:rsid w:val="001B789F"/>
    <w:pPr>
      <w:keepNext/>
      <w:spacing w:before="120" w:after="180"/>
      <w:outlineLvl w:val="2"/>
    </w:pPr>
    <w:rPr>
      <w:rFonts w:eastAsia="SimSun"/>
      <w:b/>
      <w:sz w:val="24"/>
      <w:szCs w:val="20"/>
      <w:lang w:eastAsia="zh-CN"/>
    </w:rPr>
  </w:style>
  <w:style w:type="paragraph" w:styleId="Heading4">
    <w:name w:val="heading 4"/>
    <w:basedOn w:val="Normal"/>
    <w:next w:val="Normal"/>
    <w:rsid w:val="001B789F"/>
    <w:pPr>
      <w:keepNext/>
      <w:spacing w:before="60" w:after="120"/>
      <w:outlineLvl w:val="3"/>
    </w:pPr>
    <w:rPr>
      <w:b/>
      <w:bCs/>
      <w:i/>
      <w:szCs w:val="28"/>
    </w:rPr>
  </w:style>
  <w:style w:type="paragraph" w:styleId="Heading5">
    <w:name w:val="heading 5"/>
    <w:basedOn w:val="Normal"/>
    <w:next w:val="Normal"/>
    <w:rsid w:val="001B789F"/>
    <w:pPr>
      <w:spacing w:before="240" w:after="60"/>
      <w:outlineLvl w:val="4"/>
    </w:pPr>
    <w:rPr>
      <w:b/>
      <w:bCs/>
      <w:i/>
      <w:iCs/>
      <w:sz w:val="26"/>
      <w:szCs w:val="26"/>
    </w:rPr>
  </w:style>
  <w:style w:type="paragraph" w:styleId="Heading6">
    <w:name w:val="heading 6"/>
    <w:basedOn w:val="Normal"/>
    <w:next w:val="Normal"/>
    <w:rsid w:val="001B789F"/>
    <w:pPr>
      <w:spacing w:before="240" w:after="60"/>
      <w:outlineLvl w:val="5"/>
    </w:pPr>
    <w:rPr>
      <w:b/>
      <w:bCs/>
      <w:szCs w:val="22"/>
    </w:rPr>
  </w:style>
  <w:style w:type="paragraph" w:styleId="Heading7">
    <w:name w:val="heading 7"/>
    <w:basedOn w:val="Normal"/>
    <w:next w:val="Normal"/>
    <w:rsid w:val="001B789F"/>
    <w:pPr>
      <w:spacing w:before="240" w:after="60"/>
      <w:outlineLvl w:val="6"/>
    </w:pPr>
    <w:rPr>
      <w:sz w:val="24"/>
    </w:rPr>
  </w:style>
  <w:style w:type="paragraph" w:styleId="Heading8">
    <w:name w:val="heading 8"/>
    <w:basedOn w:val="Normal"/>
    <w:next w:val="Normal"/>
    <w:rsid w:val="001B789F"/>
    <w:pPr>
      <w:spacing w:before="240" w:after="60"/>
      <w:outlineLvl w:val="7"/>
    </w:pPr>
    <w:rPr>
      <w:i/>
      <w:iCs/>
      <w:sz w:val="24"/>
    </w:rPr>
  </w:style>
  <w:style w:type="paragraph" w:styleId="Heading9">
    <w:name w:val="heading 9"/>
    <w:basedOn w:val="Normal"/>
    <w:next w:val="Normal"/>
    <w:rsid w:val="001B789F"/>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TSNormal">
    <w:name w:val="ATS Normal"/>
    <w:basedOn w:val="Normal"/>
    <w:qFormat/>
    <w:rsid w:val="001B789F"/>
    <w:pPr>
      <w:spacing w:before="120" w:after="120"/>
    </w:pPr>
    <w:rPr>
      <w:lang w:eastAsia="en-GB"/>
    </w:rPr>
  </w:style>
  <w:style w:type="paragraph" w:customStyle="1" w:styleId="ATSBullet1">
    <w:name w:val="ATS Bullet 1"/>
    <w:basedOn w:val="ATSNormal"/>
    <w:qFormat/>
    <w:rsid w:val="001B789F"/>
    <w:pPr>
      <w:numPr>
        <w:numId w:val="17"/>
      </w:numPr>
      <w:spacing w:before="60" w:after="0"/>
    </w:pPr>
  </w:style>
  <w:style w:type="paragraph" w:customStyle="1" w:styleId="ATSBullet2">
    <w:name w:val="ATS Bullet 2"/>
    <w:basedOn w:val="ATSNormal"/>
    <w:qFormat/>
    <w:rsid w:val="001B789F"/>
    <w:pPr>
      <w:numPr>
        <w:numId w:val="18"/>
      </w:numPr>
      <w:tabs>
        <w:tab w:val="left" w:pos="720"/>
      </w:tabs>
      <w:spacing w:before="60" w:after="0"/>
    </w:pPr>
  </w:style>
  <w:style w:type="paragraph" w:customStyle="1" w:styleId="ATSCompact">
    <w:name w:val="ATS Compact"/>
    <w:basedOn w:val="ATSNormal"/>
    <w:qFormat/>
    <w:rsid w:val="001B789F"/>
    <w:pPr>
      <w:spacing w:before="0" w:after="0"/>
    </w:pPr>
  </w:style>
  <w:style w:type="paragraph" w:customStyle="1" w:styleId="ATSHeading1">
    <w:name w:val="ATS Heading 1"/>
    <w:basedOn w:val="ATSNormal"/>
    <w:next w:val="ATSNormal"/>
    <w:qFormat/>
    <w:rsid w:val="001B789F"/>
    <w:pPr>
      <w:spacing w:before="360" w:after="360"/>
      <w:jc w:val="center"/>
    </w:pPr>
    <w:rPr>
      <w:rFonts w:ascii="Arial" w:hAnsi="Arial"/>
      <w:b/>
      <w:sz w:val="32"/>
    </w:rPr>
  </w:style>
  <w:style w:type="paragraph" w:customStyle="1" w:styleId="ATSHeading2">
    <w:name w:val="ATS Heading 2"/>
    <w:basedOn w:val="ATSNormal"/>
    <w:next w:val="ATSNormal"/>
    <w:link w:val="ATSHeading2Char"/>
    <w:qFormat/>
    <w:rsid w:val="001B789F"/>
    <w:pPr>
      <w:spacing w:before="480"/>
      <w:jc w:val="both"/>
    </w:pPr>
    <w:rPr>
      <w:rFonts w:ascii="Arial" w:hAnsi="Arial"/>
      <w:b/>
      <w:i/>
      <w:sz w:val="24"/>
      <w:szCs w:val="22"/>
    </w:rPr>
  </w:style>
  <w:style w:type="paragraph" w:customStyle="1" w:styleId="ATSHeading3">
    <w:name w:val="ATS Heading 3"/>
    <w:basedOn w:val="ATSNormal"/>
    <w:next w:val="ATSNormal"/>
    <w:qFormat/>
    <w:rsid w:val="001B789F"/>
    <w:pPr>
      <w:spacing w:before="240" w:after="60"/>
    </w:pPr>
    <w:rPr>
      <w:b/>
    </w:rPr>
  </w:style>
  <w:style w:type="paragraph" w:customStyle="1" w:styleId="ATSHeading4">
    <w:name w:val="ATS Heading 4"/>
    <w:basedOn w:val="ATSNormal"/>
    <w:next w:val="ATSNormal"/>
    <w:qFormat/>
    <w:rsid w:val="001B789F"/>
    <w:pPr>
      <w:spacing w:before="240" w:after="60"/>
    </w:pPr>
    <w:rPr>
      <w:i/>
    </w:rPr>
  </w:style>
  <w:style w:type="paragraph" w:customStyle="1" w:styleId="AtsNumber">
    <w:name w:val="Ats Number"/>
    <w:basedOn w:val="ATSNormal"/>
    <w:qFormat/>
    <w:rsid w:val="001B789F"/>
    <w:pPr>
      <w:spacing w:before="60" w:after="0"/>
    </w:pPr>
  </w:style>
  <w:style w:type="paragraph" w:customStyle="1" w:styleId="ATSNumber1">
    <w:name w:val="ATS Number 1"/>
    <w:basedOn w:val="ATSNormal"/>
    <w:qFormat/>
    <w:rsid w:val="001B789F"/>
    <w:pPr>
      <w:numPr>
        <w:numId w:val="19"/>
      </w:numPr>
      <w:spacing w:before="60" w:after="0"/>
    </w:pPr>
  </w:style>
  <w:style w:type="paragraph" w:customStyle="1" w:styleId="ATSNumber2">
    <w:name w:val="ATS Number 2"/>
    <w:basedOn w:val="ATSNormal"/>
    <w:autoRedefine/>
    <w:qFormat/>
    <w:rsid w:val="001B789F"/>
    <w:pPr>
      <w:numPr>
        <w:numId w:val="20"/>
      </w:numPr>
      <w:spacing w:after="0"/>
      <w:jc w:val="both"/>
    </w:pPr>
  </w:style>
  <w:style w:type="paragraph" w:customStyle="1" w:styleId="ATSQuote">
    <w:name w:val="ATS Quote"/>
    <w:basedOn w:val="Normal"/>
    <w:qFormat/>
    <w:rsid w:val="001B789F"/>
    <w:pPr>
      <w:ind w:left="357"/>
    </w:pPr>
    <w:rPr>
      <w:i/>
      <w:szCs w:val="18"/>
    </w:rPr>
  </w:style>
  <w:style w:type="paragraph" w:customStyle="1" w:styleId="ATSTitle">
    <w:name w:val="ATS Title"/>
    <w:basedOn w:val="Normal"/>
    <w:qFormat/>
    <w:rsid w:val="001B789F"/>
    <w:pPr>
      <w:spacing w:before="360" w:after="360"/>
      <w:contextualSpacing/>
      <w:jc w:val="center"/>
    </w:pPr>
    <w:rPr>
      <w:rFonts w:ascii="Arial" w:hAnsi="Arial"/>
      <w:b/>
      <w:sz w:val="48"/>
    </w:rPr>
  </w:style>
  <w:style w:type="paragraph" w:styleId="BalloonText">
    <w:name w:val="Balloon Text"/>
    <w:basedOn w:val="Normal"/>
    <w:semiHidden/>
    <w:rsid w:val="001B789F"/>
    <w:rPr>
      <w:rFonts w:ascii="Tahoma" w:hAnsi="Tahoma" w:cs="Tahoma"/>
      <w:sz w:val="16"/>
      <w:szCs w:val="16"/>
    </w:rPr>
  </w:style>
  <w:style w:type="character" w:customStyle="1" w:styleId="BodyTextChar">
    <w:name w:val="Body Text Char"/>
    <w:semiHidden/>
    <w:rsid w:val="001B789F"/>
    <w:rPr>
      <w:sz w:val="24"/>
      <w:szCs w:val="22"/>
      <w:lang w:val="fr-FR" w:eastAsia="zh-CN" w:bidi="ar-SA"/>
    </w:rPr>
  </w:style>
  <w:style w:type="character" w:customStyle="1" w:styleId="CharacterStyle1">
    <w:name w:val="Character Style 1"/>
    <w:semiHidden/>
    <w:rsid w:val="001B789F"/>
    <w:rPr>
      <w:sz w:val="22"/>
      <w:szCs w:val="22"/>
    </w:rPr>
  </w:style>
  <w:style w:type="character" w:customStyle="1" w:styleId="descriptions1">
    <w:name w:val="descriptions1"/>
    <w:semiHidden/>
    <w:rsid w:val="001B789F"/>
    <w:rPr>
      <w:rFonts w:ascii="Verdana" w:hAnsi="Verdana" w:hint="default"/>
      <w:b/>
      <w:bCs/>
      <w:i w:val="0"/>
      <w:iCs w:val="0"/>
      <w:caps w:val="0"/>
      <w:smallCaps w:val="0"/>
      <w:color w:val="585858"/>
      <w:sz w:val="12"/>
      <w:szCs w:val="12"/>
    </w:rPr>
  </w:style>
  <w:style w:type="paragraph" w:styleId="DocumentMap">
    <w:name w:val="Document Map"/>
    <w:basedOn w:val="Normal"/>
    <w:semiHidden/>
    <w:rsid w:val="001B789F"/>
    <w:pPr>
      <w:shd w:val="clear" w:color="auto" w:fill="000080"/>
    </w:pPr>
    <w:rPr>
      <w:rFonts w:ascii="Tahoma" w:hAnsi="Tahoma" w:cs="Tahoma"/>
      <w:sz w:val="20"/>
      <w:szCs w:val="20"/>
    </w:rPr>
  </w:style>
  <w:style w:type="character" w:styleId="EndnoteReference">
    <w:name w:val="endnote reference"/>
    <w:semiHidden/>
    <w:rsid w:val="001B789F"/>
    <w:rPr>
      <w:vertAlign w:val="superscript"/>
    </w:rPr>
  </w:style>
  <w:style w:type="paragraph" w:styleId="EndnoteText">
    <w:name w:val="endnote text"/>
    <w:basedOn w:val="Normal"/>
    <w:semiHidden/>
    <w:rsid w:val="001B789F"/>
    <w:rPr>
      <w:sz w:val="20"/>
      <w:szCs w:val="20"/>
    </w:rPr>
  </w:style>
  <w:style w:type="character" w:styleId="FollowedHyperlink">
    <w:name w:val="FollowedHyperlink"/>
    <w:semiHidden/>
    <w:rsid w:val="001B789F"/>
    <w:rPr>
      <w:color w:val="800080"/>
      <w:u w:val="single"/>
    </w:rPr>
  </w:style>
  <w:style w:type="paragraph" w:styleId="Footer">
    <w:name w:val="footer"/>
    <w:basedOn w:val="Normal"/>
    <w:semiHidden/>
    <w:rsid w:val="001B789F"/>
    <w:pPr>
      <w:tabs>
        <w:tab w:val="center" w:pos="4419"/>
        <w:tab w:val="right" w:pos="8838"/>
      </w:tabs>
    </w:pPr>
  </w:style>
  <w:style w:type="character" w:styleId="FootnoteReference">
    <w:name w:val="footnote reference"/>
    <w:rsid w:val="001B789F"/>
    <w:rPr>
      <w:vertAlign w:val="superscript"/>
    </w:rPr>
  </w:style>
  <w:style w:type="paragraph" w:styleId="FootnoteText">
    <w:name w:val="footnote text"/>
    <w:basedOn w:val="Normal"/>
    <w:rsid w:val="001B789F"/>
    <w:rPr>
      <w:szCs w:val="22"/>
    </w:rPr>
  </w:style>
  <w:style w:type="paragraph" w:styleId="Header">
    <w:name w:val="header"/>
    <w:basedOn w:val="Normal"/>
    <w:semiHidden/>
    <w:rsid w:val="001B789F"/>
    <w:pPr>
      <w:tabs>
        <w:tab w:val="center" w:pos="4419"/>
        <w:tab w:val="right" w:pos="8838"/>
      </w:tabs>
    </w:pPr>
  </w:style>
  <w:style w:type="character" w:styleId="Hyperlink">
    <w:name w:val="Hyperlink"/>
    <w:uiPriority w:val="99"/>
    <w:rsid w:val="001B789F"/>
    <w:rPr>
      <w:color w:val="660000"/>
      <w:u w:val="single"/>
    </w:rPr>
  </w:style>
  <w:style w:type="paragraph" w:styleId="NormalWeb">
    <w:name w:val="Normal (Web)"/>
    <w:basedOn w:val="Normal"/>
    <w:semiHidden/>
    <w:rsid w:val="001B789F"/>
    <w:pPr>
      <w:spacing w:before="100" w:beforeAutospacing="1" w:after="100" w:afterAutospacing="1"/>
      <w:jc w:val="both"/>
    </w:pPr>
    <w:rPr>
      <w:sz w:val="24"/>
      <w:lang w:eastAsia="en-AU"/>
    </w:rPr>
  </w:style>
  <w:style w:type="character" w:styleId="PageNumber">
    <w:name w:val="page number"/>
    <w:basedOn w:val="DefaultParagraphFont"/>
    <w:semiHidden/>
    <w:rsid w:val="001B789F"/>
  </w:style>
  <w:style w:type="character" w:styleId="Strong">
    <w:name w:val="Strong"/>
    <w:rsid w:val="001B789F"/>
    <w:rPr>
      <w:b/>
      <w:bCs/>
    </w:rPr>
  </w:style>
  <w:style w:type="table" w:styleId="TableGrid">
    <w:name w:val="Table Grid"/>
    <w:basedOn w:val="TableNormal"/>
    <w:semiHidden/>
    <w:rsid w:val="001B78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ag1">
    <w:name w:val="tag1"/>
    <w:semiHidden/>
    <w:rsid w:val="001B789F"/>
    <w:rPr>
      <w:rFonts w:ascii="Verdana" w:hAnsi="Verdana" w:hint="default"/>
      <w:b w:val="0"/>
      <w:bCs w:val="0"/>
      <w:i w:val="0"/>
      <w:iCs w:val="0"/>
      <w:caps w:val="0"/>
      <w:smallCaps w:val="0"/>
      <w:strike w:val="0"/>
      <w:dstrike w:val="0"/>
      <w:color w:val="585858"/>
      <w:sz w:val="12"/>
      <w:szCs w:val="12"/>
      <w:u w:val="none"/>
      <w:effect w:val="none"/>
    </w:rPr>
  </w:style>
  <w:style w:type="paragraph" w:customStyle="1" w:styleId="TexteFr">
    <w:name w:val="TexteFr"/>
    <w:basedOn w:val="Normal"/>
    <w:semiHidden/>
    <w:rsid w:val="001B789F"/>
    <w:pPr>
      <w:pBdr>
        <w:top w:val="single" w:sz="4" w:space="1" w:color="auto"/>
        <w:left w:val="single" w:sz="4" w:space="4" w:color="auto"/>
        <w:bottom w:val="single" w:sz="4" w:space="1" w:color="auto"/>
        <w:right w:val="single" w:sz="4" w:space="4" w:color="auto"/>
      </w:pBdr>
      <w:shd w:val="pct10" w:color="000000" w:fill="auto"/>
      <w:tabs>
        <w:tab w:val="left" w:pos="1711"/>
        <w:tab w:val="left" w:pos="2209"/>
        <w:tab w:val="left" w:pos="2760"/>
        <w:tab w:val="left" w:pos="5101"/>
        <w:tab w:val="left" w:pos="5886"/>
        <w:tab w:val="left" w:pos="7128"/>
      </w:tabs>
      <w:ind w:left="272" w:hanging="272"/>
      <w:jc w:val="both"/>
    </w:pPr>
    <w:rPr>
      <w:szCs w:val="22"/>
      <w:lang w:eastAsia="en-AU"/>
    </w:rPr>
  </w:style>
  <w:style w:type="paragraph" w:customStyle="1" w:styleId="TextEn">
    <w:name w:val="TextEn"/>
    <w:basedOn w:val="Normal"/>
    <w:semiHidden/>
    <w:rsid w:val="001B789F"/>
    <w:pPr>
      <w:spacing w:after="120"/>
    </w:pPr>
    <w:rPr>
      <w:szCs w:val="22"/>
    </w:rPr>
  </w:style>
  <w:style w:type="paragraph" w:customStyle="1" w:styleId="TextEnSingle">
    <w:name w:val="TextEnSingle"/>
    <w:basedOn w:val="TextEn"/>
    <w:semiHidden/>
    <w:rsid w:val="001B789F"/>
    <w:pPr>
      <w:spacing w:after="0"/>
    </w:pPr>
  </w:style>
  <w:style w:type="paragraph" w:customStyle="1" w:styleId="TextSp">
    <w:name w:val="TextSp"/>
    <w:basedOn w:val="Normal"/>
    <w:semiHidden/>
    <w:rsid w:val="001B789F"/>
    <w:pPr>
      <w:spacing w:after="120"/>
    </w:pPr>
    <w:rPr>
      <w:szCs w:val="22"/>
      <w:lang w:eastAsia="es-ES"/>
    </w:rPr>
  </w:style>
  <w:style w:type="paragraph" w:styleId="TOC1">
    <w:name w:val="toc 1"/>
    <w:basedOn w:val="Normal"/>
    <w:next w:val="Normal"/>
    <w:autoRedefine/>
    <w:semiHidden/>
    <w:rsid w:val="001B789F"/>
    <w:rPr>
      <w:b/>
      <w:bCs/>
      <w:i/>
      <w:iCs/>
      <w:sz w:val="24"/>
    </w:rPr>
  </w:style>
  <w:style w:type="paragraph" w:styleId="TOC2">
    <w:name w:val="toc 2"/>
    <w:basedOn w:val="Normal"/>
    <w:next w:val="Normal"/>
    <w:autoRedefine/>
    <w:semiHidden/>
    <w:rsid w:val="001B789F"/>
    <w:pPr>
      <w:ind w:left="220"/>
    </w:pPr>
    <w:rPr>
      <w:b/>
      <w:bCs/>
      <w:szCs w:val="22"/>
    </w:rPr>
  </w:style>
  <w:style w:type="paragraph" w:styleId="TOC3">
    <w:name w:val="toc 3"/>
    <w:basedOn w:val="Normal"/>
    <w:next w:val="Normal"/>
    <w:autoRedefine/>
    <w:semiHidden/>
    <w:rsid w:val="001B789F"/>
    <w:pPr>
      <w:ind w:left="440"/>
    </w:pPr>
    <w:rPr>
      <w:sz w:val="20"/>
      <w:szCs w:val="20"/>
    </w:rPr>
  </w:style>
  <w:style w:type="paragraph" w:styleId="TOC4">
    <w:name w:val="toc 4"/>
    <w:basedOn w:val="Normal"/>
    <w:next w:val="Normal"/>
    <w:autoRedefine/>
    <w:semiHidden/>
    <w:rsid w:val="001B789F"/>
    <w:pPr>
      <w:ind w:left="660"/>
    </w:pPr>
    <w:rPr>
      <w:sz w:val="20"/>
      <w:szCs w:val="20"/>
    </w:rPr>
  </w:style>
  <w:style w:type="paragraph" w:styleId="TOC5">
    <w:name w:val="toc 5"/>
    <w:basedOn w:val="Normal"/>
    <w:next w:val="Normal"/>
    <w:autoRedefine/>
    <w:semiHidden/>
    <w:rsid w:val="001B789F"/>
    <w:pPr>
      <w:ind w:left="880"/>
    </w:pPr>
    <w:rPr>
      <w:sz w:val="20"/>
      <w:szCs w:val="20"/>
    </w:rPr>
  </w:style>
  <w:style w:type="paragraph" w:styleId="TOC6">
    <w:name w:val="toc 6"/>
    <w:basedOn w:val="Normal"/>
    <w:next w:val="Normal"/>
    <w:autoRedefine/>
    <w:semiHidden/>
    <w:rsid w:val="001B789F"/>
    <w:pPr>
      <w:ind w:left="1100"/>
    </w:pPr>
    <w:rPr>
      <w:sz w:val="20"/>
      <w:szCs w:val="20"/>
    </w:rPr>
  </w:style>
  <w:style w:type="paragraph" w:styleId="TOC7">
    <w:name w:val="toc 7"/>
    <w:basedOn w:val="Normal"/>
    <w:next w:val="Normal"/>
    <w:autoRedefine/>
    <w:semiHidden/>
    <w:rsid w:val="001B789F"/>
    <w:pPr>
      <w:ind w:left="1320"/>
    </w:pPr>
    <w:rPr>
      <w:sz w:val="20"/>
      <w:szCs w:val="20"/>
    </w:rPr>
  </w:style>
  <w:style w:type="paragraph" w:styleId="TOC8">
    <w:name w:val="toc 8"/>
    <w:basedOn w:val="Normal"/>
    <w:next w:val="Normal"/>
    <w:autoRedefine/>
    <w:semiHidden/>
    <w:rsid w:val="001B789F"/>
    <w:pPr>
      <w:ind w:left="1540"/>
    </w:pPr>
    <w:rPr>
      <w:sz w:val="20"/>
      <w:szCs w:val="20"/>
    </w:rPr>
  </w:style>
  <w:style w:type="paragraph" w:styleId="TOC9">
    <w:name w:val="toc 9"/>
    <w:basedOn w:val="Normal"/>
    <w:next w:val="Normal"/>
    <w:autoRedefine/>
    <w:semiHidden/>
    <w:rsid w:val="001B789F"/>
    <w:pPr>
      <w:ind w:left="1760"/>
    </w:pPr>
    <w:rPr>
      <w:sz w:val="20"/>
      <w:szCs w:val="20"/>
    </w:rPr>
  </w:style>
  <w:style w:type="paragraph" w:customStyle="1" w:styleId="TytApp">
    <w:name w:val="Tyt. App."/>
    <w:basedOn w:val="Normal"/>
    <w:autoRedefine/>
    <w:semiHidden/>
    <w:rsid w:val="001B789F"/>
    <w:pPr>
      <w:widowControl w:val="0"/>
      <w:numPr>
        <w:ilvl w:val="12"/>
      </w:numPr>
      <w:tabs>
        <w:tab w:val="left" w:pos="90"/>
        <w:tab w:val="left" w:pos="737"/>
        <w:tab w:val="left" w:pos="2835"/>
      </w:tabs>
      <w:spacing w:before="180" w:after="40" w:line="260" w:lineRule="exact"/>
      <w:jc w:val="center"/>
    </w:pPr>
    <w:rPr>
      <w:b/>
      <w:snapToGrid w:val="0"/>
      <w:color w:val="000000"/>
      <w:sz w:val="24"/>
      <w:szCs w:val="20"/>
      <w:lang w:eastAsia="es-ES"/>
    </w:rPr>
  </w:style>
  <w:style w:type="paragraph" w:styleId="ListParagraph">
    <w:name w:val="List Paragraph"/>
    <w:basedOn w:val="Normal"/>
    <w:uiPriority w:val="34"/>
    <w:rsid w:val="00BF077B"/>
    <w:pPr>
      <w:ind w:left="720"/>
    </w:pPr>
  </w:style>
  <w:style w:type="character" w:styleId="BookTitle">
    <w:name w:val="Book Title"/>
    <w:uiPriority w:val="33"/>
    <w:rsid w:val="00BF077B"/>
    <w:rPr>
      <w:b/>
      <w:bCs/>
      <w:smallCaps/>
      <w:spacing w:val="5"/>
    </w:rPr>
  </w:style>
  <w:style w:type="paragraph" w:customStyle="1" w:styleId="ATSMeasureEmphasis">
    <w:name w:val="ATS Measure Emphasis"/>
    <w:basedOn w:val="Normal"/>
    <w:qFormat/>
    <w:rsid w:val="009E64FE"/>
    <w:pPr>
      <w:spacing w:before="120" w:after="360"/>
    </w:pPr>
    <w:rPr>
      <w:b/>
      <w:sz w:val="24"/>
      <w:lang w:eastAsia="en-GB"/>
    </w:rPr>
  </w:style>
  <w:style w:type="character" w:customStyle="1" w:styleId="ATSHeading2Char">
    <w:name w:val="ATS Heading 2 Char"/>
    <w:link w:val="ATSHeading2"/>
    <w:locked/>
    <w:rsid w:val="00DC2133"/>
    <w:rPr>
      <w:rFonts w:ascii="Arial" w:hAnsi="Arial"/>
      <w:b/>
      <w:i/>
      <w:sz w:val="24"/>
      <w:szCs w:val="22"/>
      <w:lang w:val="fr-FR"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notes.xml.rels><?xml version="1.0" encoding="UTF-8" standalone="yes"?>
<Relationships xmlns="http://schemas.openxmlformats.org/package/2006/relationships"><Relationship Id="rId2" Type="http://schemas.openxmlformats.org/officeDocument/2006/relationships/hyperlink" Target="https://iho.int/uploads/user/About%20IHO/Assembly/Assembly3/DOCUMENTS/PRO%20A3/A3_2023_PRO-3.3_EN_IHO_Resolution_Southern_Ocean_v1.pdf" TargetMode="External"/><Relationship Id="rId1" Type="http://schemas.openxmlformats.org/officeDocument/2006/relationships/hyperlink" Target="https://iho.int/en/representatives-of-98-countries-to-gather-in-monaco-for-the-iho-assembly"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6DC35B-8EDD-4E11-8AC5-813FCBC48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1271</Words>
  <Characters>6991</Characters>
  <Application>Microsoft Office Word</Application>
  <DocSecurity>0</DocSecurity>
  <Lines>58</Lines>
  <Paragraphs>16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(Paper title:)</vt:lpstr>
      <vt:lpstr>(Paper title:)</vt:lpstr>
    </vt:vector>
  </TitlesOfParts>
  <Company>ATS</Company>
  <LinksUpToDate>false</LinksUpToDate>
  <CharactersWithSpaces>8246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dc:title>
  <dc:creator>Jose Luis Agraz</dc:creator>
  <cp:lastModifiedBy>Yves GUILLAM</cp:lastModifiedBy>
  <cp:revision>2</cp:revision>
  <cp:lastPrinted>2008-01-22T18:20:00Z</cp:lastPrinted>
  <dcterms:created xsi:type="dcterms:W3CDTF">2023-06-05T06:41:00Z</dcterms:created>
  <dcterms:modified xsi:type="dcterms:W3CDTF">2023-06-05T06:41:00Z</dcterms:modified>
</cp:coreProperties>
</file>