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5AED" w14:textId="77777777" w:rsidR="001D6DA2" w:rsidRPr="00371F2D" w:rsidRDefault="001D6DA2" w:rsidP="001D6DA2">
      <w:pPr>
        <w:pStyle w:val="Default"/>
        <w:spacing w:before="120" w:after="12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371F2D">
        <w:rPr>
          <w:rFonts w:ascii="Arial" w:hAnsi="Arial" w:cs="Arial"/>
          <w:b/>
          <w:sz w:val="22"/>
          <w:szCs w:val="22"/>
          <w:u w:val="single"/>
        </w:rPr>
        <w:t xml:space="preserve">Annex A to PRO </w:t>
      </w:r>
      <w:r w:rsidRPr="009707D9">
        <w:rPr>
          <w:rFonts w:ascii="Arial" w:hAnsi="Arial" w:cs="Arial"/>
          <w:b/>
          <w:sz w:val="22"/>
          <w:szCs w:val="22"/>
          <w:highlight w:val="yellow"/>
          <w:u w:val="single"/>
        </w:rPr>
        <w:t>3.</w:t>
      </w:r>
      <w:r>
        <w:rPr>
          <w:rFonts w:ascii="Arial" w:hAnsi="Arial" w:cs="Arial"/>
          <w:b/>
          <w:sz w:val="22"/>
          <w:szCs w:val="22"/>
          <w:highlight w:val="yellow"/>
          <w:u w:val="single"/>
        </w:rPr>
        <w:t>Y</w:t>
      </w:r>
    </w:p>
    <w:p w14:paraId="79E4F6AF" w14:textId="77777777" w:rsidR="001D6DA2" w:rsidRPr="00200075" w:rsidRDefault="001D6DA2" w:rsidP="001D6DA2">
      <w:pPr>
        <w:pStyle w:val="Default"/>
        <w:spacing w:before="120" w:after="240"/>
        <w:jc w:val="center"/>
        <w:rPr>
          <w:rFonts w:ascii="Arial" w:hAnsi="Arial" w:cs="Arial"/>
          <w:sz w:val="22"/>
          <w:szCs w:val="22"/>
        </w:rPr>
      </w:pPr>
    </w:p>
    <w:p w14:paraId="5FD88771" w14:textId="77777777" w:rsidR="001D6DA2" w:rsidRPr="005845FA" w:rsidRDefault="001D6DA2" w:rsidP="001D6DA2">
      <w:pPr>
        <w:rPr>
          <w:rFonts w:ascii="Arial" w:hAnsi="Arial" w:cs="Arial"/>
          <w:sz w:val="22"/>
          <w:szCs w:val="22"/>
          <w:lang w:val="en-US"/>
        </w:rPr>
      </w:pPr>
    </w:p>
    <w:p w14:paraId="10D0DB3C" w14:textId="77777777" w:rsidR="001D6DA2" w:rsidRPr="002718A8" w:rsidRDefault="001D6DA2" w:rsidP="001D6DA2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Proposed new IHO Resolution</w:t>
      </w:r>
    </w:p>
    <w:p w14:paraId="377756D4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784AC82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7EE32E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38247A27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A6EEBA7" w14:textId="77777777" w:rsidR="001D6DA2" w:rsidRDefault="001D6DA2" w:rsidP="001D6DA2">
      <w:pPr>
        <w:ind w:right="240"/>
        <w:jc w:val="right"/>
        <w:rPr>
          <w:rFonts w:ascii="Arial" w:hAnsi="Arial" w:cs="Arial"/>
          <w:b/>
        </w:rPr>
      </w:pPr>
    </w:p>
    <w:tbl>
      <w:tblPr>
        <w:tblW w:w="883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8"/>
        <w:gridCol w:w="2410"/>
        <w:gridCol w:w="1276"/>
        <w:gridCol w:w="1134"/>
      </w:tblGrid>
      <w:tr w:rsidR="001D6DA2" w:rsidRPr="00C858D6" w14:paraId="2D8C3359" w14:textId="77777777" w:rsidTr="004E250B">
        <w:trPr>
          <w:trHeight w:hRule="exact" w:val="725"/>
        </w:trPr>
        <w:tc>
          <w:tcPr>
            <w:tcW w:w="4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535C6E" w14:textId="77777777" w:rsidR="001D6DA2" w:rsidRPr="00C858D6" w:rsidRDefault="001D6DA2" w:rsidP="004E25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RECOGNITION OF THE SOUTHERN OCEAN AND CONSEQUENCES ON THE LIMITS OF SOME GLOBAL SEA AREAS</w:t>
            </w:r>
          </w:p>
          <w:p w14:paraId="650DBDFA" w14:textId="77777777" w:rsidR="001D6DA2" w:rsidRPr="00C858D6" w:rsidRDefault="001D6DA2" w:rsidP="004E250B">
            <w:pPr>
              <w:pStyle w:val="TableParagraph"/>
              <w:spacing w:before="4" w:line="230" w:lineRule="exact"/>
              <w:ind w:left="102" w:right="1245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3E0DBD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76A1F767" w14:textId="77777777" w:rsidR="001D6DA2" w:rsidRPr="00C858D6" w:rsidRDefault="001D6DA2" w:rsidP="004E250B">
            <w:pPr>
              <w:pStyle w:val="TableParagraph"/>
              <w:ind w:left="271"/>
              <w:rPr>
                <w:rFonts w:ascii="Arial" w:eastAsia="Arial Narrow" w:hAnsi="Arial" w:cs="Arial"/>
                <w:sz w:val="20"/>
                <w:szCs w:val="20"/>
              </w:rPr>
            </w:pP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highlight w:val="yellow"/>
              </w:rPr>
              <w:t>xx</w:t>
            </w: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2023</w:t>
            </w:r>
            <w:r w:rsidRPr="00C858D6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9D3243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F9E1A52" w14:textId="77777777" w:rsidR="001D6DA2" w:rsidRPr="00C858D6" w:rsidRDefault="001D6DA2" w:rsidP="004E250B">
            <w:pPr>
              <w:pStyle w:val="TableParagraph"/>
              <w:ind w:left="358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A-3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64776E" w14:textId="77777777" w:rsidR="001D6DA2" w:rsidRPr="00C858D6" w:rsidRDefault="001D6DA2" w:rsidP="004E250B">
            <w:pPr>
              <w:pStyle w:val="TableParagraph"/>
              <w:spacing w:before="4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14:paraId="2C46A748" w14:textId="77777777" w:rsidR="001D6DA2" w:rsidRPr="00C858D6" w:rsidRDefault="001D6DA2" w:rsidP="004E250B">
            <w:pPr>
              <w:pStyle w:val="TableParagraph"/>
              <w:ind w:left="335" w:right="334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</w:p>
        </w:tc>
      </w:tr>
    </w:tbl>
    <w:p w14:paraId="769AAE07" w14:textId="77777777" w:rsidR="001D6DA2" w:rsidRDefault="001D6DA2" w:rsidP="001D6DA2">
      <w:pPr>
        <w:ind w:right="240"/>
        <w:rPr>
          <w:rFonts w:ascii="Arial" w:hAnsi="Arial" w:cs="Arial"/>
        </w:rPr>
      </w:pPr>
    </w:p>
    <w:p w14:paraId="27133470" w14:textId="6E7D5701" w:rsidR="001D6DA2" w:rsidRDefault="00531D35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 note of</w:t>
      </w:r>
      <w:r w:rsidRPr="009F63BA">
        <w:rPr>
          <w:rFonts w:ascii="Arial" w:hAnsi="Arial" w:cs="Arial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acknowledged long lasting</w:t>
      </w:r>
      <w:r w:rsidR="00BC1AAB">
        <w:rPr>
          <w:rFonts w:ascii="Arial" w:hAnsi="Arial" w:cs="Arial"/>
          <w:sz w:val="22"/>
          <w:szCs w:val="22"/>
        </w:rPr>
        <w:t xml:space="preserve"> </w:t>
      </w:r>
      <w:r w:rsidR="001D6DA2" w:rsidRPr="009F63BA">
        <w:rPr>
          <w:rFonts w:ascii="Arial" w:hAnsi="Arial" w:cs="Arial"/>
          <w:sz w:val="22"/>
          <w:szCs w:val="22"/>
        </w:rPr>
        <w:t>existence of IBCSO</w:t>
      </w:r>
      <w:r w:rsidR="001D6DA2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1D6DA2" w:rsidRPr="009F63BA">
        <w:rPr>
          <w:rFonts w:ascii="Arial" w:hAnsi="Arial" w:cs="Arial"/>
          <w:sz w:val="22"/>
          <w:szCs w:val="22"/>
        </w:rPr>
        <w:t xml:space="preserve"> - </w:t>
      </w:r>
      <w:r w:rsidR="001D6DA2" w:rsidRPr="009F63BA">
        <w:rPr>
          <w:rFonts w:ascii="Arial" w:hAnsi="Arial" w:cs="Arial"/>
          <w:i/>
          <w:sz w:val="22"/>
          <w:szCs w:val="22"/>
        </w:rPr>
        <w:t>International Bathymetric Chart of the Southern Ocean</w:t>
      </w:r>
      <w:r w:rsidR="001D6DA2" w:rsidRPr="009F63BA">
        <w:rPr>
          <w:rFonts w:ascii="Arial" w:hAnsi="Arial" w:cs="Arial"/>
          <w:sz w:val="22"/>
          <w:szCs w:val="22"/>
        </w:rPr>
        <w:t xml:space="preserve"> </w:t>
      </w:r>
      <w:r w:rsidR="001D6DA2">
        <w:rPr>
          <w:rFonts w:ascii="Arial" w:hAnsi="Arial" w:cs="Arial"/>
          <w:sz w:val="22"/>
          <w:szCs w:val="22"/>
        </w:rPr>
        <w:t>as</w:t>
      </w:r>
      <w:r w:rsidR="001D6DA2" w:rsidRPr="009F63BA">
        <w:rPr>
          <w:rFonts w:ascii="Arial" w:hAnsi="Arial" w:cs="Arial"/>
          <w:sz w:val="22"/>
          <w:szCs w:val="22"/>
        </w:rPr>
        <w:t xml:space="preserve"> a GEBCO regional mapping project</w:t>
      </w:r>
      <w:r w:rsidR="001D6DA2">
        <w:rPr>
          <w:rFonts w:ascii="Arial" w:hAnsi="Arial" w:cs="Arial"/>
          <w:sz w:val="22"/>
          <w:szCs w:val="22"/>
        </w:rPr>
        <w:t xml:space="preserve"> and the wide and generalized usage of </w:t>
      </w:r>
      <w:r w:rsidR="001D6DA2" w:rsidRPr="009F63BA">
        <w:rPr>
          <w:rFonts w:ascii="Arial" w:hAnsi="Arial" w:cs="Arial"/>
          <w:i/>
          <w:sz w:val="22"/>
          <w:szCs w:val="22"/>
        </w:rPr>
        <w:t>Southern Ocean</w:t>
      </w:r>
      <w:r w:rsidR="001D6DA2">
        <w:rPr>
          <w:rFonts w:ascii="Arial" w:hAnsi="Arial" w:cs="Arial"/>
          <w:sz w:val="22"/>
          <w:szCs w:val="22"/>
        </w:rPr>
        <w:t xml:space="preserve"> by the international scientific community and </w:t>
      </w:r>
      <w:proofErr w:type="gramStart"/>
      <w:r w:rsidR="001D6DA2">
        <w:rPr>
          <w:rFonts w:ascii="Arial" w:hAnsi="Arial" w:cs="Arial"/>
          <w:sz w:val="22"/>
          <w:szCs w:val="22"/>
        </w:rPr>
        <w:t>medias</w:t>
      </w:r>
      <w:proofErr w:type="gramEnd"/>
      <w:r w:rsidR="001D6DA2">
        <w:rPr>
          <w:rFonts w:ascii="Arial" w:hAnsi="Arial" w:cs="Arial"/>
          <w:sz w:val="22"/>
          <w:szCs w:val="22"/>
        </w:rPr>
        <w:t xml:space="preserve">, the IHO </w:t>
      </w:r>
      <w:r w:rsidR="001D6DA2" w:rsidRPr="009F63BA">
        <w:rPr>
          <w:rFonts w:ascii="Arial" w:hAnsi="Arial" w:cs="Arial"/>
          <w:sz w:val="22"/>
          <w:szCs w:val="22"/>
        </w:rPr>
        <w:t xml:space="preserve">recognizes the </w:t>
      </w:r>
      <w:r w:rsidR="001D6DA2" w:rsidRPr="009F63BA">
        <w:rPr>
          <w:rFonts w:ascii="Arial" w:hAnsi="Arial" w:cs="Arial"/>
          <w:i/>
          <w:sz w:val="22"/>
          <w:szCs w:val="22"/>
        </w:rPr>
        <w:t>Southern Ocean</w:t>
      </w:r>
      <w:r w:rsidR="001D6DA2" w:rsidRPr="009F63BA">
        <w:rPr>
          <w:rFonts w:ascii="Arial" w:hAnsi="Arial" w:cs="Arial"/>
          <w:sz w:val="22"/>
          <w:szCs w:val="22"/>
        </w:rPr>
        <w:t xml:space="preserve"> as the </w:t>
      </w:r>
      <w:r w:rsidR="001D6DA2">
        <w:rPr>
          <w:rFonts w:ascii="Arial" w:hAnsi="Arial" w:cs="Arial"/>
          <w:sz w:val="22"/>
          <w:szCs w:val="22"/>
        </w:rPr>
        <w:t>global sea</w:t>
      </w:r>
      <w:r w:rsidR="001D6DA2" w:rsidRPr="009F63BA">
        <w:rPr>
          <w:rFonts w:ascii="Arial" w:hAnsi="Arial" w:cs="Arial"/>
          <w:sz w:val="22"/>
          <w:szCs w:val="22"/>
        </w:rPr>
        <w:t xml:space="preserve"> area surrounding the </w:t>
      </w:r>
      <w:r w:rsidR="001D6DA2">
        <w:rPr>
          <w:rFonts w:ascii="Arial" w:hAnsi="Arial" w:cs="Arial"/>
          <w:sz w:val="22"/>
          <w:szCs w:val="22"/>
        </w:rPr>
        <w:t xml:space="preserve">continent of </w:t>
      </w:r>
      <w:r w:rsidR="001D6DA2" w:rsidRPr="009F63BA">
        <w:rPr>
          <w:rFonts w:ascii="Arial" w:hAnsi="Arial" w:cs="Arial"/>
          <w:sz w:val="22"/>
          <w:szCs w:val="22"/>
        </w:rPr>
        <w:t>Antarctic</w:t>
      </w:r>
      <w:r w:rsidR="001D6DA2">
        <w:rPr>
          <w:rFonts w:ascii="Arial" w:hAnsi="Arial" w:cs="Arial"/>
          <w:sz w:val="22"/>
          <w:szCs w:val="22"/>
        </w:rPr>
        <w:t xml:space="preserve">a. </w:t>
      </w:r>
    </w:p>
    <w:p w14:paraId="6EFBAF9B" w14:textId="578F9244" w:rsidR="00BC1AAB" w:rsidRDefault="00BC1AAB" w:rsidP="001D6DA2">
      <w:pPr>
        <w:ind w:right="240"/>
        <w:jc w:val="both"/>
        <w:rPr>
          <w:rFonts w:ascii="Arial" w:hAnsi="Arial" w:cs="Arial"/>
          <w:sz w:val="22"/>
          <w:szCs w:val="22"/>
        </w:rPr>
      </w:pPr>
    </w:p>
    <w:p w14:paraId="4BFD3513" w14:textId="0A13ED7C" w:rsidR="00BC1AAB" w:rsidRDefault="001D6DA2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Despite the seasonal changes of the latitude of the Antarctic Convergence Zone around Antarctica, it is generally agreed that the Northern geographic limit of the </w:t>
      </w:r>
      <w:r w:rsidRPr="00412042">
        <w:rPr>
          <w:rFonts w:ascii="Arial" w:hAnsi="Arial" w:cs="Arial"/>
          <w:i/>
          <w:sz w:val="22"/>
          <w:szCs w:val="22"/>
        </w:rPr>
        <w:t>Southern Ocean</w:t>
      </w:r>
      <w:r>
        <w:rPr>
          <w:rFonts w:ascii="Arial" w:hAnsi="Arial" w:cs="Arial"/>
          <w:sz w:val="22"/>
          <w:szCs w:val="22"/>
        </w:rPr>
        <w:t xml:space="preserve"> is defined by the parallel of Latitude 60°S.</w:t>
      </w:r>
    </w:p>
    <w:p w14:paraId="26CF63C3" w14:textId="4B81C206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32F6B8" w14:textId="67A51FAB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 xml:space="preserve">As a consequence, the Southern limits of the Atlantic, Indian, and Pacific Oceans are defined by the Northern limit of the </w:t>
      </w:r>
      <w:r w:rsidRPr="00C375D8">
        <w:rPr>
          <w:rFonts w:ascii="Arial" w:hAnsi="Arial" w:cs="Arial"/>
          <w:i/>
          <w:sz w:val="22"/>
          <w:szCs w:val="22"/>
        </w:rPr>
        <w:t>Southern Ocean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AU"/>
        </w:rPr>
        <w:t>This limit supersedes those mentioned in Publication S-23</w:t>
      </w:r>
      <w:r>
        <w:rPr>
          <w:rStyle w:val="FootnoteReference"/>
          <w:rFonts w:ascii="Arial" w:hAnsi="Arial" w:cs="Arial"/>
          <w:sz w:val="22"/>
          <w:szCs w:val="22"/>
          <w:lang w:val="en-AU"/>
        </w:rPr>
        <w:footnoteReference w:id="2"/>
      </w:r>
      <w:r>
        <w:rPr>
          <w:rFonts w:ascii="Arial" w:hAnsi="Arial" w:cs="Arial"/>
          <w:sz w:val="22"/>
          <w:szCs w:val="22"/>
          <w:lang w:val="en-AU"/>
        </w:rPr>
        <w:t>, Ed. 3, 1953</w:t>
      </w:r>
      <w:r w:rsidR="00775FF4">
        <w:rPr>
          <w:rFonts w:ascii="Arial" w:hAnsi="Arial" w:cs="Arial"/>
          <w:sz w:val="22"/>
          <w:szCs w:val="22"/>
          <w:lang w:val="en-AU"/>
        </w:rPr>
        <w:t xml:space="preserve"> for the areas concerned</w:t>
      </w:r>
      <w:r>
        <w:rPr>
          <w:rFonts w:ascii="Arial" w:hAnsi="Arial" w:cs="Arial"/>
          <w:sz w:val="22"/>
          <w:szCs w:val="22"/>
          <w:lang w:val="en-AU"/>
        </w:rPr>
        <w:t xml:space="preserve">. </w:t>
      </w:r>
    </w:p>
    <w:p w14:paraId="272FEA9B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</w:p>
    <w:p w14:paraId="7447F63A" w14:textId="3E88944A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However, since </w:t>
      </w:r>
      <w:commentRangeStart w:id="0"/>
      <w:r>
        <w:rPr>
          <w:rFonts w:ascii="Arial" w:hAnsi="Arial" w:cs="Arial"/>
          <w:sz w:val="22"/>
          <w:szCs w:val="22"/>
          <w:lang w:val="en-AU"/>
        </w:rPr>
        <w:t>these limits have no political significance whatsoever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sz w:val="22"/>
          <w:szCs w:val="22"/>
          <w:lang w:val="en-AU"/>
        </w:rPr>
        <w:t xml:space="preserve">, Hydrographic Offices may adopt their own limits as long as </w:t>
      </w:r>
      <w:r w:rsidR="002C3901">
        <w:rPr>
          <w:rFonts w:ascii="Arial" w:hAnsi="Arial" w:cs="Arial"/>
          <w:sz w:val="22"/>
          <w:szCs w:val="22"/>
          <w:lang w:val="en-AU"/>
        </w:rPr>
        <w:t xml:space="preserve">these limits </w:t>
      </w:r>
      <w:r>
        <w:rPr>
          <w:rFonts w:ascii="Arial" w:hAnsi="Arial" w:cs="Arial"/>
          <w:sz w:val="22"/>
          <w:szCs w:val="22"/>
          <w:lang w:val="en-AU"/>
        </w:rPr>
        <w:t xml:space="preserve">remain </w:t>
      </w:r>
      <w:r w:rsidR="002C3901">
        <w:rPr>
          <w:rFonts w:ascii="Arial" w:hAnsi="Arial" w:cs="Arial"/>
          <w:sz w:val="22"/>
          <w:szCs w:val="22"/>
          <w:lang w:val="en-AU"/>
        </w:rPr>
        <w:t xml:space="preserve">technically </w:t>
      </w:r>
      <w:r>
        <w:rPr>
          <w:rFonts w:ascii="Arial" w:hAnsi="Arial" w:cs="Arial"/>
          <w:sz w:val="22"/>
          <w:szCs w:val="22"/>
          <w:lang w:val="en-AU"/>
        </w:rPr>
        <w:t xml:space="preserve">consistent with the data model of the polygonal demarcation of global sea areas (S-130). </w:t>
      </w:r>
      <w:r w:rsidR="00775FF4">
        <w:rPr>
          <w:rFonts w:ascii="Arial" w:hAnsi="Arial" w:cs="Arial"/>
          <w:sz w:val="22"/>
          <w:szCs w:val="22"/>
          <w:lang w:val="en-AU"/>
        </w:rPr>
        <w:t>Current</w:t>
      </w:r>
      <w:r w:rsidR="002C3901">
        <w:rPr>
          <w:rFonts w:ascii="Arial" w:hAnsi="Arial" w:cs="Arial"/>
          <w:sz w:val="22"/>
          <w:szCs w:val="22"/>
          <w:lang w:val="en-AU"/>
        </w:rPr>
        <w:t xml:space="preserve"> national</w:t>
      </w:r>
      <w:r w:rsidR="00775FF4">
        <w:rPr>
          <w:rFonts w:ascii="Arial" w:hAnsi="Arial" w:cs="Arial"/>
          <w:sz w:val="22"/>
          <w:szCs w:val="22"/>
          <w:lang w:val="en-AU"/>
        </w:rPr>
        <w:t xml:space="preserve"> r</w:t>
      </w:r>
      <w:r>
        <w:rPr>
          <w:rFonts w:ascii="Arial" w:hAnsi="Arial" w:cs="Arial"/>
          <w:sz w:val="22"/>
          <w:szCs w:val="22"/>
          <w:lang w:val="en-AU"/>
        </w:rPr>
        <w:t>eservations on the limits of the Atlantic, Indian, Pacific, and Southern Oceans are provided in A</w:t>
      </w:r>
      <w:r w:rsidR="00082797">
        <w:rPr>
          <w:rFonts w:ascii="Arial" w:hAnsi="Arial" w:cs="Arial"/>
          <w:sz w:val="22"/>
          <w:szCs w:val="22"/>
          <w:lang w:val="en-AU"/>
        </w:rPr>
        <w:t>ppendix 1</w:t>
      </w:r>
      <w:r>
        <w:rPr>
          <w:rFonts w:ascii="Arial" w:hAnsi="Arial" w:cs="Arial"/>
          <w:sz w:val="22"/>
          <w:szCs w:val="22"/>
          <w:lang w:val="en-AU"/>
        </w:rPr>
        <w:t>.</w:t>
      </w:r>
    </w:p>
    <w:p w14:paraId="07BDF893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</w:p>
    <w:p w14:paraId="1DF5C94A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--</w:t>
      </w:r>
    </w:p>
    <w:p w14:paraId="7937E3F6" w14:textId="77777777" w:rsidR="001D6DA2" w:rsidRDefault="001D6DA2" w:rsidP="001D6DA2">
      <w:pPr>
        <w:spacing w:after="200" w:line="276" w:lineRule="auto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br w:type="page"/>
      </w:r>
    </w:p>
    <w:p w14:paraId="70314A87" w14:textId="77777777" w:rsidR="001D6DA2" w:rsidRDefault="001D6DA2" w:rsidP="001D6DA2">
      <w:pPr>
        <w:ind w:right="240"/>
        <w:jc w:val="both"/>
        <w:rPr>
          <w:rFonts w:ascii="Arial" w:hAnsi="Arial" w:cs="Arial"/>
          <w:sz w:val="22"/>
          <w:szCs w:val="22"/>
          <w:lang w:val="en-AU"/>
        </w:rPr>
      </w:pPr>
    </w:p>
    <w:p w14:paraId="2E05081E" w14:textId="4E0420AE" w:rsidR="001D6DA2" w:rsidRDefault="001D6DA2" w:rsidP="001D6DA2">
      <w:pPr>
        <w:ind w:right="240"/>
        <w:jc w:val="right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A</w:t>
      </w:r>
      <w:r w:rsidR="00082797">
        <w:rPr>
          <w:rFonts w:ascii="Arial" w:hAnsi="Arial" w:cs="Arial"/>
          <w:sz w:val="22"/>
          <w:szCs w:val="22"/>
          <w:lang w:val="en-AU"/>
        </w:rPr>
        <w:t>ppendix 1</w:t>
      </w:r>
    </w:p>
    <w:p w14:paraId="1215301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51E3410B" w14:textId="77777777" w:rsidR="001D6DA2" w:rsidRPr="00200881" w:rsidRDefault="001D6DA2" w:rsidP="001D6DA2">
      <w:pPr>
        <w:jc w:val="center"/>
        <w:rPr>
          <w:rFonts w:ascii="Arial" w:hAnsi="Arial" w:cs="Arial"/>
          <w:b/>
          <w:sz w:val="22"/>
          <w:szCs w:val="22"/>
          <w:lang w:val="en-AU"/>
        </w:rPr>
      </w:pPr>
      <w:r w:rsidRPr="00200881">
        <w:rPr>
          <w:rFonts w:ascii="Arial" w:hAnsi="Arial" w:cs="Arial"/>
          <w:b/>
          <w:sz w:val="22"/>
          <w:szCs w:val="22"/>
          <w:lang w:val="en-AU"/>
        </w:rPr>
        <w:t>National positions and reservations</w:t>
      </w:r>
      <w:r w:rsidRPr="00200881">
        <w:rPr>
          <w:rFonts w:ascii="Arial" w:hAnsi="Arial" w:cs="Arial"/>
          <w:b/>
          <w:sz w:val="22"/>
          <w:szCs w:val="22"/>
          <w:lang w:val="en-AU"/>
        </w:rPr>
        <w:br/>
        <w:t xml:space="preserve"> on the limits of the Atlantic, Indian, Pacific, and Southern Oceans</w:t>
      </w:r>
    </w:p>
    <w:p w14:paraId="1643168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26C49A47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5F5F7014" w14:textId="77777777" w:rsidR="001D6DA2" w:rsidRPr="00200881" w:rsidRDefault="001D6DA2" w:rsidP="001D6DA2">
      <w:pPr>
        <w:rPr>
          <w:rFonts w:ascii="Arial" w:hAnsi="Arial" w:cs="Arial"/>
          <w:b/>
          <w:sz w:val="22"/>
          <w:szCs w:val="22"/>
          <w:lang w:val="en-AU"/>
        </w:rPr>
      </w:pPr>
      <w:r w:rsidRPr="00200881">
        <w:rPr>
          <w:rFonts w:ascii="Arial" w:hAnsi="Arial" w:cs="Arial"/>
          <w:b/>
          <w:sz w:val="22"/>
          <w:szCs w:val="22"/>
          <w:lang w:val="en-AU"/>
        </w:rPr>
        <w:t>Australia</w:t>
      </w:r>
    </w:p>
    <w:p w14:paraId="6B5BAABF" w14:textId="5D4E0A82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  <w:r w:rsidRPr="00200881">
        <w:rPr>
          <w:rFonts w:ascii="Arial" w:hAnsi="Arial" w:cs="Arial"/>
          <w:sz w:val="22"/>
          <w:szCs w:val="22"/>
          <w:lang w:val="en-AU"/>
        </w:rPr>
        <w:t xml:space="preserve">Australia’s position on the limits of the Southern Ocean and the southern limit of the South Pacific Ocean [and Tasman Sea] and Indian Ocean in accordance with the </w:t>
      </w:r>
      <w:r w:rsidR="00531D35">
        <w:rPr>
          <w:rFonts w:ascii="Arial" w:hAnsi="Arial" w:cs="Arial"/>
          <w:sz w:val="22"/>
          <w:szCs w:val="22"/>
          <w:lang w:val="en-AU"/>
        </w:rPr>
        <w:t xml:space="preserve">[national] </w:t>
      </w:r>
      <w:r w:rsidRPr="00200881">
        <w:rPr>
          <w:rFonts w:ascii="Arial" w:hAnsi="Arial" w:cs="Arial"/>
          <w:sz w:val="22"/>
          <w:szCs w:val="22"/>
          <w:lang w:val="en-AU"/>
        </w:rPr>
        <w:t>ICSM</w:t>
      </w:r>
      <w:r>
        <w:rPr>
          <w:rStyle w:val="FootnoteReference"/>
          <w:rFonts w:ascii="Arial" w:hAnsi="Arial" w:cs="Arial"/>
          <w:sz w:val="22"/>
          <w:szCs w:val="22"/>
          <w:lang w:val="en-AU"/>
        </w:rPr>
        <w:footnoteReference w:id="3"/>
      </w:r>
      <w:r w:rsidRPr="00200881">
        <w:rPr>
          <w:rFonts w:ascii="Arial" w:hAnsi="Arial" w:cs="Arial"/>
          <w:sz w:val="22"/>
          <w:szCs w:val="22"/>
          <w:lang w:val="en-AU"/>
        </w:rPr>
        <w:t xml:space="preserve"> Resolution ROO/11/06 - Limits of Oceans and Seas and Offshore Undersea Features [April 2001].</w:t>
      </w:r>
    </w:p>
    <w:p w14:paraId="36B2486A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7090DB0E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  <w:r w:rsidRPr="00C375D8">
        <w:rPr>
          <w:rFonts w:ascii="Arial" w:hAnsi="Arial" w:cs="Arial"/>
          <w:noProof/>
          <w:sz w:val="22"/>
          <w:szCs w:val="22"/>
          <w:lang w:val="fr-FR" w:eastAsia="fr-FR"/>
        </w:rPr>
        <w:drawing>
          <wp:inline distT="0" distB="0" distL="0" distR="0" wp14:anchorId="682F3709" wp14:editId="765F525F">
            <wp:extent cx="5046980" cy="1783715"/>
            <wp:effectExtent l="0" t="0" r="1270" b="6985"/>
            <wp:docPr id="1" name="Picture 1" descr="C:\Users\ADCS\AppData\Local\Temp\5vKRXPrN2zgROz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CS\AppData\Local\Temp\5vKRXPrN2zgROz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08C0B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579E42C2" w14:textId="77777777" w:rsidR="00CD4B79" w:rsidRDefault="00CD4B79" w:rsidP="001D6DA2">
      <w:pPr>
        <w:rPr>
          <w:rFonts w:ascii="Arial" w:hAnsi="Arial" w:cs="Arial"/>
          <w:sz w:val="22"/>
          <w:szCs w:val="22"/>
          <w:lang w:val="en-AU"/>
        </w:rPr>
      </w:pPr>
      <w:bookmarkStart w:id="1" w:name="_GoBack"/>
      <w:bookmarkEnd w:id="1"/>
    </w:p>
    <w:p w14:paraId="61794175" w14:textId="77777777" w:rsidR="001D6DA2" w:rsidRPr="00200881" w:rsidRDefault="001D6DA2" w:rsidP="001D6DA2">
      <w:pPr>
        <w:rPr>
          <w:rFonts w:ascii="Arial" w:hAnsi="Arial" w:cs="Arial"/>
          <w:b/>
          <w:sz w:val="22"/>
          <w:szCs w:val="22"/>
          <w:lang w:val="en-AU"/>
        </w:rPr>
      </w:pPr>
      <w:r w:rsidRPr="00200881">
        <w:rPr>
          <w:rFonts w:ascii="Arial" w:hAnsi="Arial" w:cs="Arial"/>
          <w:b/>
          <w:sz w:val="22"/>
          <w:szCs w:val="22"/>
          <w:lang w:val="en-AU"/>
        </w:rPr>
        <w:t>United Kingdom</w:t>
      </w:r>
    </w:p>
    <w:p w14:paraId="03D11FF1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08C31AC6" w14:textId="2FFB124E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The</w:t>
      </w:r>
      <w:r w:rsidR="00A03D65">
        <w:rPr>
          <w:rFonts w:ascii="Arial" w:hAnsi="Arial" w:cs="Arial"/>
          <w:sz w:val="22"/>
          <w:szCs w:val="22"/>
          <w:lang w:val="en-AU"/>
        </w:rPr>
        <w:t xml:space="preserve"> UK uses </w:t>
      </w:r>
      <w:r>
        <w:rPr>
          <w:rFonts w:ascii="Arial" w:hAnsi="Arial" w:cs="Arial"/>
          <w:sz w:val="22"/>
          <w:szCs w:val="22"/>
          <w:lang w:val="en-AU"/>
        </w:rPr>
        <w:t xml:space="preserve">the parallel of </w:t>
      </w:r>
      <w:commentRangeStart w:id="2"/>
      <w:r>
        <w:rPr>
          <w:rFonts w:ascii="Arial" w:hAnsi="Arial" w:cs="Arial"/>
          <w:sz w:val="22"/>
          <w:szCs w:val="22"/>
          <w:lang w:val="en-AU"/>
        </w:rPr>
        <w:t>Latitude 55°S</w:t>
      </w:r>
      <w:commentRangeEnd w:id="2"/>
      <w:r>
        <w:rPr>
          <w:rStyle w:val="CommentReference"/>
        </w:rPr>
        <w:commentReference w:id="2"/>
      </w:r>
      <w:r w:rsidR="00A03D65">
        <w:rPr>
          <w:rFonts w:ascii="Arial" w:hAnsi="Arial" w:cs="Arial"/>
          <w:sz w:val="22"/>
          <w:szCs w:val="22"/>
          <w:lang w:val="en-AU"/>
        </w:rPr>
        <w:t xml:space="preserve"> as the Northern limit of the Southern Ocean [and therefore the Southern limit of the Atlantic, Indian, and Pacific Oceans]</w:t>
      </w:r>
      <w:r>
        <w:rPr>
          <w:rFonts w:ascii="Arial" w:hAnsi="Arial" w:cs="Arial"/>
          <w:sz w:val="22"/>
          <w:szCs w:val="22"/>
          <w:lang w:val="en-AU"/>
        </w:rPr>
        <w:t>. (</w:t>
      </w:r>
      <w:r w:rsidRPr="00816688">
        <w:rPr>
          <w:rFonts w:ascii="Arial" w:hAnsi="Arial" w:cs="Arial"/>
          <w:i/>
          <w:sz w:val="22"/>
          <w:szCs w:val="22"/>
          <w:highlight w:val="yellow"/>
          <w:lang w:val="en-AU"/>
        </w:rPr>
        <w:t>to be confirmed</w:t>
      </w:r>
      <w:r>
        <w:rPr>
          <w:rFonts w:ascii="Arial" w:hAnsi="Arial" w:cs="Arial"/>
          <w:sz w:val="22"/>
          <w:szCs w:val="22"/>
          <w:lang w:val="en-AU"/>
        </w:rPr>
        <w:t>)</w:t>
      </w:r>
    </w:p>
    <w:p w14:paraId="3FE6D693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15C2AB88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683B49FC" w14:textId="77777777" w:rsidR="001D6DA2" w:rsidRDefault="001D6DA2" w:rsidP="001D6DA2">
      <w:pPr>
        <w:rPr>
          <w:rFonts w:ascii="Arial" w:hAnsi="Arial" w:cs="Arial"/>
          <w:sz w:val="22"/>
          <w:szCs w:val="22"/>
          <w:lang w:val="en-AU"/>
        </w:rPr>
      </w:pPr>
    </w:p>
    <w:p w14:paraId="4592309F" w14:textId="77777777" w:rsidR="008357E7" w:rsidRDefault="008357E7"/>
    <w:sectPr w:rsidR="008357E7" w:rsidSect="005C10F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Yves GUILLAM" w:date="2022-08-08T12:43:00Z" w:initials="YG">
    <w:p w14:paraId="722B1641" w14:textId="77777777" w:rsidR="001D6DA2" w:rsidRDefault="001D6DA2" w:rsidP="001D6DA2">
      <w:pPr>
        <w:pStyle w:val="CommentText"/>
      </w:pPr>
      <w:r>
        <w:rPr>
          <w:rStyle w:val="CommentReference"/>
        </w:rPr>
        <w:annotationRef/>
      </w:r>
      <w:r>
        <w:t>Same sentence than the one in the Preface of S-23, Ed.3, 1953</w:t>
      </w:r>
    </w:p>
  </w:comment>
  <w:comment w:id="2" w:author="Yves GUILLAM" w:date="2022-08-08T13:37:00Z" w:initials="YG">
    <w:p w14:paraId="7A01AEB3" w14:textId="64F603B6" w:rsidR="001D6DA2" w:rsidRDefault="001D6DA2" w:rsidP="001D6DA2">
      <w:pPr>
        <w:pStyle w:val="CommentText"/>
      </w:pPr>
      <w:r>
        <w:rPr>
          <w:rStyle w:val="CommentReference"/>
        </w:rPr>
        <w:annotationRef/>
      </w:r>
      <w:r>
        <w:t>Source S-23</w:t>
      </w:r>
      <w:r w:rsidR="00082797">
        <w:t>, Ed. 3, 1953</w:t>
      </w:r>
      <w:r>
        <w:t>, page 4.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2B1641" w15:done="0"/>
  <w15:commentEx w15:paraId="7A01AE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E2DA8" w16cex:dateUtc="2022-08-10T11:14:00Z"/>
  <w16cex:commentExtensible w16cex:durableId="269E2B80" w16cex:dateUtc="2022-08-10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BA3A15" w16cid:durableId="269E2B0F"/>
  <w16cid:commentId w16cid:paraId="345313CB" w16cid:durableId="269E2B10"/>
  <w16cid:commentId w16cid:paraId="722B1641" w16cid:durableId="269E2B11"/>
  <w16cid:commentId w16cid:paraId="24BC3543" w16cid:durableId="269E2DA8"/>
  <w16cid:commentId w16cid:paraId="7A01AEB3" w16cid:durableId="269E2B12"/>
  <w16cid:commentId w16cid:paraId="733FA031" w16cid:durableId="269E2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545D" w14:textId="77777777" w:rsidR="00204857" w:rsidRDefault="00204857" w:rsidP="001D6DA2">
      <w:r>
        <w:separator/>
      </w:r>
    </w:p>
  </w:endnote>
  <w:endnote w:type="continuationSeparator" w:id="0">
    <w:p w14:paraId="5ED61FF4" w14:textId="77777777" w:rsidR="00204857" w:rsidRDefault="00204857" w:rsidP="001D6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HPD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4F420" w14:textId="77777777" w:rsidR="00204857" w:rsidRDefault="00204857" w:rsidP="001D6DA2">
      <w:r>
        <w:separator/>
      </w:r>
    </w:p>
  </w:footnote>
  <w:footnote w:type="continuationSeparator" w:id="0">
    <w:p w14:paraId="65D21A25" w14:textId="77777777" w:rsidR="00204857" w:rsidRDefault="00204857" w:rsidP="001D6DA2">
      <w:r>
        <w:continuationSeparator/>
      </w:r>
    </w:p>
  </w:footnote>
  <w:footnote w:id="1">
    <w:p w14:paraId="2E004BDC" w14:textId="77777777" w:rsidR="001D6DA2" w:rsidRDefault="001D6DA2" w:rsidP="001D6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945DC">
          <w:rPr>
            <w:rStyle w:val="Hyperlink"/>
          </w:rPr>
          <w:t>https://ibcso.org/</w:t>
        </w:r>
      </w:hyperlink>
    </w:p>
    <w:p w14:paraId="5C6AF1E4" w14:textId="77777777" w:rsidR="001D6DA2" w:rsidRPr="001D6DA2" w:rsidRDefault="001D6DA2" w:rsidP="001D6DA2">
      <w:pPr>
        <w:pStyle w:val="FootnoteText"/>
      </w:pPr>
    </w:p>
  </w:footnote>
  <w:footnote w:id="2">
    <w:p w14:paraId="0DCEA6CD" w14:textId="77777777" w:rsidR="001D6DA2" w:rsidRPr="00E50980" w:rsidRDefault="001D6DA2" w:rsidP="001D6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50980">
        <w:t>See « The Oceans » on page 5.</w:t>
      </w:r>
    </w:p>
  </w:footnote>
  <w:footnote w:id="3">
    <w:p w14:paraId="4BE1BA53" w14:textId="77777777" w:rsidR="001D6DA2" w:rsidRPr="00200881" w:rsidRDefault="001D6DA2" w:rsidP="001D6D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0881">
        <w:t>Interdepartmental Committee of Surveying and Mapping [ICSM]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B4357" w14:textId="77777777" w:rsidR="002F0BAE" w:rsidRDefault="00204857">
    <w:pPr>
      <w:pStyle w:val="Header"/>
    </w:pPr>
    <w:r>
      <w:rPr>
        <w:noProof/>
      </w:rPr>
      <w:pict w14:anchorId="015C3B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1" o:spid="_x0000_s2050" type="#_x0000_t136" style="position:absolute;margin-left:0;margin-top:0;width:456.8pt;height:182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F6EE" w14:textId="77777777" w:rsidR="002F0BAE" w:rsidRDefault="00204857">
    <w:pPr>
      <w:pStyle w:val="Header"/>
    </w:pPr>
    <w:r>
      <w:rPr>
        <w:noProof/>
      </w:rPr>
      <w:pict w14:anchorId="4A5392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2" o:spid="_x0000_s2051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F028" w14:textId="77777777" w:rsidR="002F0BAE" w:rsidRDefault="00204857">
    <w:pPr>
      <w:pStyle w:val="Header"/>
    </w:pPr>
    <w:r>
      <w:rPr>
        <w:noProof/>
      </w:rPr>
      <w:pict w14:anchorId="032B4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4074890" o:spid="_x0000_s2049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ves GUILLAM">
    <w15:presenceInfo w15:providerId="None" w15:userId="Yves GUILL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A2"/>
    <w:rsid w:val="00082797"/>
    <w:rsid w:val="00165BD6"/>
    <w:rsid w:val="001D6DA2"/>
    <w:rsid w:val="00204857"/>
    <w:rsid w:val="0026657A"/>
    <w:rsid w:val="002C3901"/>
    <w:rsid w:val="003C06B4"/>
    <w:rsid w:val="00531D35"/>
    <w:rsid w:val="00775FF4"/>
    <w:rsid w:val="008357E7"/>
    <w:rsid w:val="008E788C"/>
    <w:rsid w:val="00A03D65"/>
    <w:rsid w:val="00BC1AAB"/>
    <w:rsid w:val="00CD4B79"/>
    <w:rsid w:val="00E85A84"/>
    <w:rsid w:val="00F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0CF036"/>
  <w15:chartTrackingRefBased/>
  <w15:docId w15:val="{47C5B097-7621-4DB3-9C4F-BB24121A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6DA2"/>
    <w:pPr>
      <w:autoSpaceDE w:val="0"/>
      <w:autoSpaceDN w:val="0"/>
      <w:adjustRightInd w:val="0"/>
      <w:spacing w:after="0" w:line="240" w:lineRule="auto"/>
    </w:pPr>
    <w:rPr>
      <w:rFonts w:ascii="FOHPDE+TimesNewRoman" w:eastAsia="Times New Roman" w:hAnsi="FOHPDE+TimesNewRoman" w:cs="FOHPDE+TimesNew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D6D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A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1D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6DA2"/>
    <w:pPr>
      <w:spacing w:after="200" w:line="276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D6DA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DA2"/>
    <w:pPr>
      <w:widowControl w:val="0"/>
      <w:snapToGrid w:val="0"/>
    </w:pPr>
    <w:rPr>
      <w:rFonts w:asciiTheme="minorHAnsi" w:eastAsiaTheme="minorEastAsia" w:hAnsiTheme="minorHAnsi" w:cstheme="minorBidi"/>
      <w:kern w:val="2"/>
      <w:sz w:val="21"/>
      <w:szCs w:val="22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DA2"/>
    <w:rPr>
      <w:rFonts w:eastAsiaTheme="minorEastAsia"/>
      <w:kern w:val="2"/>
      <w:sz w:val="21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D6D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6DA2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D6DA2"/>
    <w:pPr>
      <w:widowControl w:val="0"/>
    </w:pPr>
    <w:rPr>
      <w:rFonts w:ascii="Malgun Gothic" w:eastAsia="Malgun Gothic" w:hAnsi="Malgun Gothic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DA2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D3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D35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bc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IHO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GUILLAM</dc:creator>
  <cp:keywords/>
  <dc:description/>
  <cp:lastModifiedBy>Yves GUILLAM</cp:lastModifiedBy>
  <cp:revision>5</cp:revision>
  <dcterms:created xsi:type="dcterms:W3CDTF">2022-08-11T11:26:00Z</dcterms:created>
  <dcterms:modified xsi:type="dcterms:W3CDTF">2022-08-11T12:17:00Z</dcterms:modified>
</cp:coreProperties>
</file>