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4BBE7" w14:textId="77777777" w:rsidR="00C2257B" w:rsidRPr="00782175" w:rsidRDefault="00C2257B" w:rsidP="00C2257B">
      <w:pPr>
        <w:widowControl w:val="0"/>
        <w:ind w:left="-567" w:right="-531"/>
        <w:jc w:val="center"/>
        <w:rPr>
          <w:b/>
          <w:bCs/>
          <w:spacing w:val="4"/>
          <w:sz w:val="22"/>
          <w:lang w:val="en-US"/>
        </w:rPr>
      </w:pPr>
      <w:r>
        <w:rPr>
          <w:b/>
          <w:bCs/>
          <w:spacing w:val="4"/>
          <w:sz w:val="22"/>
          <w:lang w:val="en-US"/>
        </w:rPr>
        <w:t>12</w:t>
      </w:r>
      <w:r w:rsidRPr="00782175">
        <w:rPr>
          <w:b/>
          <w:bCs/>
          <w:spacing w:val="4"/>
          <w:sz w:val="22"/>
          <w:vertAlign w:val="superscript"/>
          <w:lang w:val="en-US"/>
        </w:rPr>
        <w:t>th</w:t>
      </w:r>
      <w:r w:rsidRPr="00782175">
        <w:rPr>
          <w:b/>
          <w:bCs/>
          <w:spacing w:val="4"/>
          <w:sz w:val="22"/>
          <w:lang w:val="en-US"/>
        </w:rPr>
        <w:t xml:space="preserve"> MEETING OF THE IHO INTER-REGIONAL COORDINATING COMMITTEE</w:t>
      </w:r>
    </w:p>
    <w:p w14:paraId="66B96DCC" w14:textId="77777777" w:rsidR="00C2257B" w:rsidRPr="00782175" w:rsidRDefault="00C2257B" w:rsidP="00C2257B">
      <w:pPr>
        <w:widowControl w:val="0"/>
        <w:jc w:val="center"/>
        <w:rPr>
          <w:b/>
          <w:bCs/>
          <w:spacing w:val="4"/>
          <w:sz w:val="22"/>
          <w:lang w:val="en-US"/>
        </w:rPr>
      </w:pPr>
      <w:r>
        <w:rPr>
          <w:b/>
          <w:bCs/>
          <w:spacing w:val="4"/>
          <w:sz w:val="22"/>
          <w:lang w:val="en-US"/>
        </w:rPr>
        <w:t>IHO-IRCC12</w:t>
      </w:r>
    </w:p>
    <w:p w14:paraId="72B62610" w14:textId="77777777" w:rsidR="00C2257B" w:rsidRPr="0089723D" w:rsidRDefault="00C2257B" w:rsidP="00C2257B">
      <w:pPr>
        <w:widowControl w:val="0"/>
        <w:jc w:val="center"/>
        <w:rPr>
          <w:b/>
          <w:kern w:val="0"/>
          <w:sz w:val="22"/>
          <w:lang w:val="en-US" w:eastAsia="en-US"/>
        </w:rPr>
      </w:pPr>
      <w:r>
        <w:rPr>
          <w:b/>
          <w:kern w:val="0"/>
          <w:sz w:val="22"/>
          <w:lang w:val="en-US" w:eastAsia="en-US"/>
        </w:rPr>
        <w:t>VTC</w:t>
      </w:r>
      <w:r w:rsidRPr="0089723D">
        <w:rPr>
          <w:b/>
          <w:kern w:val="0"/>
          <w:sz w:val="22"/>
          <w:lang w:val="en-US" w:eastAsia="en-US"/>
        </w:rPr>
        <w:t xml:space="preserve">, </w:t>
      </w:r>
      <w:r>
        <w:rPr>
          <w:b/>
          <w:kern w:val="0"/>
          <w:sz w:val="22"/>
          <w:lang w:val="en-US" w:eastAsia="en-US"/>
        </w:rPr>
        <w:t>6</w:t>
      </w:r>
      <w:r w:rsidRPr="0089723D">
        <w:rPr>
          <w:b/>
          <w:kern w:val="0"/>
          <w:sz w:val="22"/>
          <w:lang w:val="en-US" w:eastAsia="en-US"/>
        </w:rPr>
        <w:t>-</w:t>
      </w:r>
      <w:r>
        <w:rPr>
          <w:b/>
          <w:kern w:val="0"/>
          <w:sz w:val="22"/>
          <w:lang w:val="en-US" w:eastAsia="en-US"/>
        </w:rPr>
        <w:t>7</w:t>
      </w:r>
      <w:r w:rsidRPr="0089723D">
        <w:rPr>
          <w:b/>
          <w:kern w:val="0"/>
          <w:sz w:val="22"/>
          <w:lang w:val="en-US" w:eastAsia="en-US"/>
        </w:rPr>
        <w:t xml:space="preserve"> </w:t>
      </w:r>
      <w:r>
        <w:rPr>
          <w:b/>
          <w:kern w:val="0"/>
          <w:sz w:val="22"/>
          <w:lang w:val="en-US" w:eastAsia="en-US"/>
        </w:rPr>
        <w:t xml:space="preserve">October </w:t>
      </w:r>
      <w:r w:rsidRPr="0089723D">
        <w:rPr>
          <w:b/>
          <w:kern w:val="0"/>
          <w:sz w:val="22"/>
          <w:lang w:val="en-US" w:eastAsia="en-US"/>
        </w:rPr>
        <w:t>20</w:t>
      </w:r>
      <w:r>
        <w:rPr>
          <w:b/>
          <w:kern w:val="0"/>
          <w:sz w:val="22"/>
          <w:lang w:val="en-US" w:eastAsia="en-US"/>
        </w:rPr>
        <w:t>20</w:t>
      </w:r>
    </w:p>
    <w:p w14:paraId="013C770E" w14:textId="77777777" w:rsidR="00472424" w:rsidRPr="00782175" w:rsidRDefault="00472424" w:rsidP="000B654D">
      <w:pPr>
        <w:widowControl w:val="0"/>
        <w:tabs>
          <w:tab w:val="left" w:pos="6840"/>
        </w:tabs>
        <w:jc w:val="center"/>
        <w:rPr>
          <w:b/>
          <w:sz w:val="22"/>
          <w:lang w:val="en-US"/>
        </w:rPr>
      </w:pPr>
    </w:p>
    <w:p w14:paraId="07B0023F" w14:textId="77777777" w:rsidR="005330A1" w:rsidRPr="00782175" w:rsidRDefault="00036E2E" w:rsidP="00036E2E">
      <w:pPr>
        <w:widowControl w:val="0"/>
        <w:tabs>
          <w:tab w:val="left" w:pos="6840"/>
        </w:tabs>
        <w:rPr>
          <w:b/>
          <w:sz w:val="22"/>
          <w:lang w:val="en-US"/>
        </w:rPr>
      </w:pPr>
      <w:r w:rsidRPr="00782175">
        <w:rPr>
          <w:b/>
          <w:sz w:val="22"/>
          <w:lang w:val="en-US"/>
        </w:rPr>
        <w:tab/>
      </w:r>
    </w:p>
    <w:p w14:paraId="0652DA2C" w14:textId="77777777" w:rsidR="005330A1" w:rsidRPr="00782175" w:rsidRDefault="00122C00" w:rsidP="005330A1">
      <w:pPr>
        <w:widowControl w:val="0"/>
        <w:jc w:val="center"/>
        <w:rPr>
          <w:b/>
          <w:sz w:val="22"/>
          <w:lang w:val="en-US"/>
        </w:rPr>
      </w:pPr>
      <w:r>
        <w:rPr>
          <w:b/>
          <w:sz w:val="22"/>
          <w:lang w:val="en-US"/>
        </w:rPr>
        <w:t xml:space="preserve">LIST OF </w:t>
      </w:r>
      <w:r w:rsidR="00A123CE">
        <w:rPr>
          <w:b/>
          <w:sz w:val="22"/>
          <w:lang w:val="en-US"/>
        </w:rPr>
        <w:t>DECISIONS</w:t>
      </w:r>
    </w:p>
    <w:p w14:paraId="33887A34" w14:textId="77777777" w:rsidR="005330A1" w:rsidRPr="00782175" w:rsidRDefault="005330A1" w:rsidP="005330A1">
      <w:pPr>
        <w:widowControl w:val="0"/>
        <w:jc w:val="center"/>
        <w:rPr>
          <w:b/>
          <w:sz w:val="22"/>
          <w:lang w:val="en-US"/>
        </w:rPr>
      </w:pPr>
    </w:p>
    <w:p w14:paraId="15C4DF2B" w14:textId="77777777" w:rsidR="00F82CF2" w:rsidRDefault="00F82CF2" w:rsidP="00122C00">
      <w:pPr>
        <w:rPr>
          <w:sz w:val="22"/>
          <w:lang w:val="en-US"/>
        </w:rPr>
      </w:pPr>
    </w:p>
    <w:tbl>
      <w:tblPr>
        <w:tblStyle w:val="TableGrid"/>
        <w:tblW w:w="9634" w:type="dxa"/>
        <w:tblLook w:val="04A0" w:firstRow="1" w:lastRow="0" w:firstColumn="1" w:lastColumn="0" w:noHBand="0" w:noVBand="1"/>
      </w:tblPr>
      <w:tblGrid>
        <w:gridCol w:w="567"/>
        <w:gridCol w:w="938"/>
        <w:gridCol w:w="8129"/>
      </w:tblGrid>
      <w:tr w:rsidR="007133E7" w:rsidRPr="007133E7" w14:paraId="3DAFD4C1" w14:textId="77777777" w:rsidTr="00CE4E9A">
        <w:trPr>
          <w:tblHeader/>
        </w:trPr>
        <w:tc>
          <w:tcPr>
            <w:tcW w:w="567" w:type="dxa"/>
          </w:tcPr>
          <w:p w14:paraId="3CB22E47" w14:textId="77777777" w:rsidR="00F82CF2" w:rsidRPr="007133E7" w:rsidRDefault="00F82CF2" w:rsidP="00004C09">
            <w:pPr>
              <w:widowControl w:val="0"/>
              <w:jc w:val="center"/>
              <w:rPr>
                <w:b/>
                <w:sz w:val="22"/>
                <w:lang w:val="en-US"/>
              </w:rPr>
            </w:pPr>
            <w:r w:rsidRPr="007133E7">
              <w:rPr>
                <w:b/>
                <w:sz w:val="22"/>
                <w:lang w:val="en-US"/>
              </w:rPr>
              <w:t>N.</w:t>
            </w:r>
          </w:p>
        </w:tc>
        <w:tc>
          <w:tcPr>
            <w:tcW w:w="938" w:type="dxa"/>
          </w:tcPr>
          <w:p w14:paraId="1AA63E16" w14:textId="77777777" w:rsidR="00F82CF2" w:rsidRPr="007133E7" w:rsidRDefault="00F82CF2" w:rsidP="00004C09">
            <w:pPr>
              <w:widowControl w:val="0"/>
              <w:jc w:val="center"/>
              <w:rPr>
                <w:b/>
                <w:sz w:val="22"/>
                <w:lang w:val="en-US"/>
              </w:rPr>
            </w:pPr>
            <w:r w:rsidRPr="007133E7">
              <w:rPr>
                <w:b/>
                <w:sz w:val="22"/>
                <w:lang w:val="en-US"/>
              </w:rPr>
              <w:t>Agenda</w:t>
            </w:r>
          </w:p>
        </w:tc>
        <w:tc>
          <w:tcPr>
            <w:tcW w:w="8129" w:type="dxa"/>
          </w:tcPr>
          <w:p w14:paraId="76A89D84" w14:textId="77777777" w:rsidR="00F82CF2" w:rsidRPr="006863B1" w:rsidRDefault="00F82CF2" w:rsidP="00004C09">
            <w:pPr>
              <w:widowControl w:val="0"/>
              <w:jc w:val="center"/>
              <w:rPr>
                <w:b/>
                <w:color w:val="000000" w:themeColor="text1"/>
                <w:sz w:val="22"/>
                <w:lang w:val="en-US"/>
              </w:rPr>
            </w:pPr>
            <w:r w:rsidRPr="006863B1">
              <w:rPr>
                <w:b/>
                <w:color w:val="000000" w:themeColor="text1"/>
                <w:sz w:val="22"/>
                <w:lang w:val="en-US"/>
              </w:rPr>
              <w:t>Decision</w:t>
            </w:r>
          </w:p>
        </w:tc>
      </w:tr>
      <w:tr w:rsidR="00C2257B" w:rsidRPr="007133E7" w14:paraId="0D2010A9" w14:textId="77777777" w:rsidTr="00004C09">
        <w:tc>
          <w:tcPr>
            <w:tcW w:w="567" w:type="dxa"/>
          </w:tcPr>
          <w:p w14:paraId="79325308" w14:textId="0687D02F" w:rsidR="00C2257B" w:rsidRPr="007133E7" w:rsidRDefault="0053058A" w:rsidP="00004C09">
            <w:pPr>
              <w:jc w:val="center"/>
              <w:rPr>
                <w:sz w:val="22"/>
                <w:lang w:val="en-US"/>
              </w:rPr>
            </w:pPr>
            <w:r>
              <w:rPr>
                <w:sz w:val="22"/>
                <w:lang w:val="en-US"/>
              </w:rPr>
              <w:t>01</w:t>
            </w:r>
          </w:p>
        </w:tc>
        <w:tc>
          <w:tcPr>
            <w:tcW w:w="938" w:type="dxa"/>
          </w:tcPr>
          <w:p w14:paraId="1AA8443B" w14:textId="1C073070" w:rsidR="00C2257B" w:rsidRPr="007133E7" w:rsidRDefault="0053058A" w:rsidP="00004C09">
            <w:pPr>
              <w:jc w:val="center"/>
              <w:rPr>
                <w:sz w:val="22"/>
                <w:lang w:val="en-US"/>
              </w:rPr>
            </w:pPr>
            <w:r>
              <w:rPr>
                <w:sz w:val="22"/>
                <w:lang w:val="en-US"/>
              </w:rPr>
              <w:t>3</w:t>
            </w:r>
          </w:p>
        </w:tc>
        <w:tc>
          <w:tcPr>
            <w:tcW w:w="8129" w:type="dxa"/>
          </w:tcPr>
          <w:p w14:paraId="444E5BAF" w14:textId="6AFD444A" w:rsidR="00C2257B" w:rsidRPr="006863B1" w:rsidRDefault="004312A3" w:rsidP="00004C09">
            <w:pPr>
              <w:jc w:val="both"/>
              <w:rPr>
                <w:color w:val="000000" w:themeColor="text1"/>
                <w:sz w:val="22"/>
                <w:lang w:val="en-US"/>
              </w:rPr>
            </w:pPr>
            <w:proofErr w:type="spellStart"/>
            <w:r>
              <w:rPr>
                <w:color w:val="000000" w:themeColor="text1"/>
              </w:rPr>
              <w:t>A</w:t>
            </w:r>
            <w:r w:rsidR="0053058A" w:rsidRPr="006863B1">
              <w:rPr>
                <w:color w:val="000000" w:themeColor="text1"/>
              </w:rPr>
              <w:t>pprove</w:t>
            </w:r>
            <w:r w:rsidR="002A5E23">
              <w:rPr>
                <w:color w:val="000000" w:themeColor="text1"/>
              </w:rPr>
              <w:t>d</w:t>
            </w:r>
            <w:proofErr w:type="spellEnd"/>
            <w:r w:rsidR="0053058A" w:rsidRPr="006863B1">
              <w:rPr>
                <w:color w:val="000000" w:themeColor="text1"/>
              </w:rPr>
              <w:t xml:space="preserve"> the Minutes of IRCC11 (doc. IRCC12-03A).</w:t>
            </w:r>
          </w:p>
        </w:tc>
      </w:tr>
      <w:tr w:rsidR="00C2257B" w:rsidRPr="007133E7" w14:paraId="14C1AACA" w14:textId="77777777" w:rsidTr="00004C09">
        <w:tc>
          <w:tcPr>
            <w:tcW w:w="567" w:type="dxa"/>
          </w:tcPr>
          <w:p w14:paraId="222BCCD5" w14:textId="09CA8CF5" w:rsidR="0053058A" w:rsidRPr="007133E7" w:rsidRDefault="0053058A" w:rsidP="00004C09">
            <w:pPr>
              <w:jc w:val="center"/>
              <w:rPr>
                <w:sz w:val="22"/>
                <w:lang w:val="en-US"/>
              </w:rPr>
            </w:pPr>
            <w:r>
              <w:rPr>
                <w:sz w:val="22"/>
                <w:lang w:val="en-US"/>
              </w:rPr>
              <w:t>02</w:t>
            </w:r>
          </w:p>
        </w:tc>
        <w:tc>
          <w:tcPr>
            <w:tcW w:w="938" w:type="dxa"/>
          </w:tcPr>
          <w:p w14:paraId="055DCC04" w14:textId="132D1BDF" w:rsidR="00C2257B" w:rsidRPr="007133E7" w:rsidRDefault="0053058A" w:rsidP="00004C09">
            <w:pPr>
              <w:jc w:val="center"/>
              <w:rPr>
                <w:sz w:val="22"/>
                <w:lang w:val="en-US"/>
              </w:rPr>
            </w:pPr>
            <w:r>
              <w:rPr>
                <w:sz w:val="22"/>
                <w:lang w:val="en-US"/>
              </w:rPr>
              <w:t>3</w:t>
            </w:r>
          </w:p>
        </w:tc>
        <w:tc>
          <w:tcPr>
            <w:tcW w:w="8129" w:type="dxa"/>
          </w:tcPr>
          <w:p w14:paraId="7C19A2D2" w14:textId="0ADEAF63" w:rsidR="0053058A" w:rsidRPr="006863B1" w:rsidRDefault="004312A3" w:rsidP="0053058A">
            <w:pPr>
              <w:widowControl w:val="0"/>
              <w:tabs>
                <w:tab w:val="left" w:pos="680"/>
              </w:tabs>
              <w:autoSpaceDE w:val="0"/>
              <w:autoSpaceDN w:val="0"/>
              <w:adjustRightInd w:val="0"/>
              <w:spacing w:before="60" w:after="60"/>
              <w:jc w:val="both"/>
              <w:rPr>
                <w:color w:val="000000" w:themeColor="text1"/>
              </w:rPr>
            </w:pPr>
            <w:proofErr w:type="spellStart"/>
            <w:r>
              <w:rPr>
                <w:color w:val="000000" w:themeColor="text1"/>
              </w:rPr>
              <w:t>A</w:t>
            </w:r>
            <w:r w:rsidR="0053058A" w:rsidRPr="006863B1">
              <w:rPr>
                <w:color w:val="000000" w:themeColor="text1"/>
              </w:rPr>
              <w:t>pprove</w:t>
            </w:r>
            <w:r w:rsidR="002A5E23">
              <w:rPr>
                <w:color w:val="000000" w:themeColor="text1"/>
              </w:rPr>
              <w:t>d</w:t>
            </w:r>
            <w:proofErr w:type="spellEnd"/>
            <w:r w:rsidR="0053058A" w:rsidRPr="006863B1">
              <w:rPr>
                <w:color w:val="000000" w:themeColor="text1"/>
              </w:rPr>
              <w:t xml:space="preserve"> the </w:t>
            </w:r>
            <w:proofErr w:type="spellStart"/>
            <w:r w:rsidR="0053058A" w:rsidRPr="006863B1">
              <w:rPr>
                <w:color w:val="000000" w:themeColor="text1"/>
              </w:rPr>
              <w:t>Updated</w:t>
            </w:r>
            <w:proofErr w:type="spellEnd"/>
            <w:r w:rsidR="0053058A" w:rsidRPr="006863B1">
              <w:rPr>
                <w:color w:val="000000" w:themeColor="text1"/>
              </w:rPr>
              <w:t xml:space="preserve"> </w:t>
            </w:r>
            <w:proofErr w:type="spellStart"/>
            <w:r w:rsidR="0053058A" w:rsidRPr="006863B1">
              <w:rPr>
                <w:color w:val="000000" w:themeColor="text1"/>
              </w:rPr>
              <w:t>Status</w:t>
            </w:r>
            <w:proofErr w:type="spellEnd"/>
            <w:r w:rsidR="0053058A" w:rsidRPr="006863B1">
              <w:rPr>
                <w:color w:val="000000" w:themeColor="text1"/>
              </w:rPr>
              <w:t xml:space="preserve"> of the List of Actions </w:t>
            </w:r>
            <w:proofErr w:type="spellStart"/>
            <w:r w:rsidR="0053058A" w:rsidRPr="006863B1">
              <w:rPr>
                <w:color w:val="000000" w:themeColor="text1"/>
              </w:rPr>
              <w:t>from</w:t>
            </w:r>
            <w:proofErr w:type="spellEnd"/>
            <w:r w:rsidR="0053058A" w:rsidRPr="006863B1">
              <w:rPr>
                <w:color w:val="000000" w:themeColor="text1"/>
              </w:rPr>
              <w:t xml:space="preserve"> IRCC11 (doc. IRCC12-03</w:t>
            </w:r>
            <w:r w:rsidR="00185D02">
              <w:rPr>
                <w:color w:val="000000" w:themeColor="text1"/>
              </w:rPr>
              <w:t>B</w:t>
            </w:r>
            <w:r w:rsidR="0053058A" w:rsidRPr="006863B1">
              <w:rPr>
                <w:color w:val="000000" w:themeColor="text1"/>
              </w:rPr>
              <w:t>).</w:t>
            </w:r>
          </w:p>
          <w:p w14:paraId="7A68779D" w14:textId="77777777" w:rsidR="00C2257B" w:rsidRPr="006863B1" w:rsidRDefault="00C2257B" w:rsidP="00004C09">
            <w:pPr>
              <w:jc w:val="both"/>
              <w:rPr>
                <w:color w:val="000000" w:themeColor="text1"/>
                <w:sz w:val="22"/>
                <w:lang w:val="en-US"/>
              </w:rPr>
            </w:pPr>
          </w:p>
        </w:tc>
      </w:tr>
      <w:tr w:rsidR="00C2257B" w:rsidRPr="007133E7" w14:paraId="11BBBB7D" w14:textId="77777777" w:rsidTr="00004C09">
        <w:tc>
          <w:tcPr>
            <w:tcW w:w="567" w:type="dxa"/>
          </w:tcPr>
          <w:p w14:paraId="64C1B875" w14:textId="5C7B4C3C" w:rsidR="00C2257B" w:rsidRPr="007133E7" w:rsidRDefault="0053058A" w:rsidP="00004C09">
            <w:pPr>
              <w:jc w:val="center"/>
              <w:rPr>
                <w:sz w:val="22"/>
                <w:lang w:val="en-US"/>
              </w:rPr>
            </w:pPr>
            <w:r>
              <w:rPr>
                <w:sz w:val="22"/>
                <w:lang w:val="en-US"/>
              </w:rPr>
              <w:t>03</w:t>
            </w:r>
          </w:p>
        </w:tc>
        <w:tc>
          <w:tcPr>
            <w:tcW w:w="938" w:type="dxa"/>
          </w:tcPr>
          <w:p w14:paraId="76CE5FBB" w14:textId="5ADFBF55" w:rsidR="00C2257B" w:rsidRPr="007133E7" w:rsidRDefault="0053058A" w:rsidP="00004C09">
            <w:pPr>
              <w:jc w:val="center"/>
              <w:rPr>
                <w:sz w:val="22"/>
                <w:lang w:val="en-US"/>
              </w:rPr>
            </w:pPr>
            <w:r>
              <w:rPr>
                <w:sz w:val="22"/>
                <w:lang w:val="en-US"/>
              </w:rPr>
              <w:t>3.1</w:t>
            </w:r>
          </w:p>
        </w:tc>
        <w:tc>
          <w:tcPr>
            <w:tcW w:w="8129" w:type="dxa"/>
          </w:tcPr>
          <w:p w14:paraId="44FB73A9" w14:textId="1BFB10E7" w:rsidR="0053058A" w:rsidRPr="006863B1" w:rsidRDefault="004312A3" w:rsidP="0053058A">
            <w:pPr>
              <w:widowControl w:val="0"/>
              <w:tabs>
                <w:tab w:val="left" w:pos="680"/>
              </w:tabs>
              <w:autoSpaceDE w:val="0"/>
              <w:autoSpaceDN w:val="0"/>
              <w:adjustRightInd w:val="0"/>
              <w:rPr>
                <w:color w:val="000000" w:themeColor="text1"/>
                <w:sz w:val="22"/>
                <w:lang w:val="en-US"/>
              </w:rPr>
            </w:pPr>
            <w:r>
              <w:rPr>
                <w:color w:val="000000" w:themeColor="text1"/>
                <w:sz w:val="22"/>
                <w:lang w:val="en-US"/>
              </w:rPr>
              <w:t>N</w:t>
            </w:r>
            <w:r w:rsidR="0053058A" w:rsidRPr="006863B1">
              <w:rPr>
                <w:color w:val="000000" w:themeColor="text1"/>
                <w:sz w:val="22"/>
                <w:lang w:val="en-US"/>
              </w:rPr>
              <w:t>ote</w:t>
            </w:r>
            <w:r w:rsidR="002A5E23">
              <w:rPr>
                <w:color w:val="000000" w:themeColor="text1"/>
                <w:sz w:val="22"/>
                <w:lang w:val="en-US"/>
              </w:rPr>
              <w:t>d</w:t>
            </w:r>
            <w:r w:rsidR="0053058A" w:rsidRPr="006863B1">
              <w:rPr>
                <w:color w:val="000000" w:themeColor="text1"/>
                <w:sz w:val="22"/>
                <w:lang w:val="en-US"/>
              </w:rPr>
              <w:t xml:space="preserve"> the HSSC report (doc. IRCC12-03C).</w:t>
            </w:r>
          </w:p>
          <w:p w14:paraId="663B731B" w14:textId="77777777" w:rsidR="00C2257B" w:rsidRPr="006863B1" w:rsidRDefault="00C2257B" w:rsidP="00004C09">
            <w:pPr>
              <w:jc w:val="both"/>
              <w:rPr>
                <w:color w:val="000000" w:themeColor="text1"/>
                <w:sz w:val="22"/>
                <w:lang w:val="en-US"/>
              </w:rPr>
            </w:pPr>
          </w:p>
        </w:tc>
      </w:tr>
      <w:tr w:rsidR="00C2257B" w:rsidRPr="007133E7" w14:paraId="35299F49" w14:textId="77777777" w:rsidTr="00004C09">
        <w:tc>
          <w:tcPr>
            <w:tcW w:w="567" w:type="dxa"/>
          </w:tcPr>
          <w:p w14:paraId="6A14545E" w14:textId="7BC3348F" w:rsidR="00C2257B" w:rsidRPr="007133E7" w:rsidRDefault="00D6394C" w:rsidP="00004C09">
            <w:pPr>
              <w:jc w:val="center"/>
              <w:rPr>
                <w:sz w:val="22"/>
                <w:lang w:val="en-US"/>
              </w:rPr>
            </w:pPr>
            <w:r>
              <w:rPr>
                <w:sz w:val="22"/>
                <w:lang w:val="en-US"/>
              </w:rPr>
              <w:t>4</w:t>
            </w:r>
          </w:p>
        </w:tc>
        <w:tc>
          <w:tcPr>
            <w:tcW w:w="938" w:type="dxa"/>
          </w:tcPr>
          <w:p w14:paraId="28F58F90" w14:textId="3C78A79E" w:rsidR="00C2257B" w:rsidRPr="007133E7" w:rsidRDefault="00D6394C" w:rsidP="00004C09">
            <w:pPr>
              <w:jc w:val="center"/>
              <w:rPr>
                <w:sz w:val="22"/>
                <w:lang w:val="en-US"/>
              </w:rPr>
            </w:pPr>
            <w:r>
              <w:rPr>
                <w:sz w:val="22"/>
                <w:lang w:val="en-US"/>
              </w:rPr>
              <w:t>4.1</w:t>
            </w:r>
          </w:p>
        </w:tc>
        <w:tc>
          <w:tcPr>
            <w:tcW w:w="8129" w:type="dxa"/>
          </w:tcPr>
          <w:p w14:paraId="6F9152FD" w14:textId="42AD90C3" w:rsidR="00C2257B" w:rsidRPr="006863B1" w:rsidRDefault="004312A3" w:rsidP="00004C09">
            <w:pPr>
              <w:jc w:val="both"/>
              <w:rPr>
                <w:color w:val="000000" w:themeColor="text1"/>
                <w:sz w:val="22"/>
                <w:lang w:val="en-US"/>
              </w:rPr>
            </w:pPr>
            <w:r>
              <w:rPr>
                <w:color w:val="000000" w:themeColor="text1"/>
                <w:sz w:val="22"/>
                <w:lang w:val="en-US"/>
              </w:rPr>
              <w:t>N</w:t>
            </w:r>
            <w:r w:rsidR="00D6394C" w:rsidRPr="006863B1">
              <w:rPr>
                <w:color w:val="000000" w:themeColor="text1"/>
                <w:sz w:val="22"/>
                <w:lang w:val="en-US"/>
              </w:rPr>
              <w:t>ote</w:t>
            </w:r>
            <w:r w:rsidR="002A5E23">
              <w:rPr>
                <w:color w:val="000000" w:themeColor="text1"/>
                <w:sz w:val="22"/>
                <w:lang w:val="en-US"/>
              </w:rPr>
              <w:t>d</w:t>
            </w:r>
            <w:r w:rsidR="00D6394C" w:rsidRPr="006863B1">
              <w:rPr>
                <w:color w:val="000000" w:themeColor="text1"/>
                <w:sz w:val="22"/>
                <w:lang w:val="en-US"/>
              </w:rPr>
              <w:t xml:space="preserve"> the IHO RHC Reports Secretariat Summary (doc. IRCC12-04.1A).</w:t>
            </w:r>
          </w:p>
        </w:tc>
      </w:tr>
      <w:tr w:rsidR="006863B1" w:rsidRPr="007133E7" w14:paraId="11FF64D6" w14:textId="77777777" w:rsidTr="00004C09">
        <w:tc>
          <w:tcPr>
            <w:tcW w:w="567" w:type="dxa"/>
          </w:tcPr>
          <w:p w14:paraId="746C687C" w14:textId="591A2487" w:rsidR="006863B1" w:rsidRDefault="006863B1" w:rsidP="006863B1">
            <w:pPr>
              <w:jc w:val="center"/>
              <w:rPr>
                <w:sz w:val="22"/>
                <w:lang w:val="en-US"/>
              </w:rPr>
            </w:pPr>
            <w:r>
              <w:rPr>
                <w:sz w:val="22"/>
                <w:lang w:val="en-US"/>
              </w:rPr>
              <w:t>5</w:t>
            </w:r>
          </w:p>
        </w:tc>
        <w:tc>
          <w:tcPr>
            <w:tcW w:w="938" w:type="dxa"/>
          </w:tcPr>
          <w:p w14:paraId="7DF14DBC" w14:textId="3A4BB98C" w:rsidR="006863B1" w:rsidRDefault="006863B1" w:rsidP="006863B1">
            <w:pPr>
              <w:jc w:val="center"/>
              <w:rPr>
                <w:sz w:val="22"/>
                <w:lang w:val="en-US"/>
              </w:rPr>
            </w:pPr>
            <w:r>
              <w:rPr>
                <w:sz w:val="22"/>
                <w:lang w:val="en-US"/>
              </w:rPr>
              <w:t>4.1</w:t>
            </w:r>
          </w:p>
        </w:tc>
        <w:tc>
          <w:tcPr>
            <w:tcW w:w="8129" w:type="dxa"/>
          </w:tcPr>
          <w:p w14:paraId="2D402CB2" w14:textId="179767C7" w:rsidR="006863B1" w:rsidRPr="00DC0A5B" w:rsidRDefault="00E3142C" w:rsidP="006863B1">
            <w:pPr>
              <w:jc w:val="both"/>
              <w:rPr>
                <w:color w:val="000000" w:themeColor="text1"/>
                <w:sz w:val="22"/>
                <w:lang w:val="pt-PT"/>
              </w:rPr>
            </w:pPr>
            <w:r>
              <w:rPr>
                <w:color w:val="000000" w:themeColor="text1"/>
                <w:sz w:val="22"/>
                <w:lang w:val="en-US"/>
              </w:rPr>
              <w:t>N</w:t>
            </w:r>
            <w:r w:rsidR="006863B1" w:rsidRPr="006863B1">
              <w:rPr>
                <w:color w:val="000000" w:themeColor="text1"/>
                <w:sz w:val="22"/>
                <w:lang w:val="en-US"/>
              </w:rPr>
              <w:t>ote</w:t>
            </w:r>
            <w:r w:rsidR="002A5E23">
              <w:rPr>
                <w:color w:val="000000" w:themeColor="text1"/>
                <w:sz w:val="22"/>
                <w:lang w:val="en-US"/>
              </w:rPr>
              <w:t>d</w:t>
            </w:r>
            <w:r w:rsidR="006863B1" w:rsidRPr="006863B1">
              <w:rPr>
                <w:color w:val="000000" w:themeColor="text1"/>
                <w:sz w:val="22"/>
                <w:lang w:val="en-US"/>
              </w:rPr>
              <w:t xml:space="preserve"> all the reports from agenda item 1.1 (</w:t>
            </w:r>
            <w:r w:rsidR="006863B1" w:rsidRPr="006863B1">
              <w:rPr>
                <w:i/>
                <w:color w:val="000000" w:themeColor="text1"/>
                <w:sz w:val="22"/>
                <w:lang w:val="en-US"/>
              </w:rPr>
              <w:t xml:space="preserve">docs. </w:t>
            </w:r>
            <w:r w:rsidR="006863B1" w:rsidRPr="00DC0A5B">
              <w:rPr>
                <w:i/>
                <w:color w:val="000000" w:themeColor="text1"/>
                <w:sz w:val="22"/>
                <w:lang w:val="pt-PT"/>
              </w:rPr>
              <w:t xml:space="preserve">IRCC12-04.1B, 04.1C, 04.1D, 04.1E, 04.1F, 04.1G, 04.1H, 04.1I, 04.1J, 04.1K, 04.1L, 04.1M, 04.1N , 04.1O, 04.1P </w:t>
            </w:r>
            <w:r w:rsidR="006863B1" w:rsidRPr="00DC0A5B">
              <w:rPr>
                <w:color w:val="000000" w:themeColor="text1"/>
                <w:sz w:val="22"/>
                <w:lang w:val="pt-PT"/>
              </w:rPr>
              <w:t>and</w:t>
            </w:r>
            <w:r w:rsidR="006863B1" w:rsidRPr="00DC0A5B">
              <w:rPr>
                <w:i/>
                <w:color w:val="000000" w:themeColor="text1"/>
                <w:sz w:val="22"/>
                <w:lang w:val="pt-PT"/>
              </w:rPr>
              <w:t xml:space="preserve"> 04.1Q</w:t>
            </w:r>
            <w:r w:rsidR="006863B1" w:rsidRPr="00DC0A5B">
              <w:rPr>
                <w:color w:val="000000" w:themeColor="text1"/>
                <w:sz w:val="22"/>
                <w:lang w:val="pt-PT"/>
              </w:rPr>
              <w:t>).</w:t>
            </w:r>
          </w:p>
        </w:tc>
      </w:tr>
      <w:tr w:rsidR="006863B1" w:rsidRPr="007133E7" w14:paraId="307C5BBA" w14:textId="77777777" w:rsidTr="00004C09">
        <w:tc>
          <w:tcPr>
            <w:tcW w:w="567" w:type="dxa"/>
          </w:tcPr>
          <w:p w14:paraId="4F3B59B7" w14:textId="7DCF3190" w:rsidR="006863B1" w:rsidRPr="007133E7" w:rsidRDefault="006863B1" w:rsidP="006863B1">
            <w:pPr>
              <w:jc w:val="center"/>
              <w:rPr>
                <w:sz w:val="22"/>
                <w:lang w:val="en-US"/>
              </w:rPr>
            </w:pPr>
            <w:r>
              <w:rPr>
                <w:sz w:val="22"/>
                <w:lang w:val="en-US"/>
              </w:rPr>
              <w:t>6</w:t>
            </w:r>
          </w:p>
        </w:tc>
        <w:tc>
          <w:tcPr>
            <w:tcW w:w="938" w:type="dxa"/>
          </w:tcPr>
          <w:p w14:paraId="32ED9793" w14:textId="452B4A88" w:rsidR="006863B1" w:rsidRPr="007133E7" w:rsidRDefault="006863B1" w:rsidP="006863B1">
            <w:pPr>
              <w:jc w:val="center"/>
              <w:rPr>
                <w:sz w:val="22"/>
                <w:lang w:val="en-US"/>
              </w:rPr>
            </w:pPr>
            <w:r>
              <w:rPr>
                <w:sz w:val="22"/>
                <w:lang w:val="en-US"/>
              </w:rPr>
              <w:t>6.1</w:t>
            </w:r>
          </w:p>
        </w:tc>
        <w:tc>
          <w:tcPr>
            <w:tcW w:w="8129" w:type="dxa"/>
          </w:tcPr>
          <w:p w14:paraId="5FDCB0ED" w14:textId="38D1E233" w:rsidR="006863B1" w:rsidRPr="006863B1" w:rsidRDefault="00AF05D3" w:rsidP="006863B1">
            <w:pPr>
              <w:jc w:val="both"/>
              <w:rPr>
                <w:color w:val="000000" w:themeColor="text1"/>
                <w:sz w:val="22"/>
                <w:lang w:val="en-US"/>
              </w:rPr>
            </w:pPr>
            <w:r>
              <w:rPr>
                <w:color w:val="000000" w:themeColor="text1"/>
                <w:sz w:val="22"/>
                <w:lang w:val="en-US"/>
              </w:rPr>
              <w:t>N</w:t>
            </w:r>
            <w:r w:rsidR="006863B1" w:rsidRPr="006863B1">
              <w:rPr>
                <w:color w:val="000000" w:themeColor="text1"/>
                <w:sz w:val="22"/>
                <w:lang w:val="en-US"/>
              </w:rPr>
              <w:t>ote</w:t>
            </w:r>
            <w:r w:rsidR="002A5E23">
              <w:rPr>
                <w:color w:val="000000" w:themeColor="text1"/>
                <w:sz w:val="22"/>
                <w:lang w:val="en-US"/>
              </w:rPr>
              <w:t>d</w:t>
            </w:r>
            <w:r w:rsidR="006863B1" w:rsidRPr="006863B1">
              <w:rPr>
                <w:color w:val="000000" w:themeColor="text1"/>
                <w:sz w:val="22"/>
                <w:lang w:val="en-US"/>
              </w:rPr>
              <w:t xml:space="preserve"> the CBSC Report (doc. IRCC12-06A).</w:t>
            </w:r>
          </w:p>
        </w:tc>
      </w:tr>
      <w:tr w:rsidR="006863B1" w:rsidRPr="007133E7" w14:paraId="32C64B88" w14:textId="77777777" w:rsidTr="00004C09">
        <w:tc>
          <w:tcPr>
            <w:tcW w:w="567" w:type="dxa"/>
          </w:tcPr>
          <w:p w14:paraId="2DD7AA11" w14:textId="658BA1D2" w:rsidR="006863B1" w:rsidRPr="007133E7" w:rsidRDefault="006863B1" w:rsidP="006863B1">
            <w:pPr>
              <w:jc w:val="center"/>
              <w:rPr>
                <w:sz w:val="22"/>
                <w:lang w:val="en-US"/>
              </w:rPr>
            </w:pPr>
            <w:r>
              <w:rPr>
                <w:sz w:val="22"/>
                <w:lang w:val="en-US"/>
              </w:rPr>
              <w:t>7</w:t>
            </w:r>
          </w:p>
        </w:tc>
        <w:tc>
          <w:tcPr>
            <w:tcW w:w="938" w:type="dxa"/>
          </w:tcPr>
          <w:p w14:paraId="45A40A31" w14:textId="4FA88BE4" w:rsidR="006863B1" w:rsidRPr="007133E7" w:rsidRDefault="006863B1" w:rsidP="006863B1">
            <w:pPr>
              <w:jc w:val="center"/>
              <w:rPr>
                <w:sz w:val="22"/>
                <w:lang w:val="en-US"/>
              </w:rPr>
            </w:pPr>
            <w:r>
              <w:rPr>
                <w:sz w:val="22"/>
                <w:lang w:val="en-US"/>
              </w:rPr>
              <w:t>6.1</w:t>
            </w:r>
          </w:p>
        </w:tc>
        <w:tc>
          <w:tcPr>
            <w:tcW w:w="8129" w:type="dxa"/>
          </w:tcPr>
          <w:p w14:paraId="4127E699" w14:textId="66DF8D5A" w:rsidR="006863B1" w:rsidRPr="006863B1" w:rsidRDefault="00BB70BC" w:rsidP="00BB70BC">
            <w:pPr>
              <w:spacing w:before="100" w:beforeAutospacing="1" w:after="100" w:afterAutospacing="1"/>
              <w:rPr>
                <w:color w:val="000000" w:themeColor="text1"/>
                <w:sz w:val="22"/>
                <w:lang w:val="en-US"/>
              </w:rPr>
            </w:pPr>
            <w:proofErr w:type="spellStart"/>
            <w:r w:rsidRPr="002A3C44">
              <w:rPr>
                <w:rFonts w:eastAsia="Times New Roman"/>
              </w:rPr>
              <w:t>Endorse</w:t>
            </w:r>
            <w:r w:rsidR="002A5E23">
              <w:rPr>
                <w:rFonts w:eastAsia="Times New Roman"/>
              </w:rPr>
              <w:t>d</w:t>
            </w:r>
            <w:proofErr w:type="spellEnd"/>
            <w:r w:rsidRPr="002A3C44">
              <w:rPr>
                <w:rFonts w:eastAsia="Times New Roman"/>
              </w:rPr>
              <w:t xml:space="preserve"> the </w:t>
            </w:r>
            <w:proofErr w:type="spellStart"/>
            <w:r w:rsidRPr="002A3C44">
              <w:rPr>
                <w:rFonts w:eastAsia="Times New Roman"/>
              </w:rPr>
              <w:t>decisions</w:t>
            </w:r>
            <w:proofErr w:type="spellEnd"/>
            <w:r w:rsidRPr="002A3C44">
              <w:rPr>
                <w:rFonts w:eastAsia="Times New Roman"/>
              </w:rPr>
              <w:t xml:space="preserve"> of CBSC18 </w:t>
            </w:r>
            <w:proofErr w:type="spellStart"/>
            <w:r w:rsidRPr="002A3C44">
              <w:rPr>
                <w:rFonts w:eastAsia="Times New Roman"/>
              </w:rPr>
              <w:t>regarding</w:t>
            </w:r>
            <w:proofErr w:type="spellEnd"/>
            <w:r w:rsidRPr="002A3C44">
              <w:rPr>
                <w:rFonts w:eastAsia="Times New Roman"/>
              </w:rPr>
              <w:t xml:space="preserve"> PRO-3.3 and </w:t>
            </w:r>
            <w:proofErr w:type="spellStart"/>
            <w:r w:rsidRPr="002A3C44">
              <w:rPr>
                <w:rFonts w:eastAsia="Times New Roman"/>
              </w:rPr>
              <w:t>include</w:t>
            </w:r>
            <w:proofErr w:type="spellEnd"/>
            <w:r w:rsidRPr="002A3C44">
              <w:rPr>
                <w:rFonts w:eastAsia="Times New Roman"/>
              </w:rPr>
              <w:t xml:space="preserve"> </w:t>
            </w:r>
            <w:proofErr w:type="spellStart"/>
            <w:r w:rsidRPr="002A3C44">
              <w:rPr>
                <w:rFonts w:eastAsia="Times New Roman"/>
              </w:rPr>
              <w:t>them</w:t>
            </w:r>
            <w:proofErr w:type="spellEnd"/>
            <w:r w:rsidRPr="002A3C44">
              <w:rPr>
                <w:rFonts w:eastAsia="Times New Roman"/>
              </w:rPr>
              <w:t xml:space="preserve"> in the IRCC report to A-2.</w:t>
            </w:r>
            <w:r w:rsidRPr="002A3C44">
              <w:rPr>
                <w:color w:val="000000" w:themeColor="text1"/>
                <w:sz w:val="22"/>
                <w:lang w:val="en-US"/>
              </w:rPr>
              <w:t xml:space="preserve"> </w:t>
            </w:r>
            <w:r w:rsidR="006863B1" w:rsidRPr="002A3C44">
              <w:rPr>
                <w:color w:val="000000" w:themeColor="text1"/>
                <w:sz w:val="22"/>
                <w:lang w:val="en-US"/>
              </w:rPr>
              <w:t>(</w:t>
            </w:r>
            <w:r w:rsidR="006863B1" w:rsidRPr="006863B1">
              <w:rPr>
                <w:color w:val="000000" w:themeColor="text1"/>
                <w:sz w:val="22"/>
                <w:lang w:val="en-US"/>
              </w:rPr>
              <w:t>Establishment of an IHO e-Learning Center).</w:t>
            </w:r>
          </w:p>
        </w:tc>
      </w:tr>
      <w:tr w:rsidR="006863B1" w:rsidRPr="007133E7" w14:paraId="40BEA4C0" w14:textId="77777777" w:rsidTr="00004C09">
        <w:tc>
          <w:tcPr>
            <w:tcW w:w="567" w:type="dxa"/>
          </w:tcPr>
          <w:p w14:paraId="76CD087B" w14:textId="002EBBA3" w:rsidR="006863B1" w:rsidRPr="007133E7" w:rsidRDefault="006863B1" w:rsidP="006863B1">
            <w:pPr>
              <w:jc w:val="center"/>
              <w:rPr>
                <w:sz w:val="22"/>
                <w:lang w:val="en-US"/>
              </w:rPr>
            </w:pPr>
            <w:r>
              <w:rPr>
                <w:sz w:val="22"/>
                <w:lang w:val="en-US"/>
              </w:rPr>
              <w:t>8</w:t>
            </w:r>
          </w:p>
        </w:tc>
        <w:tc>
          <w:tcPr>
            <w:tcW w:w="938" w:type="dxa"/>
          </w:tcPr>
          <w:p w14:paraId="32CB48A7" w14:textId="59123DCB" w:rsidR="006863B1" w:rsidRPr="007133E7" w:rsidRDefault="006863B1" w:rsidP="006863B1">
            <w:pPr>
              <w:jc w:val="center"/>
              <w:rPr>
                <w:sz w:val="22"/>
                <w:lang w:val="en-US"/>
              </w:rPr>
            </w:pPr>
            <w:r>
              <w:rPr>
                <w:sz w:val="22"/>
                <w:lang w:val="en-US"/>
              </w:rPr>
              <w:t>6.1</w:t>
            </w:r>
          </w:p>
        </w:tc>
        <w:tc>
          <w:tcPr>
            <w:tcW w:w="8129" w:type="dxa"/>
          </w:tcPr>
          <w:p w14:paraId="3BAEECC9" w14:textId="293E92D5" w:rsidR="006863B1" w:rsidRPr="006863B1" w:rsidRDefault="004312A3" w:rsidP="006863B1">
            <w:pPr>
              <w:widowControl w:val="0"/>
              <w:tabs>
                <w:tab w:val="left" w:pos="680"/>
              </w:tabs>
              <w:autoSpaceDE w:val="0"/>
              <w:autoSpaceDN w:val="0"/>
              <w:adjustRightInd w:val="0"/>
              <w:spacing w:before="60" w:after="60"/>
              <w:rPr>
                <w:color w:val="000000" w:themeColor="text1"/>
                <w:sz w:val="22"/>
                <w:lang w:val="en-US"/>
              </w:rPr>
            </w:pPr>
            <w:r>
              <w:rPr>
                <w:color w:val="000000" w:themeColor="text1"/>
                <w:sz w:val="22"/>
                <w:lang w:val="en-US"/>
              </w:rPr>
              <w:t>N</w:t>
            </w:r>
            <w:r w:rsidR="006863B1" w:rsidRPr="006863B1">
              <w:rPr>
                <w:color w:val="000000" w:themeColor="text1"/>
                <w:sz w:val="22"/>
                <w:lang w:val="en-US"/>
              </w:rPr>
              <w:t>ote</w:t>
            </w:r>
            <w:r w:rsidR="002A5E23">
              <w:rPr>
                <w:color w:val="000000" w:themeColor="text1"/>
                <w:sz w:val="22"/>
                <w:lang w:val="en-US"/>
              </w:rPr>
              <w:t>d</w:t>
            </w:r>
            <w:r w:rsidR="006863B1" w:rsidRPr="006863B1">
              <w:rPr>
                <w:color w:val="000000" w:themeColor="text1"/>
                <w:sz w:val="22"/>
                <w:lang w:val="en-US"/>
              </w:rPr>
              <w:t xml:space="preserve"> the significant effort from CB Coordinators to assess the needs in the region, to identify national and regional projects </w:t>
            </w:r>
            <w:r w:rsidR="00070293">
              <w:rPr>
                <w:color w:val="000000" w:themeColor="text1"/>
                <w:sz w:val="22"/>
                <w:lang w:val="en-US"/>
              </w:rPr>
              <w:t>in</w:t>
            </w:r>
            <w:r w:rsidR="006863B1" w:rsidRPr="006863B1">
              <w:rPr>
                <w:color w:val="000000" w:themeColor="text1"/>
                <w:sz w:val="22"/>
                <w:lang w:val="en-US"/>
              </w:rPr>
              <w:t xml:space="preserve"> contribut</w:t>
            </w:r>
            <w:r w:rsidR="00070293">
              <w:rPr>
                <w:color w:val="000000" w:themeColor="text1"/>
                <w:sz w:val="22"/>
                <w:lang w:val="en-US"/>
              </w:rPr>
              <w:t>ing</w:t>
            </w:r>
            <w:r w:rsidR="006863B1" w:rsidRPr="006863B1">
              <w:rPr>
                <w:color w:val="000000" w:themeColor="text1"/>
                <w:sz w:val="22"/>
                <w:lang w:val="en-US"/>
              </w:rPr>
              <w:t xml:space="preserve"> to the CBWP and coordinat</w:t>
            </w:r>
            <w:r w:rsidR="00070293">
              <w:rPr>
                <w:color w:val="000000" w:themeColor="text1"/>
                <w:sz w:val="22"/>
                <w:lang w:val="en-US"/>
              </w:rPr>
              <w:t>ing</w:t>
            </w:r>
            <w:r w:rsidR="006863B1" w:rsidRPr="006863B1">
              <w:rPr>
                <w:color w:val="000000" w:themeColor="text1"/>
                <w:sz w:val="22"/>
                <w:lang w:val="en-US"/>
              </w:rPr>
              <w:t xml:space="preserve"> the support for countries in need.</w:t>
            </w:r>
          </w:p>
        </w:tc>
      </w:tr>
      <w:tr w:rsidR="006863B1" w:rsidRPr="007133E7" w14:paraId="17BCA02F" w14:textId="77777777" w:rsidTr="00004C09">
        <w:tc>
          <w:tcPr>
            <w:tcW w:w="567" w:type="dxa"/>
          </w:tcPr>
          <w:p w14:paraId="4A324939" w14:textId="217A89A0" w:rsidR="006863B1" w:rsidRPr="007133E7" w:rsidRDefault="006863B1" w:rsidP="006863B1">
            <w:pPr>
              <w:jc w:val="center"/>
              <w:rPr>
                <w:sz w:val="22"/>
                <w:lang w:val="en-US"/>
              </w:rPr>
            </w:pPr>
            <w:r>
              <w:rPr>
                <w:sz w:val="22"/>
                <w:lang w:val="en-US"/>
              </w:rPr>
              <w:t>9</w:t>
            </w:r>
          </w:p>
        </w:tc>
        <w:tc>
          <w:tcPr>
            <w:tcW w:w="938" w:type="dxa"/>
          </w:tcPr>
          <w:p w14:paraId="062FF9BC" w14:textId="5E08BF5E" w:rsidR="006863B1" w:rsidRPr="007133E7" w:rsidRDefault="006863B1" w:rsidP="006863B1">
            <w:pPr>
              <w:jc w:val="center"/>
              <w:rPr>
                <w:sz w:val="22"/>
                <w:lang w:val="en-US"/>
              </w:rPr>
            </w:pPr>
            <w:r>
              <w:rPr>
                <w:sz w:val="22"/>
                <w:lang w:val="en-US"/>
              </w:rPr>
              <w:t>6.2</w:t>
            </w:r>
          </w:p>
        </w:tc>
        <w:tc>
          <w:tcPr>
            <w:tcW w:w="8129" w:type="dxa"/>
          </w:tcPr>
          <w:p w14:paraId="798C5598" w14:textId="4B7D52EA" w:rsidR="006863B1" w:rsidRPr="006863B1" w:rsidRDefault="004312A3" w:rsidP="006863B1">
            <w:pPr>
              <w:jc w:val="both"/>
              <w:rPr>
                <w:color w:val="000000" w:themeColor="text1"/>
                <w:sz w:val="22"/>
                <w:lang w:val="en-US"/>
              </w:rPr>
            </w:pPr>
            <w:r>
              <w:rPr>
                <w:color w:val="000000" w:themeColor="text1"/>
                <w:sz w:val="22"/>
                <w:lang w:val="en-US"/>
              </w:rPr>
              <w:t>N</w:t>
            </w:r>
            <w:r w:rsidR="006863B1" w:rsidRPr="006863B1">
              <w:rPr>
                <w:color w:val="000000" w:themeColor="text1"/>
                <w:sz w:val="22"/>
                <w:lang w:val="en-US"/>
              </w:rPr>
              <w:t>ote</w:t>
            </w:r>
            <w:r w:rsidR="006A3A6E">
              <w:rPr>
                <w:color w:val="000000" w:themeColor="text1"/>
                <w:sz w:val="22"/>
                <w:lang w:val="en-US"/>
              </w:rPr>
              <w:t>d</w:t>
            </w:r>
            <w:r w:rsidR="006863B1" w:rsidRPr="006863B1">
              <w:rPr>
                <w:color w:val="000000" w:themeColor="text1"/>
                <w:sz w:val="22"/>
                <w:lang w:val="en-US"/>
              </w:rPr>
              <w:t xml:space="preserve"> the IBSC Report (doc. IRCC12-06B).</w:t>
            </w:r>
          </w:p>
        </w:tc>
      </w:tr>
      <w:tr w:rsidR="006863B1" w:rsidRPr="007133E7" w14:paraId="4982A531" w14:textId="77777777" w:rsidTr="00004C09">
        <w:tc>
          <w:tcPr>
            <w:tcW w:w="567" w:type="dxa"/>
          </w:tcPr>
          <w:p w14:paraId="4AF8A449" w14:textId="6539792B" w:rsidR="006863B1" w:rsidRPr="007133E7" w:rsidRDefault="006863B1" w:rsidP="006863B1">
            <w:pPr>
              <w:jc w:val="center"/>
              <w:rPr>
                <w:sz w:val="22"/>
                <w:lang w:val="en-US"/>
              </w:rPr>
            </w:pPr>
            <w:r>
              <w:rPr>
                <w:sz w:val="22"/>
                <w:lang w:val="en-US"/>
              </w:rPr>
              <w:t>10</w:t>
            </w:r>
          </w:p>
        </w:tc>
        <w:tc>
          <w:tcPr>
            <w:tcW w:w="938" w:type="dxa"/>
          </w:tcPr>
          <w:p w14:paraId="3FC36687" w14:textId="7BEC861D" w:rsidR="006863B1" w:rsidRPr="007133E7" w:rsidRDefault="006863B1" w:rsidP="006863B1">
            <w:pPr>
              <w:jc w:val="center"/>
              <w:rPr>
                <w:sz w:val="22"/>
                <w:lang w:val="en-US"/>
              </w:rPr>
            </w:pPr>
            <w:r>
              <w:rPr>
                <w:sz w:val="22"/>
                <w:lang w:val="en-US"/>
              </w:rPr>
              <w:t>6.2</w:t>
            </w:r>
          </w:p>
        </w:tc>
        <w:tc>
          <w:tcPr>
            <w:tcW w:w="8129" w:type="dxa"/>
          </w:tcPr>
          <w:p w14:paraId="464112FF" w14:textId="21E2AD22" w:rsidR="006863B1" w:rsidRPr="006863B1" w:rsidRDefault="006863B1" w:rsidP="006863B1">
            <w:pPr>
              <w:jc w:val="both"/>
              <w:rPr>
                <w:color w:val="000000" w:themeColor="text1"/>
                <w:sz w:val="22"/>
                <w:lang w:val="en-US"/>
              </w:rPr>
            </w:pPr>
            <w:r w:rsidRPr="006863B1">
              <w:rPr>
                <w:color w:val="000000" w:themeColor="text1"/>
                <w:sz w:val="22"/>
                <w:lang w:val="en-US"/>
              </w:rPr>
              <w:t>Acknowledge</w:t>
            </w:r>
            <w:r w:rsidR="006A3A6E">
              <w:rPr>
                <w:color w:val="000000" w:themeColor="text1"/>
                <w:sz w:val="22"/>
                <w:lang w:val="en-US"/>
              </w:rPr>
              <w:t>d</w:t>
            </w:r>
            <w:r w:rsidRPr="006863B1">
              <w:rPr>
                <w:color w:val="000000" w:themeColor="text1"/>
                <w:sz w:val="22"/>
                <w:lang w:val="en-US"/>
              </w:rPr>
              <w:t xml:space="preserve"> the work done by the Board in the delivery of the companion document Guidelines for the Implementation of the Standards of Competence for Hydrographic Surveyors and Nautical Cartographers Ed. 2.1.1 (May 2020) and the new document Frequently Asked Questions, Ed. 1.0.0 (March 2020).</w:t>
            </w:r>
          </w:p>
        </w:tc>
      </w:tr>
      <w:tr w:rsidR="006863B1" w:rsidRPr="007133E7" w14:paraId="6033D010" w14:textId="77777777" w:rsidTr="00004C09">
        <w:tc>
          <w:tcPr>
            <w:tcW w:w="567" w:type="dxa"/>
          </w:tcPr>
          <w:p w14:paraId="34081980" w14:textId="021E8DD9" w:rsidR="006863B1" w:rsidRPr="007133E7" w:rsidRDefault="006863B1" w:rsidP="006863B1">
            <w:pPr>
              <w:jc w:val="center"/>
              <w:rPr>
                <w:sz w:val="22"/>
                <w:lang w:val="en-US"/>
              </w:rPr>
            </w:pPr>
            <w:r>
              <w:rPr>
                <w:sz w:val="22"/>
                <w:lang w:val="en-US"/>
              </w:rPr>
              <w:t>11</w:t>
            </w:r>
          </w:p>
        </w:tc>
        <w:tc>
          <w:tcPr>
            <w:tcW w:w="938" w:type="dxa"/>
          </w:tcPr>
          <w:p w14:paraId="35C70F07" w14:textId="448604B3" w:rsidR="006863B1" w:rsidRPr="007133E7" w:rsidRDefault="006863B1" w:rsidP="006863B1">
            <w:pPr>
              <w:jc w:val="center"/>
              <w:rPr>
                <w:sz w:val="22"/>
                <w:lang w:val="en-US"/>
              </w:rPr>
            </w:pPr>
            <w:r>
              <w:rPr>
                <w:sz w:val="22"/>
                <w:lang w:val="en-US"/>
              </w:rPr>
              <w:t>6.2</w:t>
            </w:r>
          </w:p>
        </w:tc>
        <w:tc>
          <w:tcPr>
            <w:tcW w:w="8129" w:type="dxa"/>
          </w:tcPr>
          <w:p w14:paraId="5295321E" w14:textId="1018A7D4" w:rsidR="006863B1" w:rsidRPr="006863B1" w:rsidRDefault="006863B1" w:rsidP="006863B1">
            <w:pPr>
              <w:widowControl w:val="0"/>
              <w:tabs>
                <w:tab w:val="left" w:pos="680"/>
              </w:tabs>
              <w:autoSpaceDE w:val="0"/>
              <w:autoSpaceDN w:val="0"/>
              <w:adjustRightInd w:val="0"/>
              <w:spacing w:before="60" w:after="60"/>
              <w:rPr>
                <w:color w:val="000000" w:themeColor="text1"/>
                <w:sz w:val="22"/>
                <w:lang w:val="en-US"/>
              </w:rPr>
            </w:pPr>
            <w:r w:rsidRPr="006863B1">
              <w:rPr>
                <w:color w:val="000000" w:themeColor="text1"/>
                <w:sz w:val="22"/>
                <w:lang w:val="en-US"/>
              </w:rPr>
              <w:t>Agree</w:t>
            </w:r>
            <w:r w:rsidR="006A3A6E">
              <w:rPr>
                <w:color w:val="000000" w:themeColor="text1"/>
                <w:sz w:val="22"/>
                <w:lang w:val="en-US"/>
              </w:rPr>
              <w:t>d</w:t>
            </w:r>
            <w:r w:rsidRPr="006863B1">
              <w:rPr>
                <w:color w:val="000000" w:themeColor="text1"/>
                <w:sz w:val="22"/>
                <w:lang w:val="en-US"/>
              </w:rPr>
              <w:t xml:space="preserve"> with the IBSC Proposed Work Plan – Q2 2020 to Q2 2021 </w:t>
            </w:r>
            <w:r w:rsidRPr="00213A2A">
              <w:rPr>
                <w:sz w:val="22"/>
                <w:lang w:val="en-US"/>
              </w:rPr>
              <w:t>(</w:t>
            </w:r>
            <w:r w:rsidR="00213A2A" w:rsidRPr="00213A2A">
              <w:rPr>
                <w:sz w:val="22"/>
                <w:lang w:val="en-US"/>
              </w:rPr>
              <w:t xml:space="preserve">IRCC12-06B </w:t>
            </w:r>
            <w:r w:rsidRPr="006863B1">
              <w:rPr>
                <w:color w:val="000000" w:themeColor="text1"/>
                <w:sz w:val="22"/>
                <w:lang w:val="en-US"/>
              </w:rPr>
              <w:t>Annex B).</w:t>
            </w:r>
          </w:p>
          <w:p w14:paraId="30985CFB" w14:textId="77777777" w:rsidR="006863B1" w:rsidRPr="006863B1" w:rsidRDefault="006863B1" w:rsidP="006863B1">
            <w:pPr>
              <w:jc w:val="both"/>
              <w:rPr>
                <w:color w:val="000000" w:themeColor="text1"/>
                <w:sz w:val="22"/>
                <w:lang w:val="en-US"/>
              </w:rPr>
            </w:pPr>
          </w:p>
        </w:tc>
      </w:tr>
      <w:tr w:rsidR="006863B1" w:rsidRPr="007133E7" w14:paraId="71D3383D" w14:textId="77777777" w:rsidTr="00004C09">
        <w:tc>
          <w:tcPr>
            <w:tcW w:w="567" w:type="dxa"/>
          </w:tcPr>
          <w:p w14:paraId="3EC1EF92" w14:textId="1B397D65" w:rsidR="006863B1" w:rsidRPr="007133E7" w:rsidRDefault="006863B1" w:rsidP="006863B1">
            <w:pPr>
              <w:jc w:val="center"/>
              <w:rPr>
                <w:sz w:val="22"/>
                <w:lang w:val="en-US"/>
              </w:rPr>
            </w:pPr>
            <w:r>
              <w:rPr>
                <w:sz w:val="22"/>
                <w:lang w:val="en-US"/>
              </w:rPr>
              <w:t>12</w:t>
            </w:r>
          </w:p>
        </w:tc>
        <w:tc>
          <w:tcPr>
            <w:tcW w:w="938" w:type="dxa"/>
          </w:tcPr>
          <w:p w14:paraId="31109440" w14:textId="6D301A07" w:rsidR="006863B1" w:rsidRPr="007133E7" w:rsidRDefault="006863B1" w:rsidP="006863B1">
            <w:pPr>
              <w:jc w:val="center"/>
              <w:rPr>
                <w:sz w:val="22"/>
                <w:lang w:val="en-US"/>
              </w:rPr>
            </w:pPr>
            <w:r>
              <w:rPr>
                <w:sz w:val="22"/>
                <w:lang w:val="en-US"/>
              </w:rPr>
              <w:t>6.3</w:t>
            </w:r>
          </w:p>
        </w:tc>
        <w:tc>
          <w:tcPr>
            <w:tcW w:w="8129" w:type="dxa"/>
          </w:tcPr>
          <w:p w14:paraId="0F831472" w14:textId="5A204CF6" w:rsidR="006863B1" w:rsidRPr="00DC0A5B" w:rsidRDefault="004312A3" w:rsidP="006863B1">
            <w:pPr>
              <w:widowControl w:val="0"/>
              <w:tabs>
                <w:tab w:val="left" w:pos="680"/>
              </w:tabs>
              <w:autoSpaceDE w:val="0"/>
              <w:autoSpaceDN w:val="0"/>
              <w:adjustRightInd w:val="0"/>
              <w:spacing w:before="60" w:after="60"/>
              <w:rPr>
                <w:color w:val="000000" w:themeColor="text1"/>
                <w:sz w:val="22"/>
                <w:lang w:val="en-US"/>
              </w:rPr>
            </w:pPr>
            <w:r w:rsidRPr="00DC0A5B">
              <w:rPr>
                <w:color w:val="000000" w:themeColor="text1"/>
                <w:sz w:val="22"/>
                <w:lang w:val="en-US"/>
              </w:rPr>
              <w:t>N</w:t>
            </w:r>
            <w:r w:rsidR="006863B1" w:rsidRPr="00DC0A5B">
              <w:rPr>
                <w:color w:val="000000" w:themeColor="text1"/>
                <w:sz w:val="22"/>
                <w:lang w:val="en-US"/>
              </w:rPr>
              <w:t>ote</w:t>
            </w:r>
            <w:r w:rsidR="006A3A6E">
              <w:rPr>
                <w:color w:val="000000" w:themeColor="text1"/>
                <w:sz w:val="22"/>
                <w:lang w:val="en-US"/>
              </w:rPr>
              <w:t>d</w:t>
            </w:r>
            <w:r w:rsidR="006863B1" w:rsidRPr="00DC0A5B">
              <w:rPr>
                <w:color w:val="000000" w:themeColor="text1"/>
                <w:sz w:val="22"/>
                <w:lang w:val="en-US"/>
              </w:rPr>
              <w:t xml:space="preserve"> the progress made by the CBSC, e-Learning Project Team, and </w:t>
            </w:r>
            <w:proofErr w:type="spellStart"/>
            <w:r w:rsidR="006863B1" w:rsidRPr="00DC0A5B">
              <w:rPr>
                <w:color w:val="000000" w:themeColor="text1"/>
                <w:sz w:val="22"/>
                <w:lang w:val="en-US"/>
              </w:rPr>
              <w:t>R</w:t>
            </w:r>
            <w:r w:rsidR="00CF1375">
              <w:rPr>
                <w:color w:val="000000" w:themeColor="text1"/>
                <w:sz w:val="22"/>
                <w:lang w:val="en-US"/>
              </w:rPr>
              <w:t>o</w:t>
            </w:r>
            <w:r w:rsidR="006863B1" w:rsidRPr="00DC0A5B">
              <w:rPr>
                <w:color w:val="000000" w:themeColor="text1"/>
                <w:sz w:val="22"/>
                <w:lang w:val="en-US"/>
              </w:rPr>
              <w:t>K</w:t>
            </w:r>
            <w:proofErr w:type="spellEnd"/>
            <w:r w:rsidR="006863B1" w:rsidRPr="00DC0A5B">
              <w:rPr>
                <w:color w:val="000000" w:themeColor="text1"/>
                <w:sz w:val="22"/>
                <w:lang w:val="en-US"/>
              </w:rPr>
              <w:t xml:space="preserve">. </w:t>
            </w:r>
          </w:p>
          <w:p w14:paraId="6414176A" w14:textId="77777777" w:rsidR="006863B1" w:rsidRPr="006863B1" w:rsidRDefault="006863B1" w:rsidP="006863B1">
            <w:pPr>
              <w:jc w:val="both"/>
              <w:rPr>
                <w:color w:val="000000" w:themeColor="text1"/>
                <w:sz w:val="22"/>
                <w:lang w:val="en-US"/>
              </w:rPr>
            </w:pPr>
          </w:p>
        </w:tc>
      </w:tr>
      <w:tr w:rsidR="006863B1" w:rsidRPr="007133E7" w14:paraId="106B5555" w14:textId="77777777" w:rsidTr="00004C09">
        <w:tc>
          <w:tcPr>
            <w:tcW w:w="567" w:type="dxa"/>
          </w:tcPr>
          <w:p w14:paraId="6BD4FEAC" w14:textId="2BCD35DF" w:rsidR="006863B1" w:rsidRPr="007133E7" w:rsidRDefault="006863B1" w:rsidP="006863B1">
            <w:pPr>
              <w:jc w:val="center"/>
              <w:rPr>
                <w:sz w:val="22"/>
                <w:lang w:val="en-US"/>
              </w:rPr>
            </w:pPr>
            <w:r>
              <w:rPr>
                <w:sz w:val="22"/>
                <w:lang w:val="en-US"/>
              </w:rPr>
              <w:t>13</w:t>
            </w:r>
          </w:p>
        </w:tc>
        <w:tc>
          <w:tcPr>
            <w:tcW w:w="938" w:type="dxa"/>
          </w:tcPr>
          <w:p w14:paraId="653AF7DB" w14:textId="424337A5" w:rsidR="006863B1" w:rsidRPr="007133E7" w:rsidRDefault="006863B1" w:rsidP="006863B1">
            <w:pPr>
              <w:jc w:val="center"/>
              <w:rPr>
                <w:sz w:val="22"/>
                <w:lang w:val="en-US"/>
              </w:rPr>
            </w:pPr>
            <w:r>
              <w:rPr>
                <w:sz w:val="22"/>
                <w:lang w:val="en-US"/>
              </w:rPr>
              <w:t>6.3</w:t>
            </w:r>
          </w:p>
        </w:tc>
        <w:tc>
          <w:tcPr>
            <w:tcW w:w="8129" w:type="dxa"/>
          </w:tcPr>
          <w:p w14:paraId="54A0C470" w14:textId="2DF97C17" w:rsidR="006863B1" w:rsidRPr="00DC0A5B" w:rsidRDefault="006863B1" w:rsidP="006863B1">
            <w:pPr>
              <w:widowControl w:val="0"/>
              <w:tabs>
                <w:tab w:val="left" w:pos="680"/>
              </w:tabs>
              <w:autoSpaceDE w:val="0"/>
              <w:autoSpaceDN w:val="0"/>
              <w:adjustRightInd w:val="0"/>
              <w:spacing w:before="60" w:after="60"/>
              <w:rPr>
                <w:color w:val="000000" w:themeColor="text1"/>
                <w:sz w:val="22"/>
                <w:lang w:val="en-US"/>
              </w:rPr>
            </w:pPr>
            <w:r w:rsidRPr="00DC0A5B">
              <w:rPr>
                <w:color w:val="000000" w:themeColor="text1"/>
                <w:sz w:val="22"/>
                <w:lang w:val="en-US"/>
              </w:rPr>
              <w:t>Support</w:t>
            </w:r>
            <w:r w:rsidR="006A3A6E">
              <w:rPr>
                <w:color w:val="000000" w:themeColor="text1"/>
                <w:sz w:val="22"/>
                <w:lang w:val="en-US"/>
              </w:rPr>
              <w:t>ed</w:t>
            </w:r>
            <w:r w:rsidRPr="00DC0A5B">
              <w:rPr>
                <w:color w:val="000000" w:themeColor="text1"/>
                <w:sz w:val="22"/>
                <w:lang w:val="en-US"/>
              </w:rPr>
              <w:t xml:space="preserve"> the e-Learning Project Team in establishing the IHO e-Learning Center and developing an e-Learning guideline in cooperation with </w:t>
            </w:r>
            <w:proofErr w:type="spellStart"/>
            <w:r w:rsidRPr="00DC0A5B">
              <w:rPr>
                <w:color w:val="000000" w:themeColor="text1"/>
                <w:sz w:val="22"/>
                <w:lang w:val="en-US"/>
              </w:rPr>
              <w:t>R</w:t>
            </w:r>
            <w:r w:rsidR="00CF1375">
              <w:rPr>
                <w:color w:val="000000" w:themeColor="text1"/>
                <w:sz w:val="22"/>
                <w:lang w:val="en-US"/>
              </w:rPr>
              <w:t>o</w:t>
            </w:r>
            <w:r w:rsidRPr="00DC0A5B">
              <w:rPr>
                <w:color w:val="000000" w:themeColor="text1"/>
                <w:sz w:val="22"/>
                <w:lang w:val="en-US"/>
              </w:rPr>
              <w:t>K</w:t>
            </w:r>
            <w:proofErr w:type="spellEnd"/>
            <w:r w:rsidRPr="00DC0A5B">
              <w:rPr>
                <w:color w:val="000000" w:themeColor="text1"/>
                <w:sz w:val="22"/>
                <w:lang w:val="en-US"/>
              </w:rPr>
              <w:t xml:space="preserve">. </w:t>
            </w:r>
          </w:p>
          <w:p w14:paraId="224371A4" w14:textId="77777777" w:rsidR="006863B1" w:rsidRPr="006863B1" w:rsidRDefault="006863B1" w:rsidP="006863B1">
            <w:pPr>
              <w:jc w:val="both"/>
              <w:rPr>
                <w:color w:val="000000" w:themeColor="text1"/>
                <w:sz w:val="22"/>
                <w:lang w:val="en-US"/>
              </w:rPr>
            </w:pPr>
          </w:p>
        </w:tc>
      </w:tr>
      <w:tr w:rsidR="006863B1" w:rsidRPr="007133E7" w14:paraId="0033E8DE" w14:textId="77777777" w:rsidTr="00004C09">
        <w:tc>
          <w:tcPr>
            <w:tcW w:w="567" w:type="dxa"/>
          </w:tcPr>
          <w:p w14:paraId="00B54C90" w14:textId="4490D931" w:rsidR="006863B1" w:rsidRPr="007133E7" w:rsidRDefault="006863B1" w:rsidP="006863B1">
            <w:pPr>
              <w:jc w:val="center"/>
              <w:rPr>
                <w:sz w:val="22"/>
                <w:lang w:val="en-US"/>
              </w:rPr>
            </w:pPr>
            <w:r>
              <w:rPr>
                <w:sz w:val="22"/>
                <w:lang w:val="en-US"/>
              </w:rPr>
              <w:t>14</w:t>
            </w:r>
          </w:p>
        </w:tc>
        <w:tc>
          <w:tcPr>
            <w:tcW w:w="938" w:type="dxa"/>
          </w:tcPr>
          <w:p w14:paraId="4646EA02" w14:textId="775823A9" w:rsidR="006863B1" w:rsidRPr="007133E7" w:rsidRDefault="006863B1" w:rsidP="006863B1">
            <w:pPr>
              <w:jc w:val="center"/>
              <w:rPr>
                <w:sz w:val="22"/>
                <w:lang w:val="en-US"/>
              </w:rPr>
            </w:pPr>
            <w:r>
              <w:rPr>
                <w:sz w:val="22"/>
                <w:lang w:val="en-US"/>
              </w:rPr>
              <w:t>6.4</w:t>
            </w:r>
          </w:p>
        </w:tc>
        <w:tc>
          <w:tcPr>
            <w:tcW w:w="8129" w:type="dxa"/>
          </w:tcPr>
          <w:p w14:paraId="766A4FC0" w14:textId="7852664F" w:rsidR="006863B1" w:rsidRPr="006863B1" w:rsidRDefault="006863B1" w:rsidP="006863B1">
            <w:pPr>
              <w:widowControl w:val="0"/>
              <w:tabs>
                <w:tab w:val="left" w:pos="680"/>
              </w:tabs>
              <w:autoSpaceDE w:val="0"/>
              <w:autoSpaceDN w:val="0"/>
              <w:adjustRightInd w:val="0"/>
              <w:spacing w:before="60" w:after="60"/>
              <w:rPr>
                <w:color w:val="000000" w:themeColor="text1"/>
                <w:sz w:val="22"/>
                <w:lang w:val="en-US"/>
              </w:rPr>
            </w:pPr>
            <w:r w:rsidRPr="00DC0A5B">
              <w:rPr>
                <w:color w:val="000000" w:themeColor="text1"/>
                <w:sz w:val="22"/>
                <w:lang w:val="en-US"/>
              </w:rPr>
              <w:t>Support</w:t>
            </w:r>
            <w:r w:rsidR="006A3A6E">
              <w:rPr>
                <w:color w:val="000000" w:themeColor="text1"/>
                <w:sz w:val="22"/>
                <w:lang w:val="en-US"/>
              </w:rPr>
              <w:t>ed</w:t>
            </w:r>
            <w:r w:rsidRPr="00DC0A5B">
              <w:rPr>
                <w:color w:val="000000" w:themeColor="text1"/>
                <w:sz w:val="22"/>
                <w:lang w:val="en-US"/>
              </w:rPr>
              <w:t xml:space="preserve"> the adoption of this new work item</w:t>
            </w:r>
            <w:r w:rsidR="004312A3" w:rsidRPr="00DC0A5B">
              <w:rPr>
                <w:color w:val="000000" w:themeColor="text1"/>
                <w:sz w:val="22"/>
                <w:lang w:val="en-US"/>
              </w:rPr>
              <w:t>, EWH</w:t>
            </w:r>
            <w:r w:rsidRPr="00DC0A5B">
              <w:rPr>
                <w:color w:val="000000" w:themeColor="text1"/>
                <w:sz w:val="22"/>
                <w:lang w:val="en-US"/>
              </w:rPr>
              <w:t xml:space="preserve"> to the Capacity Building Work Plan from 2021, subject to approval by the forthcoming 2nd IHO Assembly.  </w:t>
            </w:r>
          </w:p>
          <w:p w14:paraId="298C2353" w14:textId="77777777" w:rsidR="006863B1" w:rsidRPr="006863B1" w:rsidRDefault="006863B1" w:rsidP="006863B1">
            <w:pPr>
              <w:jc w:val="both"/>
              <w:rPr>
                <w:color w:val="000000" w:themeColor="text1"/>
                <w:sz w:val="22"/>
                <w:lang w:val="en-US"/>
              </w:rPr>
            </w:pPr>
          </w:p>
        </w:tc>
      </w:tr>
      <w:tr w:rsidR="006863B1" w:rsidRPr="007133E7" w14:paraId="51C8526B" w14:textId="77777777" w:rsidTr="00004C09">
        <w:tc>
          <w:tcPr>
            <w:tcW w:w="567" w:type="dxa"/>
          </w:tcPr>
          <w:p w14:paraId="62794B96" w14:textId="1D8E14CE" w:rsidR="006863B1" w:rsidRPr="007133E7" w:rsidRDefault="006863B1" w:rsidP="006863B1">
            <w:pPr>
              <w:jc w:val="center"/>
              <w:rPr>
                <w:sz w:val="22"/>
                <w:lang w:val="en-US"/>
              </w:rPr>
            </w:pPr>
            <w:r>
              <w:rPr>
                <w:sz w:val="22"/>
                <w:lang w:val="en-US"/>
              </w:rPr>
              <w:t>15</w:t>
            </w:r>
          </w:p>
        </w:tc>
        <w:tc>
          <w:tcPr>
            <w:tcW w:w="938" w:type="dxa"/>
          </w:tcPr>
          <w:p w14:paraId="6255A982" w14:textId="2B4213FE" w:rsidR="006863B1" w:rsidRPr="007133E7" w:rsidRDefault="006863B1" w:rsidP="006863B1">
            <w:pPr>
              <w:jc w:val="center"/>
              <w:rPr>
                <w:sz w:val="22"/>
                <w:lang w:val="en-US"/>
              </w:rPr>
            </w:pPr>
            <w:r>
              <w:rPr>
                <w:sz w:val="22"/>
                <w:lang w:val="en-US"/>
              </w:rPr>
              <w:t>7.1</w:t>
            </w:r>
          </w:p>
        </w:tc>
        <w:tc>
          <w:tcPr>
            <w:tcW w:w="8129" w:type="dxa"/>
          </w:tcPr>
          <w:p w14:paraId="70B83E13" w14:textId="4C2DE6A3" w:rsidR="006863B1" w:rsidRPr="006863B1" w:rsidRDefault="004312A3" w:rsidP="006863B1">
            <w:pPr>
              <w:widowControl w:val="0"/>
              <w:tabs>
                <w:tab w:val="left" w:pos="680"/>
              </w:tabs>
              <w:autoSpaceDE w:val="0"/>
              <w:autoSpaceDN w:val="0"/>
              <w:adjustRightInd w:val="0"/>
              <w:spacing w:before="60" w:after="60"/>
              <w:rPr>
                <w:color w:val="000000" w:themeColor="text1"/>
                <w:sz w:val="22"/>
                <w:lang w:val="en-US"/>
              </w:rPr>
            </w:pPr>
            <w:r w:rsidRPr="00DC0A5B">
              <w:rPr>
                <w:color w:val="000000" w:themeColor="text1"/>
                <w:sz w:val="22"/>
                <w:lang w:val="en-US"/>
              </w:rPr>
              <w:t>N</w:t>
            </w:r>
            <w:r w:rsidR="006863B1" w:rsidRPr="00DC0A5B">
              <w:rPr>
                <w:color w:val="000000" w:themeColor="text1"/>
                <w:sz w:val="22"/>
                <w:lang w:val="en-US"/>
              </w:rPr>
              <w:t>ote</w:t>
            </w:r>
            <w:r w:rsidR="006A3A6E">
              <w:rPr>
                <w:color w:val="000000" w:themeColor="text1"/>
                <w:sz w:val="22"/>
                <w:lang w:val="en-US"/>
              </w:rPr>
              <w:t>d</w:t>
            </w:r>
            <w:r w:rsidR="006863B1" w:rsidRPr="00DC0A5B">
              <w:rPr>
                <w:color w:val="000000" w:themeColor="text1"/>
                <w:sz w:val="22"/>
                <w:lang w:val="en-US"/>
              </w:rPr>
              <w:t xml:space="preserve"> the </w:t>
            </w:r>
            <w:r w:rsidR="006863B1" w:rsidRPr="006863B1">
              <w:rPr>
                <w:color w:val="000000" w:themeColor="text1"/>
                <w:sz w:val="22"/>
                <w:lang w:val="en-US"/>
              </w:rPr>
              <w:t xml:space="preserve">MSDIWG </w:t>
            </w:r>
            <w:r w:rsidR="006863B1" w:rsidRPr="00DC0A5B">
              <w:rPr>
                <w:color w:val="000000" w:themeColor="text1"/>
                <w:sz w:val="22"/>
                <w:lang w:val="en-US"/>
              </w:rPr>
              <w:t>report</w:t>
            </w:r>
            <w:r w:rsidR="00AF05D3">
              <w:rPr>
                <w:color w:val="000000" w:themeColor="text1"/>
                <w:sz w:val="22"/>
                <w:lang w:val="en-US"/>
              </w:rPr>
              <w:t>.</w:t>
            </w:r>
          </w:p>
          <w:p w14:paraId="0B54DDA9" w14:textId="77777777" w:rsidR="006863B1" w:rsidRPr="006863B1" w:rsidRDefault="006863B1" w:rsidP="006863B1">
            <w:pPr>
              <w:jc w:val="both"/>
              <w:rPr>
                <w:color w:val="000000" w:themeColor="text1"/>
                <w:sz w:val="22"/>
                <w:lang w:val="en-US"/>
              </w:rPr>
            </w:pPr>
          </w:p>
        </w:tc>
      </w:tr>
      <w:tr w:rsidR="006863B1" w:rsidRPr="007133E7" w14:paraId="31BCD74E" w14:textId="77777777" w:rsidTr="00004C09">
        <w:tc>
          <w:tcPr>
            <w:tcW w:w="567" w:type="dxa"/>
          </w:tcPr>
          <w:p w14:paraId="0D0EAB4A" w14:textId="7882BA5E" w:rsidR="006863B1" w:rsidRPr="007133E7" w:rsidRDefault="006863B1" w:rsidP="006863B1">
            <w:pPr>
              <w:jc w:val="center"/>
              <w:rPr>
                <w:sz w:val="22"/>
                <w:lang w:val="en-US"/>
              </w:rPr>
            </w:pPr>
            <w:r>
              <w:rPr>
                <w:sz w:val="22"/>
                <w:lang w:val="en-US"/>
              </w:rPr>
              <w:t>16</w:t>
            </w:r>
          </w:p>
        </w:tc>
        <w:tc>
          <w:tcPr>
            <w:tcW w:w="938" w:type="dxa"/>
          </w:tcPr>
          <w:p w14:paraId="06CDF640" w14:textId="14552FB8" w:rsidR="006863B1" w:rsidRPr="007133E7" w:rsidRDefault="006863B1" w:rsidP="006863B1">
            <w:pPr>
              <w:jc w:val="center"/>
              <w:rPr>
                <w:sz w:val="22"/>
                <w:lang w:val="en-US"/>
              </w:rPr>
            </w:pPr>
            <w:r>
              <w:rPr>
                <w:sz w:val="22"/>
                <w:lang w:val="en-US"/>
              </w:rPr>
              <w:t>7.2</w:t>
            </w:r>
          </w:p>
        </w:tc>
        <w:tc>
          <w:tcPr>
            <w:tcW w:w="8129" w:type="dxa"/>
          </w:tcPr>
          <w:p w14:paraId="480616F4" w14:textId="4FC14BD0" w:rsidR="006863B1" w:rsidRPr="006863B1" w:rsidRDefault="004312A3" w:rsidP="00AF05D3">
            <w:pPr>
              <w:widowControl w:val="0"/>
              <w:tabs>
                <w:tab w:val="left" w:pos="680"/>
              </w:tabs>
              <w:autoSpaceDE w:val="0"/>
              <w:autoSpaceDN w:val="0"/>
              <w:adjustRightInd w:val="0"/>
              <w:spacing w:before="60" w:after="60"/>
              <w:rPr>
                <w:color w:val="000000" w:themeColor="text1"/>
                <w:sz w:val="22"/>
                <w:lang w:val="en-US"/>
              </w:rPr>
            </w:pPr>
            <w:r w:rsidRPr="00AF05D3">
              <w:rPr>
                <w:color w:val="000000" w:themeColor="text1"/>
                <w:sz w:val="22"/>
                <w:lang w:val="en-US"/>
              </w:rPr>
              <w:t>N</w:t>
            </w:r>
            <w:r w:rsidR="006863B1" w:rsidRPr="00AF05D3">
              <w:rPr>
                <w:color w:val="000000" w:themeColor="text1"/>
                <w:sz w:val="22"/>
                <w:lang w:val="en-US"/>
              </w:rPr>
              <w:t>ote</w:t>
            </w:r>
            <w:r w:rsidR="006A3A6E">
              <w:rPr>
                <w:color w:val="000000" w:themeColor="text1"/>
                <w:sz w:val="22"/>
                <w:lang w:val="en-US"/>
              </w:rPr>
              <w:t>d</w:t>
            </w:r>
            <w:r w:rsidR="006863B1" w:rsidRPr="00AF05D3">
              <w:rPr>
                <w:color w:val="000000" w:themeColor="text1"/>
                <w:sz w:val="22"/>
                <w:lang w:val="en-US"/>
              </w:rPr>
              <w:t xml:space="preserve"> the Update on UN-GGIM activities</w:t>
            </w:r>
            <w:r w:rsidR="006863B1" w:rsidRPr="006863B1">
              <w:rPr>
                <w:color w:val="000000" w:themeColor="text1"/>
                <w:sz w:val="22"/>
                <w:lang w:val="en-US"/>
              </w:rPr>
              <w:t xml:space="preserve"> </w:t>
            </w:r>
            <w:r w:rsidR="006863B1" w:rsidRPr="00AF05D3">
              <w:rPr>
                <w:color w:val="000000" w:themeColor="text1"/>
                <w:sz w:val="22"/>
                <w:lang w:val="en-US"/>
              </w:rPr>
              <w:t>report</w:t>
            </w:r>
            <w:r w:rsidR="00AF05D3">
              <w:rPr>
                <w:color w:val="000000" w:themeColor="text1"/>
                <w:sz w:val="22"/>
                <w:lang w:val="en-US"/>
              </w:rPr>
              <w:t>.</w:t>
            </w:r>
          </w:p>
          <w:p w14:paraId="266CA9DA" w14:textId="77777777" w:rsidR="006863B1" w:rsidRPr="006863B1" w:rsidRDefault="006863B1" w:rsidP="00AF05D3">
            <w:pPr>
              <w:tabs>
                <w:tab w:val="left" w:pos="680"/>
              </w:tabs>
              <w:rPr>
                <w:color w:val="000000" w:themeColor="text1"/>
                <w:sz w:val="22"/>
                <w:lang w:val="en-US"/>
              </w:rPr>
            </w:pPr>
          </w:p>
        </w:tc>
      </w:tr>
      <w:tr w:rsidR="006863B1" w:rsidRPr="007133E7" w14:paraId="6246ACF2" w14:textId="77777777" w:rsidTr="00004C09">
        <w:tc>
          <w:tcPr>
            <w:tcW w:w="567" w:type="dxa"/>
          </w:tcPr>
          <w:p w14:paraId="349C8D46" w14:textId="5FA46807" w:rsidR="006863B1" w:rsidRPr="007133E7" w:rsidRDefault="006863B1" w:rsidP="006863B1">
            <w:pPr>
              <w:jc w:val="center"/>
              <w:rPr>
                <w:sz w:val="22"/>
                <w:lang w:val="en-US"/>
              </w:rPr>
            </w:pPr>
            <w:r>
              <w:rPr>
                <w:sz w:val="22"/>
                <w:lang w:val="en-US"/>
              </w:rPr>
              <w:t>17</w:t>
            </w:r>
          </w:p>
        </w:tc>
        <w:tc>
          <w:tcPr>
            <w:tcW w:w="938" w:type="dxa"/>
          </w:tcPr>
          <w:p w14:paraId="74E48A46" w14:textId="3E07355A" w:rsidR="006863B1" w:rsidRPr="007133E7" w:rsidRDefault="006863B1" w:rsidP="006863B1">
            <w:pPr>
              <w:jc w:val="center"/>
              <w:rPr>
                <w:sz w:val="22"/>
                <w:lang w:val="en-US"/>
              </w:rPr>
            </w:pPr>
            <w:r>
              <w:rPr>
                <w:sz w:val="22"/>
                <w:lang w:val="en-US"/>
              </w:rPr>
              <w:t>7.3</w:t>
            </w:r>
          </w:p>
        </w:tc>
        <w:tc>
          <w:tcPr>
            <w:tcW w:w="8129" w:type="dxa"/>
          </w:tcPr>
          <w:p w14:paraId="2B3C37FA" w14:textId="4D98B6F5" w:rsidR="006863B1" w:rsidRPr="006863B1" w:rsidRDefault="006863B1" w:rsidP="00AF05D3">
            <w:pPr>
              <w:widowControl w:val="0"/>
              <w:tabs>
                <w:tab w:val="left" w:pos="680"/>
              </w:tabs>
              <w:autoSpaceDE w:val="0"/>
              <w:autoSpaceDN w:val="0"/>
              <w:adjustRightInd w:val="0"/>
              <w:spacing w:before="60" w:after="60"/>
              <w:rPr>
                <w:color w:val="000000" w:themeColor="text1"/>
                <w:sz w:val="22"/>
                <w:lang w:val="en-US"/>
              </w:rPr>
            </w:pPr>
            <w:r w:rsidRPr="00AF05D3">
              <w:rPr>
                <w:color w:val="000000" w:themeColor="text1"/>
                <w:sz w:val="22"/>
                <w:lang w:val="en-US"/>
              </w:rPr>
              <w:t>Commend</w:t>
            </w:r>
            <w:r w:rsidR="006A3A6E">
              <w:rPr>
                <w:color w:val="000000" w:themeColor="text1"/>
                <w:sz w:val="22"/>
                <w:lang w:val="en-US"/>
              </w:rPr>
              <w:t>ed</w:t>
            </w:r>
            <w:r w:rsidRPr="00AF05D3">
              <w:rPr>
                <w:color w:val="000000" w:themeColor="text1"/>
                <w:sz w:val="22"/>
                <w:lang w:val="en-US"/>
              </w:rPr>
              <w:t xml:space="preserve"> the activity of the UNGGIM </w:t>
            </w:r>
            <w:r w:rsidR="00AF05D3">
              <w:rPr>
                <w:color w:val="000000" w:themeColor="text1"/>
                <w:sz w:val="22"/>
                <w:lang w:val="en-US"/>
              </w:rPr>
              <w:t xml:space="preserve">and of the </w:t>
            </w:r>
            <w:r w:rsidRPr="00AF05D3">
              <w:rPr>
                <w:color w:val="000000" w:themeColor="text1"/>
                <w:sz w:val="22"/>
                <w:lang w:val="en-US"/>
              </w:rPr>
              <w:t>Working Group on Marine Geospatial Information and its Chair</w:t>
            </w:r>
            <w:r w:rsidR="00AF05D3">
              <w:rPr>
                <w:color w:val="000000" w:themeColor="text1"/>
                <w:sz w:val="22"/>
                <w:lang w:val="en-US"/>
              </w:rPr>
              <w:t>.</w:t>
            </w:r>
            <w:r w:rsidRPr="006863B1">
              <w:rPr>
                <w:color w:val="000000" w:themeColor="text1"/>
                <w:sz w:val="22"/>
                <w:lang w:val="en-US"/>
              </w:rPr>
              <w:t xml:space="preserve"> </w:t>
            </w:r>
          </w:p>
          <w:p w14:paraId="7E998315" w14:textId="77777777" w:rsidR="006863B1" w:rsidRPr="006863B1" w:rsidRDefault="006863B1" w:rsidP="00AF05D3">
            <w:pPr>
              <w:tabs>
                <w:tab w:val="left" w:pos="680"/>
              </w:tabs>
              <w:rPr>
                <w:color w:val="000000" w:themeColor="text1"/>
                <w:sz w:val="22"/>
                <w:lang w:val="en-US"/>
              </w:rPr>
            </w:pPr>
          </w:p>
        </w:tc>
      </w:tr>
      <w:tr w:rsidR="002B7D11" w:rsidRPr="007133E7" w14:paraId="1E89CE43" w14:textId="77777777" w:rsidTr="00004C09">
        <w:tc>
          <w:tcPr>
            <w:tcW w:w="567" w:type="dxa"/>
          </w:tcPr>
          <w:p w14:paraId="7B9CD35B" w14:textId="50928643" w:rsidR="002B7D11" w:rsidRDefault="002B7D11" w:rsidP="002B7D11">
            <w:pPr>
              <w:jc w:val="center"/>
              <w:rPr>
                <w:sz w:val="22"/>
                <w:lang w:val="en-US"/>
              </w:rPr>
            </w:pPr>
            <w:r>
              <w:rPr>
                <w:sz w:val="22"/>
                <w:lang w:val="en-US"/>
              </w:rPr>
              <w:t>18</w:t>
            </w:r>
          </w:p>
        </w:tc>
        <w:tc>
          <w:tcPr>
            <w:tcW w:w="938" w:type="dxa"/>
          </w:tcPr>
          <w:p w14:paraId="4A654FCE" w14:textId="34CC6AEC" w:rsidR="002B7D11" w:rsidRDefault="002B7D11" w:rsidP="002B7D11">
            <w:pPr>
              <w:jc w:val="center"/>
              <w:rPr>
                <w:sz w:val="22"/>
                <w:lang w:val="en-US"/>
              </w:rPr>
            </w:pPr>
            <w:r>
              <w:rPr>
                <w:sz w:val="22"/>
                <w:lang w:val="en-US"/>
              </w:rPr>
              <w:t>8.1</w:t>
            </w:r>
          </w:p>
        </w:tc>
        <w:tc>
          <w:tcPr>
            <w:tcW w:w="8129" w:type="dxa"/>
          </w:tcPr>
          <w:p w14:paraId="40AED1F9" w14:textId="0CE8534B" w:rsidR="002B7D11" w:rsidRPr="006863B1" w:rsidRDefault="002B7D11" w:rsidP="002B7D11">
            <w:pPr>
              <w:spacing w:before="120" w:after="120"/>
              <w:jc w:val="both"/>
              <w:rPr>
                <w:color w:val="000000" w:themeColor="text1"/>
                <w:sz w:val="22"/>
                <w:lang w:val="en-US"/>
              </w:rPr>
            </w:pPr>
            <w:r w:rsidRPr="002A5E23">
              <w:rPr>
                <w:color w:val="000000" w:themeColor="text1"/>
                <w:sz w:val="22"/>
                <w:lang w:val="nl-NL"/>
              </w:rPr>
              <w:t>Note</w:t>
            </w:r>
            <w:r w:rsidR="006A3A6E">
              <w:rPr>
                <w:color w:val="000000" w:themeColor="text1"/>
                <w:sz w:val="22"/>
                <w:lang w:val="nl-NL"/>
              </w:rPr>
              <w:t>d</w:t>
            </w:r>
            <w:r w:rsidRPr="002A5E23">
              <w:rPr>
                <w:color w:val="000000" w:themeColor="text1"/>
                <w:sz w:val="22"/>
                <w:lang w:val="en-US"/>
              </w:rPr>
              <w:t xml:space="preserve"> </w:t>
            </w:r>
            <w:r w:rsidRPr="006863B1">
              <w:rPr>
                <w:color w:val="000000" w:themeColor="text1"/>
                <w:sz w:val="22"/>
                <w:lang w:val="en-US"/>
              </w:rPr>
              <w:t xml:space="preserve">the contents of the </w:t>
            </w:r>
            <w:r>
              <w:rPr>
                <w:color w:val="000000" w:themeColor="text1"/>
                <w:sz w:val="22"/>
                <w:lang w:val="en-US"/>
              </w:rPr>
              <w:t>CSBWG</w:t>
            </w:r>
            <w:r w:rsidRPr="006863B1">
              <w:rPr>
                <w:color w:val="000000" w:themeColor="text1"/>
                <w:sz w:val="22"/>
                <w:lang w:val="en-US"/>
              </w:rPr>
              <w:t xml:space="preserve"> report</w:t>
            </w:r>
            <w:r w:rsidR="00AF05D3">
              <w:rPr>
                <w:color w:val="000000" w:themeColor="text1"/>
                <w:sz w:val="22"/>
                <w:lang w:val="en-US"/>
              </w:rPr>
              <w:t>.</w:t>
            </w:r>
          </w:p>
          <w:p w14:paraId="2BB37485" w14:textId="77777777" w:rsidR="002B7D11" w:rsidRPr="006863B1" w:rsidRDefault="002B7D11" w:rsidP="002B7D11">
            <w:pPr>
              <w:spacing w:before="120" w:after="120"/>
              <w:jc w:val="both"/>
              <w:rPr>
                <w:b/>
                <w:bCs/>
                <w:color w:val="000000" w:themeColor="text1"/>
                <w:sz w:val="22"/>
                <w:lang w:val="nl-NL"/>
              </w:rPr>
            </w:pPr>
          </w:p>
        </w:tc>
      </w:tr>
      <w:tr w:rsidR="00770082" w:rsidRPr="007133E7" w14:paraId="37F686F4" w14:textId="77777777" w:rsidTr="00004C09">
        <w:tc>
          <w:tcPr>
            <w:tcW w:w="567" w:type="dxa"/>
          </w:tcPr>
          <w:p w14:paraId="5FF452FE" w14:textId="3DDA5FA8" w:rsidR="00770082" w:rsidRDefault="00770082" w:rsidP="00770082">
            <w:pPr>
              <w:jc w:val="center"/>
              <w:rPr>
                <w:sz w:val="22"/>
                <w:lang w:val="en-US"/>
              </w:rPr>
            </w:pPr>
            <w:r>
              <w:rPr>
                <w:sz w:val="22"/>
                <w:lang w:val="en-US"/>
              </w:rPr>
              <w:lastRenderedPageBreak/>
              <w:t>19</w:t>
            </w:r>
          </w:p>
        </w:tc>
        <w:tc>
          <w:tcPr>
            <w:tcW w:w="938" w:type="dxa"/>
          </w:tcPr>
          <w:p w14:paraId="3B20CF50" w14:textId="109EDEE5" w:rsidR="00770082" w:rsidRPr="00770082" w:rsidRDefault="00770082" w:rsidP="00770082">
            <w:pPr>
              <w:jc w:val="center"/>
              <w:rPr>
                <w:rFonts w:asciiTheme="minorHAnsi" w:hAnsiTheme="minorHAnsi" w:cstheme="minorBidi"/>
                <w:color w:val="000000" w:themeColor="text1"/>
                <w:sz w:val="22"/>
                <w:szCs w:val="24"/>
                <w:lang w:val="en-US"/>
              </w:rPr>
            </w:pPr>
            <w:r w:rsidRPr="00770082">
              <w:rPr>
                <w:rFonts w:asciiTheme="minorHAnsi" w:hAnsiTheme="minorHAnsi" w:cstheme="minorBidi"/>
                <w:color w:val="000000" w:themeColor="text1"/>
                <w:sz w:val="22"/>
                <w:szCs w:val="24"/>
                <w:lang w:val="en-US"/>
              </w:rPr>
              <w:t>8.1</w:t>
            </w:r>
          </w:p>
        </w:tc>
        <w:tc>
          <w:tcPr>
            <w:tcW w:w="8129" w:type="dxa"/>
          </w:tcPr>
          <w:p w14:paraId="74BDFF42" w14:textId="47D01CF7" w:rsidR="00770082" w:rsidRPr="003203D8" w:rsidRDefault="00770082" w:rsidP="00BB70BC">
            <w:pPr>
              <w:spacing w:before="120" w:after="120"/>
              <w:jc w:val="both"/>
              <w:rPr>
                <w:rFonts w:eastAsia="Times New Roman"/>
              </w:rPr>
            </w:pPr>
            <w:r w:rsidRPr="00BB70BC">
              <w:rPr>
                <w:color w:val="000000" w:themeColor="text1"/>
                <w:sz w:val="22"/>
                <w:lang w:val="en-US"/>
              </w:rPr>
              <w:t>Endorse</w:t>
            </w:r>
            <w:r w:rsidR="006A3A6E">
              <w:rPr>
                <w:color w:val="000000" w:themeColor="text1"/>
                <w:sz w:val="22"/>
                <w:lang w:val="en-US"/>
              </w:rPr>
              <w:t>d</w:t>
            </w:r>
            <w:r w:rsidRPr="00BB70BC">
              <w:rPr>
                <w:color w:val="000000" w:themeColor="text1"/>
                <w:sz w:val="22"/>
                <w:lang w:val="en-US"/>
              </w:rPr>
              <w:t xml:space="preserve"> the e-publication of B-12 </w:t>
            </w:r>
            <w:r w:rsidR="003203D8" w:rsidRPr="00BB70BC">
              <w:rPr>
                <w:color w:val="000000" w:themeColor="text1"/>
                <w:sz w:val="22"/>
                <w:lang w:val="en-US"/>
              </w:rPr>
              <w:t>and use as an example for other IHO publications</w:t>
            </w:r>
            <w:r w:rsidR="00AF05D3">
              <w:rPr>
                <w:color w:val="000000" w:themeColor="text1"/>
                <w:sz w:val="22"/>
                <w:lang w:val="en-US"/>
              </w:rPr>
              <w:t>.</w:t>
            </w:r>
          </w:p>
        </w:tc>
      </w:tr>
      <w:tr w:rsidR="00770082" w:rsidRPr="007133E7" w14:paraId="554821A4" w14:textId="77777777" w:rsidTr="00004C09">
        <w:tc>
          <w:tcPr>
            <w:tcW w:w="567" w:type="dxa"/>
          </w:tcPr>
          <w:p w14:paraId="4C65A48B" w14:textId="488AE9E3" w:rsidR="00770082" w:rsidRPr="007133E7" w:rsidRDefault="00770082" w:rsidP="00770082">
            <w:pPr>
              <w:jc w:val="center"/>
              <w:rPr>
                <w:sz w:val="22"/>
                <w:lang w:val="en-US"/>
              </w:rPr>
            </w:pPr>
            <w:bookmarkStart w:id="0" w:name="_Hlk52952519"/>
            <w:r>
              <w:rPr>
                <w:sz w:val="22"/>
                <w:lang w:val="en-US"/>
              </w:rPr>
              <w:t>20</w:t>
            </w:r>
          </w:p>
        </w:tc>
        <w:tc>
          <w:tcPr>
            <w:tcW w:w="938" w:type="dxa"/>
          </w:tcPr>
          <w:p w14:paraId="72664029" w14:textId="111F482C" w:rsidR="00770082" w:rsidRPr="007133E7" w:rsidRDefault="00770082" w:rsidP="00770082">
            <w:pPr>
              <w:jc w:val="center"/>
              <w:rPr>
                <w:sz w:val="22"/>
                <w:lang w:val="en-US"/>
              </w:rPr>
            </w:pPr>
            <w:r>
              <w:rPr>
                <w:sz w:val="22"/>
                <w:lang w:val="en-US"/>
              </w:rPr>
              <w:t>8.2</w:t>
            </w:r>
          </w:p>
        </w:tc>
        <w:tc>
          <w:tcPr>
            <w:tcW w:w="8129" w:type="dxa"/>
          </w:tcPr>
          <w:p w14:paraId="2D0D72FE" w14:textId="5102B679" w:rsidR="00770082" w:rsidRPr="006863B1" w:rsidRDefault="00770082" w:rsidP="00770082">
            <w:pPr>
              <w:spacing w:before="120" w:after="120"/>
              <w:jc w:val="both"/>
              <w:rPr>
                <w:color w:val="000000" w:themeColor="text1"/>
                <w:sz w:val="22"/>
                <w:lang w:val="en-US"/>
              </w:rPr>
            </w:pPr>
            <w:r w:rsidRPr="00AF05D3">
              <w:rPr>
                <w:color w:val="000000" w:themeColor="text1"/>
                <w:sz w:val="22"/>
                <w:lang w:val="nl-NL"/>
              </w:rPr>
              <w:t>Note</w:t>
            </w:r>
            <w:r w:rsidR="006A3A6E">
              <w:rPr>
                <w:color w:val="000000" w:themeColor="text1"/>
                <w:sz w:val="22"/>
                <w:lang w:val="nl-NL"/>
              </w:rPr>
              <w:t>d</w:t>
            </w:r>
            <w:r w:rsidRPr="00AF05D3">
              <w:rPr>
                <w:color w:val="000000" w:themeColor="text1"/>
                <w:sz w:val="22"/>
                <w:lang w:val="en-US"/>
              </w:rPr>
              <w:t xml:space="preserve"> </w:t>
            </w:r>
            <w:r w:rsidRPr="006863B1">
              <w:rPr>
                <w:color w:val="000000" w:themeColor="text1"/>
                <w:sz w:val="22"/>
                <w:lang w:val="en-US"/>
              </w:rPr>
              <w:t>the contents of the Seabed2030 report</w:t>
            </w:r>
            <w:r w:rsidR="00AF05D3">
              <w:rPr>
                <w:color w:val="000000" w:themeColor="text1"/>
                <w:sz w:val="22"/>
                <w:lang w:val="en-US"/>
              </w:rPr>
              <w:t>.</w:t>
            </w:r>
          </w:p>
          <w:p w14:paraId="57B852AA" w14:textId="77777777" w:rsidR="00770082" w:rsidRPr="006863B1" w:rsidRDefault="00770082" w:rsidP="00770082">
            <w:pPr>
              <w:jc w:val="both"/>
              <w:rPr>
                <w:color w:val="000000" w:themeColor="text1"/>
                <w:sz w:val="22"/>
                <w:lang w:val="en-US"/>
              </w:rPr>
            </w:pPr>
          </w:p>
        </w:tc>
      </w:tr>
      <w:bookmarkEnd w:id="0"/>
      <w:tr w:rsidR="00770082" w:rsidRPr="007133E7" w14:paraId="01AA758A" w14:textId="77777777" w:rsidTr="00004C09">
        <w:tc>
          <w:tcPr>
            <w:tcW w:w="567" w:type="dxa"/>
          </w:tcPr>
          <w:p w14:paraId="4B3F8145" w14:textId="4B768A01" w:rsidR="00770082" w:rsidRPr="007133E7" w:rsidRDefault="00770082" w:rsidP="00770082">
            <w:pPr>
              <w:jc w:val="center"/>
              <w:rPr>
                <w:sz w:val="22"/>
                <w:lang w:val="en-US"/>
              </w:rPr>
            </w:pPr>
            <w:r>
              <w:rPr>
                <w:sz w:val="22"/>
                <w:lang w:val="en-US"/>
              </w:rPr>
              <w:t>21</w:t>
            </w:r>
          </w:p>
        </w:tc>
        <w:tc>
          <w:tcPr>
            <w:tcW w:w="938" w:type="dxa"/>
          </w:tcPr>
          <w:p w14:paraId="5E4F1519" w14:textId="60662E4D" w:rsidR="00770082" w:rsidRPr="007133E7" w:rsidRDefault="00770082" w:rsidP="00770082">
            <w:pPr>
              <w:jc w:val="center"/>
              <w:rPr>
                <w:sz w:val="22"/>
                <w:lang w:val="en-US"/>
              </w:rPr>
            </w:pPr>
            <w:r>
              <w:rPr>
                <w:sz w:val="22"/>
                <w:lang w:val="en-US"/>
              </w:rPr>
              <w:t>8.3</w:t>
            </w:r>
          </w:p>
        </w:tc>
        <w:tc>
          <w:tcPr>
            <w:tcW w:w="8129" w:type="dxa"/>
          </w:tcPr>
          <w:p w14:paraId="1AE9428A" w14:textId="765DFF8F" w:rsidR="00770082" w:rsidRPr="006863B1" w:rsidRDefault="00770082" w:rsidP="00AF05D3">
            <w:pPr>
              <w:spacing w:before="120" w:after="120"/>
              <w:jc w:val="both"/>
              <w:rPr>
                <w:color w:val="000000" w:themeColor="text1"/>
                <w:sz w:val="22"/>
                <w:lang w:val="en-US"/>
              </w:rPr>
            </w:pPr>
            <w:r w:rsidRPr="00AF05D3">
              <w:rPr>
                <w:color w:val="000000" w:themeColor="text1"/>
                <w:sz w:val="22"/>
                <w:lang w:val="en-US"/>
              </w:rPr>
              <w:t>Note</w:t>
            </w:r>
            <w:r w:rsidR="006A3A6E">
              <w:rPr>
                <w:color w:val="000000" w:themeColor="text1"/>
                <w:sz w:val="22"/>
                <w:lang w:val="en-US"/>
              </w:rPr>
              <w:t>d</w:t>
            </w:r>
            <w:r w:rsidRPr="00AF05D3">
              <w:rPr>
                <w:color w:val="000000" w:themeColor="text1"/>
                <w:sz w:val="22"/>
                <w:lang w:val="en-US"/>
              </w:rPr>
              <w:t xml:space="preserve"> the report on update on the UN Decade of Ocean Science</w:t>
            </w:r>
            <w:r w:rsidR="00AF05D3" w:rsidRPr="00AF05D3">
              <w:rPr>
                <w:color w:val="000000" w:themeColor="text1"/>
                <w:sz w:val="22"/>
                <w:lang w:val="en-US"/>
              </w:rPr>
              <w:t>.</w:t>
            </w:r>
          </w:p>
        </w:tc>
      </w:tr>
      <w:tr w:rsidR="00770082" w:rsidRPr="007133E7" w14:paraId="619A0F03" w14:textId="77777777" w:rsidTr="00004C09">
        <w:tc>
          <w:tcPr>
            <w:tcW w:w="567" w:type="dxa"/>
          </w:tcPr>
          <w:p w14:paraId="036BD49A" w14:textId="19CA13A6" w:rsidR="00770082" w:rsidRPr="007133E7" w:rsidRDefault="00770082" w:rsidP="00770082">
            <w:pPr>
              <w:jc w:val="center"/>
              <w:rPr>
                <w:sz w:val="22"/>
                <w:lang w:val="en-US"/>
              </w:rPr>
            </w:pPr>
            <w:r>
              <w:rPr>
                <w:sz w:val="22"/>
                <w:lang w:val="en-US"/>
              </w:rPr>
              <w:t>22</w:t>
            </w:r>
          </w:p>
        </w:tc>
        <w:tc>
          <w:tcPr>
            <w:tcW w:w="938" w:type="dxa"/>
          </w:tcPr>
          <w:p w14:paraId="5AC7C487" w14:textId="2824CBDD" w:rsidR="00770082" w:rsidRPr="007133E7" w:rsidRDefault="00770082" w:rsidP="00770082">
            <w:pPr>
              <w:jc w:val="center"/>
              <w:rPr>
                <w:sz w:val="22"/>
                <w:lang w:val="en-US"/>
              </w:rPr>
            </w:pPr>
            <w:r>
              <w:rPr>
                <w:sz w:val="22"/>
                <w:lang w:val="en-US"/>
              </w:rPr>
              <w:t>9.1</w:t>
            </w:r>
          </w:p>
        </w:tc>
        <w:tc>
          <w:tcPr>
            <w:tcW w:w="8129" w:type="dxa"/>
          </w:tcPr>
          <w:p w14:paraId="3CCB62CC" w14:textId="2D8DEB1A" w:rsidR="00770082" w:rsidRPr="006863B1" w:rsidRDefault="00770082" w:rsidP="00770082">
            <w:pPr>
              <w:spacing w:before="120" w:after="120"/>
              <w:jc w:val="both"/>
              <w:rPr>
                <w:color w:val="000000" w:themeColor="text1"/>
                <w:sz w:val="22"/>
                <w:lang w:val="en-AU"/>
              </w:rPr>
            </w:pPr>
            <w:r w:rsidRPr="00AF05D3">
              <w:rPr>
                <w:color w:val="000000" w:themeColor="text1"/>
                <w:sz w:val="22"/>
                <w:lang w:val="en-US"/>
              </w:rPr>
              <w:t>Note</w:t>
            </w:r>
            <w:r w:rsidR="006A3A6E">
              <w:rPr>
                <w:color w:val="000000" w:themeColor="text1"/>
                <w:sz w:val="22"/>
                <w:lang w:val="en-US"/>
              </w:rPr>
              <w:t>d</w:t>
            </w:r>
            <w:r w:rsidRPr="00AF05D3">
              <w:rPr>
                <w:color w:val="000000" w:themeColor="text1"/>
                <w:sz w:val="22"/>
                <w:lang w:val="en-US"/>
              </w:rPr>
              <w:t xml:space="preserve"> the </w:t>
            </w:r>
            <w:r w:rsidRPr="006863B1">
              <w:rPr>
                <w:color w:val="000000" w:themeColor="text1"/>
                <w:sz w:val="22"/>
                <w:lang w:val="en-US"/>
              </w:rPr>
              <w:t xml:space="preserve">WENDWG </w:t>
            </w:r>
            <w:r>
              <w:rPr>
                <w:color w:val="000000" w:themeColor="text1"/>
                <w:sz w:val="22"/>
                <w:lang w:val="en-US"/>
              </w:rPr>
              <w:t xml:space="preserve">100 principles </w:t>
            </w:r>
            <w:r w:rsidRPr="00AF05D3">
              <w:rPr>
                <w:color w:val="000000" w:themeColor="text1"/>
                <w:sz w:val="22"/>
                <w:lang w:val="en-US"/>
              </w:rPr>
              <w:t>report</w:t>
            </w:r>
            <w:r w:rsidR="00AF05D3" w:rsidRPr="00AF05D3">
              <w:rPr>
                <w:color w:val="000000" w:themeColor="text1"/>
                <w:sz w:val="22"/>
                <w:lang w:val="en-US"/>
              </w:rPr>
              <w:t>.</w:t>
            </w:r>
          </w:p>
        </w:tc>
      </w:tr>
      <w:tr w:rsidR="00770082" w:rsidRPr="007133E7" w14:paraId="73E1ACD2" w14:textId="77777777" w:rsidTr="00004C09">
        <w:tc>
          <w:tcPr>
            <w:tcW w:w="567" w:type="dxa"/>
          </w:tcPr>
          <w:p w14:paraId="037682B4" w14:textId="283C1D5D" w:rsidR="00770082" w:rsidRPr="007133E7" w:rsidRDefault="00770082" w:rsidP="00770082">
            <w:pPr>
              <w:jc w:val="center"/>
              <w:rPr>
                <w:sz w:val="22"/>
                <w:lang w:val="en-US"/>
              </w:rPr>
            </w:pPr>
            <w:r>
              <w:rPr>
                <w:sz w:val="22"/>
                <w:lang w:val="en-US"/>
              </w:rPr>
              <w:t>23</w:t>
            </w:r>
          </w:p>
        </w:tc>
        <w:tc>
          <w:tcPr>
            <w:tcW w:w="938" w:type="dxa"/>
          </w:tcPr>
          <w:p w14:paraId="7480D974" w14:textId="0A6A3CB9" w:rsidR="00770082" w:rsidRPr="007133E7" w:rsidRDefault="00770082" w:rsidP="00770082">
            <w:pPr>
              <w:jc w:val="center"/>
              <w:rPr>
                <w:sz w:val="22"/>
                <w:lang w:val="en-US"/>
              </w:rPr>
            </w:pPr>
            <w:r>
              <w:rPr>
                <w:sz w:val="22"/>
                <w:lang w:val="en-US"/>
              </w:rPr>
              <w:t>9.1</w:t>
            </w:r>
          </w:p>
        </w:tc>
        <w:tc>
          <w:tcPr>
            <w:tcW w:w="8129" w:type="dxa"/>
          </w:tcPr>
          <w:p w14:paraId="0E231B79" w14:textId="5815C76F" w:rsidR="00770082" w:rsidRPr="006863B1" w:rsidRDefault="00770082" w:rsidP="00770082">
            <w:pPr>
              <w:jc w:val="both"/>
              <w:rPr>
                <w:color w:val="000000" w:themeColor="text1"/>
                <w:sz w:val="22"/>
                <w:lang w:val="en-US"/>
              </w:rPr>
            </w:pPr>
            <w:r>
              <w:rPr>
                <w:color w:val="000000" w:themeColor="text1"/>
                <w:sz w:val="22"/>
                <w:lang w:val="en-AU"/>
              </w:rPr>
              <w:t>A</w:t>
            </w:r>
            <w:r w:rsidRPr="006863B1">
              <w:rPr>
                <w:color w:val="000000" w:themeColor="text1"/>
                <w:sz w:val="22"/>
                <w:lang w:val="en-AU"/>
              </w:rPr>
              <w:t xml:space="preserve">gree that the revision of WENDWG TORs and ROPs can be put on hold </w:t>
            </w:r>
            <w:proofErr w:type="gramStart"/>
            <w:r w:rsidRPr="006863B1">
              <w:rPr>
                <w:color w:val="000000" w:themeColor="text1"/>
                <w:sz w:val="22"/>
                <w:lang w:val="en-AU"/>
              </w:rPr>
              <w:t>at the moment</w:t>
            </w:r>
            <w:proofErr w:type="gramEnd"/>
            <w:r w:rsidR="00AF05D3">
              <w:rPr>
                <w:color w:val="000000" w:themeColor="text1"/>
                <w:sz w:val="22"/>
                <w:lang w:val="en-AU"/>
              </w:rPr>
              <w:t>.</w:t>
            </w:r>
          </w:p>
        </w:tc>
      </w:tr>
      <w:tr w:rsidR="00770082" w:rsidRPr="007133E7" w14:paraId="74FF436D" w14:textId="77777777" w:rsidTr="00004C09">
        <w:tc>
          <w:tcPr>
            <w:tcW w:w="567" w:type="dxa"/>
          </w:tcPr>
          <w:p w14:paraId="33AFF983" w14:textId="08771FA1" w:rsidR="00770082" w:rsidRPr="007133E7" w:rsidRDefault="00770082" w:rsidP="00770082">
            <w:pPr>
              <w:jc w:val="center"/>
              <w:rPr>
                <w:sz w:val="22"/>
                <w:lang w:val="en-US"/>
              </w:rPr>
            </w:pPr>
            <w:r>
              <w:rPr>
                <w:sz w:val="22"/>
                <w:lang w:val="en-US"/>
              </w:rPr>
              <w:t>24</w:t>
            </w:r>
          </w:p>
        </w:tc>
        <w:tc>
          <w:tcPr>
            <w:tcW w:w="938" w:type="dxa"/>
          </w:tcPr>
          <w:p w14:paraId="0103EEEF" w14:textId="1F1EDCCC" w:rsidR="00770082" w:rsidRPr="007133E7" w:rsidRDefault="00770082" w:rsidP="00770082">
            <w:pPr>
              <w:jc w:val="center"/>
              <w:rPr>
                <w:sz w:val="22"/>
                <w:lang w:val="en-US"/>
              </w:rPr>
            </w:pPr>
            <w:r>
              <w:rPr>
                <w:sz w:val="22"/>
                <w:lang w:val="en-US"/>
              </w:rPr>
              <w:t>9.1</w:t>
            </w:r>
          </w:p>
        </w:tc>
        <w:tc>
          <w:tcPr>
            <w:tcW w:w="8129" w:type="dxa"/>
          </w:tcPr>
          <w:p w14:paraId="0EF20039" w14:textId="63B89883" w:rsidR="00770082" w:rsidRPr="006863B1" w:rsidRDefault="00770082" w:rsidP="00770082">
            <w:pPr>
              <w:jc w:val="both"/>
              <w:rPr>
                <w:color w:val="000000" w:themeColor="text1"/>
                <w:sz w:val="22"/>
                <w:lang w:val="en-US"/>
              </w:rPr>
            </w:pPr>
            <w:r>
              <w:rPr>
                <w:rFonts w:asciiTheme="minorHAnsi" w:hAnsiTheme="minorHAnsi" w:cstheme="minorBidi"/>
                <w:color w:val="000000" w:themeColor="text1"/>
                <w:sz w:val="22"/>
                <w:lang w:val="en-US"/>
              </w:rPr>
              <w:t>A</w:t>
            </w:r>
            <w:r w:rsidRPr="006863B1">
              <w:rPr>
                <w:rFonts w:asciiTheme="minorHAnsi" w:hAnsiTheme="minorHAnsi" w:cstheme="minorBidi"/>
                <w:color w:val="000000" w:themeColor="text1"/>
                <w:sz w:val="22"/>
                <w:lang w:val="en-US"/>
              </w:rPr>
              <w:t>gree that current IHO Resolution 1/1997 as amended should remain in force until the sunset of S-57 ENCs.</w:t>
            </w:r>
          </w:p>
        </w:tc>
      </w:tr>
      <w:tr w:rsidR="00770082" w:rsidRPr="007133E7" w14:paraId="5D7E0BD6" w14:textId="77777777" w:rsidTr="00004C09">
        <w:tc>
          <w:tcPr>
            <w:tcW w:w="567" w:type="dxa"/>
          </w:tcPr>
          <w:p w14:paraId="7FCAA531" w14:textId="282F0951" w:rsidR="00770082" w:rsidRPr="007133E7" w:rsidRDefault="00770082" w:rsidP="00770082">
            <w:pPr>
              <w:jc w:val="center"/>
              <w:rPr>
                <w:sz w:val="22"/>
                <w:lang w:val="en-US"/>
              </w:rPr>
            </w:pPr>
            <w:r>
              <w:rPr>
                <w:sz w:val="22"/>
                <w:lang w:val="en-US"/>
              </w:rPr>
              <w:t>25</w:t>
            </w:r>
          </w:p>
        </w:tc>
        <w:tc>
          <w:tcPr>
            <w:tcW w:w="938" w:type="dxa"/>
          </w:tcPr>
          <w:p w14:paraId="1C304350" w14:textId="5C565377" w:rsidR="00770082" w:rsidRPr="007133E7" w:rsidRDefault="00770082" w:rsidP="00770082">
            <w:pPr>
              <w:jc w:val="center"/>
              <w:rPr>
                <w:sz w:val="22"/>
                <w:lang w:val="en-US"/>
              </w:rPr>
            </w:pPr>
            <w:r w:rsidRPr="007133E7">
              <w:rPr>
                <w:sz w:val="22"/>
                <w:lang w:val="en-US"/>
              </w:rPr>
              <w:t>13</w:t>
            </w:r>
          </w:p>
        </w:tc>
        <w:tc>
          <w:tcPr>
            <w:tcW w:w="8129" w:type="dxa"/>
          </w:tcPr>
          <w:p w14:paraId="76CCF157" w14:textId="1FF27C7D" w:rsidR="00770082" w:rsidRPr="002A3C44" w:rsidRDefault="00770082" w:rsidP="00770082">
            <w:pPr>
              <w:jc w:val="both"/>
              <w:rPr>
                <w:sz w:val="22"/>
                <w:lang w:val="en-US"/>
              </w:rPr>
            </w:pPr>
            <w:r w:rsidRPr="002A3C44">
              <w:rPr>
                <w:sz w:val="22"/>
                <w:lang w:val="en-US"/>
              </w:rPr>
              <w:t>Hold the next meetings of the IRCC in the following venues and dates:</w:t>
            </w:r>
          </w:p>
          <w:p w14:paraId="34407B5C" w14:textId="77777777" w:rsidR="00770082" w:rsidRPr="002A3C44" w:rsidRDefault="00770082" w:rsidP="00770082">
            <w:pPr>
              <w:widowControl w:val="0"/>
              <w:tabs>
                <w:tab w:val="left" w:pos="708"/>
                <w:tab w:val="left" w:pos="2268"/>
              </w:tabs>
              <w:jc w:val="both"/>
              <w:rPr>
                <w:sz w:val="22"/>
                <w:lang w:val="en-US"/>
              </w:rPr>
            </w:pPr>
            <w:r w:rsidRPr="002A3C44">
              <w:rPr>
                <w:sz w:val="22"/>
                <w:lang w:val="en-US"/>
              </w:rPr>
              <w:t>IRCC13: 22-24 June 2021 - Monaco</w:t>
            </w:r>
          </w:p>
          <w:p w14:paraId="28C94380" w14:textId="6833FE42" w:rsidR="00770082" w:rsidRPr="002A3C44" w:rsidRDefault="00770082" w:rsidP="00770082">
            <w:pPr>
              <w:widowControl w:val="0"/>
              <w:tabs>
                <w:tab w:val="left" w:pos="708"/>
                <w:tab w:val="left" w:pos="2268"/>
              </w:tabs>
              <w:jc w:val="both"/>
              <w:rPr>
                <w:sz w:val="22"/>
                <w:lang w:val="en-US"/>
              </w:rPr>
            </w:pPr>
            <w:r w:rsidRPr="002A3C44">
              <w:rPr>
                <w:sz w:val="22"/>
                <w:lang w:val="en-US"/>
              </w:rPr>
              <w:t>IRCC14: May/June 2022 - Ecuador or Japan (TBC)</w:t>
            </w:r>
            <w:r w:rsidR="00D20ADC" w:rsidRPr="002A3C44">
              <w:rPr>
                <w:sz w:val="22"/>
                <w:lang w:val="en-US"/>
              </w:rPr>
              <w:t xml:space="preserve"> (IHO Secretariat to contact Ecuador)</w:t>
            </w:r>
          </w:p>
          <w:p w14:paraId="029306F1" w14:textId="7BE677F1" w:rsidR="00770082" w:rsidRPr="002A3C44" w:rsidRDefault="00770082" w:rsidP="00770082">
            <w:pPr>
              <w:jc w:val="both"/>
              <w:rPr>
                <w:sz w:val="22"/>
                <w:lang w:val="en-US"/>
              </w:rPr>
            </w:pPr>
            <w:r w:rsidRPr="002A3C44">
              <w:rPr>
                <w:sz w:val="22"/>
                <w:lang w:val="en-US"/>
              </w:rPr>
              <w:t xml:space="preserve">IRCC15: May/June 2023 - </w:t>
            </w:r>
            <w:r w:rsidR="00D20ADC" w:rsidRPr="002A3C44">
              <w:rPr>
                <w:sz w:val="22"/>
                <w:lang w:val="en-US"/>
              </w:rPr>
              <w:t>Japan or Indonesia (TBC)</w:t>
            </w:r>
          </w:p>
        </w:tc>
      </w:tr>
      <w:tr w:rsidR="00770082" w:rsidRPr="007133E7" w14:paraId="5E0E2CF1" w14:textId="77777777" w:rsidTr="00004C09">
        <w:tc>
          <w:tcPr>
            <w:tcW w:w="567" w:type="dxa"/>
          </w:tcPr>
          <w:p w14:paraId="47990B1A" w14:textId="240D163E" w:rsidR="00770082" w:rsidRPr="007133E7" w:rsidRDefault="00770082" w:rsidP="00770082">
            <w:pPr>
              <w:jc w:val="center"/>
              <w:rPr>
                <w:sz w:val="22"/>
                <w:lang w:val="en-US"/>
              </w:rPr>
            </w:pPr>
            <w:r>
              <w:rPr>
                <w:sz w:val="22"/>
                <w:lang w:val="en-US"/>
              </w:rPr>
              <w:t>26</w:t>
            </w:r>
          </w:p>
        </w:tc>
        <w:tc>
          <w:tcPr>
            <w:tcW w:w="938" w:type="dxa"/>
          </w:tcPr>
          <w:p w14:paraId="554BC6AD" w14:textId="51DF76F7" w:rsidR="00770082" w:rsidRPr="007133E7" w:rsidRDefault="00770082" w:rsidP="00770082">
            <w:pPr>
              <w:jc w:val="center"/>
              <w:rPr>
                <w:sz w:val="22"/>
                <w:lang w:val="en-US"/>
              </w:rPr>
            </w:pPr>
            <w:r w:rsidRPr="007133E7">
              <w:rPr>
                <w:sz w:val="22"/>
                <w:lang w:val="en-US"/>
              </w:rPr>
              <w:t>16</w:t>
            </w:r>
          </w:p>
        </w:tc>
        <w:tc>
          <w:tcPr>
            <w:tcW w:w="8129" w:type="dxa"/>
          </w:tcPr>
          <w:p w14:paraId="5711B9B5" w14:textId="4A2382D5" w:rsidR="00770082" w:rsidRPr="007133E7" w:rsidRDefault="00770082" w:rsidP="00770082">
            <w:pPr>
              <w:jc w:val="both"/>
              <w:rPr>
                <w:sz w:val="22"/>
                <w:lang w:val="en-US"/>
              </w:rPr>
            </w:pPr>
            <w:r>
              <w:rPr>
                <w:sz w:val="22"/>
                <w:lang w:val="en-US"/>
              </w:rPr>
              <w:t>A</w:t>
            </w:r>
            <w:r w:rsidRPr="007133E7">
              <w:rPr>
                <w:sz w:val="22"/>
                <w:lang w:val="en-US"/>
              </w:rPr>
              <w:t>pprove</w:t>
            </w:r>
            <w:r w:rsidR="006A3A6E">
              <w:rPr>
                <w:sz w:val="22"/>
                <w:lang w:val="en-US"/>
              </w:rPr>
              <w:t>d</w:t>
            </w:r>
            <w:r w:rsidRPr="007133E7">
              <w:rPr>
                <w:sz w:val="22"/>
                <w:lang w:val="en-US"/>
              </w:rPr>
              <w:t xml:space="preserve"> the draft List of Actions, Decisions and Recommendations to RHC as discussed during the meeting (doc. IRCC1</w:t>
            </w:r>
            <w:r>
              <w:rPr>
                <w:sz w:val="22"/>
                <w:lang w:val="en-US"/>
              </w:rPr>
              <w:t>2</w:t>
            </w:r>
            <w:r w:rsidRPr="007133E7">
              <w:rPr>
                <w:sz w:val="22"/>
                <w:lang w:val="en-US"/>
              </w:rPr>
              <w:t>-1</w:t>
            </w:r>
            <w:r>
              <w:rPr>
                <w:sz w:val="22"/>
                <w:lang w:val="en-US"/>
              </w:rPr>
              <w:t>2</w:t>
            </w:r>
            <w:r w:rsidRPr="007133E7">
              <w:rPr>
                <w:sz w:val="22"/>
                <w:lang w:val="en-US"/>
              </w:rPr>
              <w:t>A, B and C).</w:t>
            </w:r>
          </w:p>
        </w:tc>
      </w:tr>
      <w:tr w:rsidR="002B7D11" w:rsidRPr="007133E7" w14:paraId="720A4F0E" w14:textId="77777777" w:rsidTr="00004C09">
        <w:tc>
          <w:tcPr>
            <w:tcW w:w="567" w:type="dxa"/>
          </w:tcPr>
          <w:p w14:paraId="2FAB56EF" w14:textId="19F9FE61" w:rsidR="002B7D11" w:rsidRPr="007133E7" w:rsidRDefault="002B7D11" w:rsidP="002B7D11">
            <w:pPr>
              <w:jc w:val="center"/>
              <w:rPr>
                <w:sz w:val="22"/>
                <w:lang w:val="en-US"/>
              </w:rPr>
            </w:pPr>
            <w:r>
              <w:rPr>
                <w:sz w:val="22"/>
                <w:lang w:val="en-US"/>
              </w:rPr>
              <w:t>2</w:t>
            </w:r>
            <w:r w:rsidR="00770082">
              <w:rPr>
                <w:sz w:val="22"/>
                <w:lang w:val="en-US"/>
              </w:rPr>
              <w:t>7</w:t>
            </w:r>
          </w:p>
        </w:tc>
        <w:tc>
          <w:tcPr>
            <w:tcW w:w="938" w:type="dxa"/>
          </w:tcPr>
          <w:p w14:paraId="5B32CE23" w14:textId="2429A25D" w:rsidR="002B7D11" w:rsidRPr="007133E7" w:rsidRDefault="002B7D11" w:rsidP="002B7D11">
            <w:pPr>
              <w:jc w:val="center"/>
              <w:rPr>
                <w:sz w:val="22"/>
                <w:lang w:val="en-US"/>
              </w:rPr>
            </w:pPr>
            <w:r w:rsidRPr="007133E7">
              <w:rPr>
                <w:sz w:val="22"/>
                <w:lang w:val="en-US"/>
              </w:rPr>
              <w:t>17</w:t>
            </w:r>
          </w:p>
        </w:tc>
        <w:tc>
          <w:tcPr>
            <w:tcW w:w="8129" w:type="dxa"/>
          </w:tcPr>
          <w:p w14:paraId="471B0136" w14:textId="0B1E5142" w:rsidR="002B7D11" w:rsidRPr="007133E7" w:rsidRDefault="004312A3" w:rsidP="002B7D11">
            <w:pPr>
              <w:jc w:val="both"/>
              <w:rPr>
                <w:sz w:val="22"/>
                <w:lang w:val="en-US"/>
              </w:rPr>
            </w:pPr>
            <w:r>
              <w:rPr>
                <w:sz w:val="22"/>
                <w:lang w:val="en-US"/>
              </w:rPr>
              <w:t>A</w:t>
            </w:r>
            <w:r w:rsidR="002B7D11" w:rsidRPr="007133E7">
              <w:rPr>
                <w:sz w:val="22"/>
                <w:lang w:val="en-US"/>
              </w:rPr>
              <w:t>pprove</w:t>
            </w:r>
            <w:r w:rsidR="006A3A6E">
              <w:rPr>
                <w:sz w:val="22"/>
                <w:lang w:val="en-US"/>
              </w:rPr>
              <w:t>d</w:t>
            </w:r>
            <w:bookmarkStart w:id="1" w:name="_GoBack"/>
            <w:bookmarkEnd w:id="1"/>
            <w:r w:rsidR="002B7D11" w:rsidRPr="007133E7">
              <w:rPr>
                <w:sz w:val="22"/>
                <w:lang w:val="en-US"/>
              </w:rPr>
              <w:t xml:space="preserve"> the draft IRCC Work Programme as discussed during the meeting (doc. IRCC1</w:t>
            </w:r>
            <w:r w:rsidR="002B7D11">
              <w:rPr>
                <w:sz w:val="22"/>
                <w:lang w:val="en-US"/>
              </w:rPr>
              <w:t>2</w:t>
            </w:r>
            <w:r w:rsidR="002B7D11" w:rsidRPr="007133E7">
              <w:rPr>
                <w:sz w:val="22"/>
                <w:lang w:val="en-US"/>
              </w:rPr>
              <w:t>-1</w:t>
            </w:r>
            <w:r w:rsidR="002B7D11">
              <w:rPr>
                <w:sz w:val="22"/>
                <w:lang w:val="en-US"/>
              </w:rPr>
              <w:t>3A</w:t>
            </w:r>
            <w:r w:rsidR="002B7D11" w:rsidRPr="007133E7">
              <w:rPr>
                <w:sz w:val="22"/>
                <w:lang w:val="en-US"/>
              </w:rPr>
              <w:t>).</w:t>
            </w:r>
          </w:p>
        </w:tc>
      </w:tr>
    </w:tbl>
    <w:p w14:paraId="7739AD72" w14:textId="77777777" w:rsidR="00F82CF2" w:rsidRPr="00122C00" w:rsidRDefault="00F82CF2" w:rsidP="00122C00">
      <w:pPr>
        <w:rPr>
          <w:sz w:val="22"/>
          <w:lang w:val="en-US"/>
        </w:rPr>
      </w:pPr>
    </w:p>
    <w:p w14:paraId="2D0A3990" w14:textId="6BD4597C" w:rsidR="00EC4978" w:rsidRPr="00122C00" w:rsidRDefault="00EC4978" w:rsidP="00122C00">
      <w:pPr>
        <w:tabs>
          <w:tab w:val="left" w:pos="5943"/>
        </w:tabs>
        <w:rPr>
          <w:sz w:val="22"/>
          <w:lang w:val="en-US"/>
        </w:rPr>
      </w:pPr>
    </w:p>
    <w:sectPr w:rsidR="00EC4978" w:rsidRPr="00122C00" w:rsidSect="00F971B5">
      <w:pgSz w:w="11907" w:h="16840"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D37DF" w14:textId="77777777" w:rsidR="009A53DD" w:rsidRDefault="009A53DD" w:rsidP="00100741">
      <w:r>
        <w:separator/>
      </w:r>
    </w:p>
  </w:endnote>
  <w:endnote w:type="continuationSeparator" w:id="0">
    <w:p w14:paraId="0E043328" w14:textId="77777777" w:rsidR="009A53DD" w:rsidRDefault="009A53DD" w:rsidP="001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Antiqu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Antiqu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6927B" w14:textId="77777777" w:rsidR="009A53DD" w:rsidRDefault="009A53DD" w:rsidP="00100741">
      <w:r>
        <w:separator/>
      </w:r>
    </w:p>
  </w:footnote>
  <w:footnote w:type="continuationSeparator" w:id="0">
    <w:p w14:paraId="0AF52238" w14:textId="77777777" w:rsidR="009A53DD" w:rsidRDefault="009A53DD" w:rsidP="00100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A7632F"/>
    <w:multiLevelType w:val="hybridMultilevel"/>
    <w:tmpl w:val="77AC791A"/>
    <w:lvl w:ilvl="0" w:tplc="11567C6E">
      <w:start w:val="1"/>
      <w:numFmt w:val="decimal"/>
      <w:lvlText w:val="Decision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22876"/>
    <w:multiLevelType w:val="hybridMultilevel"/>
    <w:tmpl w:val="EDB84A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0674C4"/>
    <w:multiLevelType w:val="hybridMultilevel"/>
    <w:tmpl w:val="91E8FB98"/>
    <w:lvl w:ilvl="0" w:tplc="23F49882">
      <w:start w:val="1"/>
      <w:numFmt w:val="decimal"/>
      <w:lvlText w:val="Action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06A37"/>
    <w:multiLevelType w:val="hybridMultilevel"/>
    <w:tmpl w:val="97EE0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A6216"/>
    <w:multiLevelType w:val="hybridMultilevel"/>
    <w:tmpl w:val="0DE8DB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E43D9B"/>
    <w:multiLevelType w:val="hybridMultilevel"/>
    <w:tmpl w:val="4BC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92383"/>
    <w:multiLevelType w:val="hybridMultilevel"/>
    <w:tmpl w:val="5DAC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E512A"/>
    <w:multiLevelType w:val="hybridMultilevel"/>
    <w:tmpl w:val="6A26BE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877A5D"/>
    <w:multiLevelType w:val="hybridMultilevel"/>
    <w:tmpl w:val="0DE8DB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E06EB7"/>
    <w:multiLevelType w:val="hybridMultilevel"/>
    <w:tmpl w:val="53CE9F82"/>
    <w:lvl w:ilvl="0" w:tplc="3E40949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8B267E"/>
    <w:multiLevelType w:val="hybridMultilevel"/>
    <w:tmpl w:val="57A84C96"/>
    <w:lvl w:ilvl="0" w:tplc="66F400D8">
      <w:start w:val="1"/>
      <w:numFmt w:val="decimal"/>
      <w:lvlText w:val="%1."/>
      <w:lvlJc w:val="left"/>
      <w:pPr>
        <w:ind w:left="360" w:hanging="360"/>
      </w:pPr>
      <w:rPr>
        <w:rFonts w:ascii="Times New Roman" w:hAnsi="Times New Roman" w:hint="default"/>
        <w:b w:val="0"/>
        <w:i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041D4B"/>
    <w:multiLevelType w:val="hybridMultilevel"/>
    <w:tmpl w:val="0DE8DB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9C6769"/>
    <w:multiLevelType w:val="hybridMultilevel"/>
    <w:tmpl w:val="C4D22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521A1C"/>
    <w:multiLevelType w:val="hybridMultilevel"/>
    <w:tmpl w:val="1C7C386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93AF2"/>
    <w:multiLevelType w:val="hybridMultilevel"/>
    <w:tmpl w:val="135ACCB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7B1980"/>
    <w:multiLevelType w:val="hybridMultilevel"/>
    <w:tmpl w:val="0ECE785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3"/>
  </w:num>
  <w:num w:numId="3">
    <w:abstractNumId w:val="1"/>
  </w:num>
  <w:num w:numId="4">
    <w:abstractNumId w:val="4"/>
  </w:num>
  <w:num w:numId="5">
    <w:abstractNumId w:val="5"/>
  </w:num>
  <w:num w:numId="6">
    <w:abstractNumId w:val="6"/>
  </w:num>
  <w:num w:numId="7">
    <w:abstractNumId w:val="14"/>
  </w:num>
  <w:num w:numId="8">
    <w:abstractNumId w:val="7"/>
  </w:num>
  <w:num w:numId="9">
    <w:abstractNumId w:val="8"/>
  </w:num>
  <w:num w:numId="10">
    <w:abstractNumId w:val="15"/>
  </w:num>
  <w:num w:numId="11">
    <w:abstractNumId w:val="11"/>
  </w:num>
  <w:num w:numId="12">
    <w:abstractNumId w:val="12"/>
  </w:num>
  <w:num w:numId="13">
    <w:abstractNumId w:val="10"/>
  </w:num>
  <w:num w:numId="14">
    <w:abstractNumId w:val="3"/>
  </w:num>
  <w:num w:numId="15">
    <w:abstractNumId w:val="9"/>
  </w:num>
  <w:num w:numId="16">
    <w:abstractNumId w:val="17"/>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EE"/>
    <w:rsid w:val="0000029D"/>
    <w:rsid w:val="00000566"/>
    <w:rsid w:val="0000210B"/>
    <w:rsid w:val="000034B6"/>
    <w:rsid w:val="00006756"/>
    <w:rsid w:val="00012D10"/>
    <w:rsid w:val="00013721"/>
    <w:rsid w:val="000211C2"/>
    <w:rsid w:val="00022FEC"/>
    <w:rsid w:val="0002627E"/>
    <w:rsid w:val="000267DC"/>
    <w:rsid w:val="000356B5"/>
    <w:rsid w:val="00036E2E"/>
    <w:rsid w:val="00037FF9"/>
    <w:rsid w:val="00042CB6"/>
    <w:rsid w:val="00046F1B"/>
    <w:rsid w:val="0005088F"/>
    <w:rsid w:val="00053E96"/>
    <w:rsid w:val="00054322"/>
    <w:rsid w:val="00056755"/>
    <w:rsid w:val="00063270"/>
    <w:rsid w:val="000637BE"/>
    <w:rsid w:val="00070293"/>
    <w:rsid w:val="000702F8"/>
    <w:rsid w:val="00075C1B"/>
    <w:rsid w:val="00077E76"/>
    <w:rsid w:val="00083363"/>
    <w:rsid w:val="0008423B"/>
    <w:rsid w:val="00087932"/>
    <w:rsid w:val="00090528"/>
    <w:rsid w:val="000916DD"/>
    <w:rsid w:val="00092AC2"/>
    <w:rsid w:val="00096048"/>
    <w:rsid w:val="000967B6"/>
    <w:rsid w:val="00096E0A"/>
    <w:rsid w:val="000A1210"/>
    <w:rsid w:val="000A771B"/>
    <w:rsid w:val="000B2424"/>
    <w:rsid w:val="000B32B6"/>
    <w:rsid w:val="000B43C3"/>
    <w:rsid w:val="000B654D"/>
    <w:rsid w:val="000C2BC5"/>
    <w:rsid w:val="000D3760"/>
    <w:rsid w:val="000D414C"/>
    <w:rsid w:val="000D6264"/>
    <w:rsid w:val="000D77D1"/>
    <w:rsid w:val="000D7A61"/>
    <w:rsid w:val="000E0D5E"/>
    <w:rsid w:val="000E42EB"/>
    <w:rsid w:val="000E5742"/>
    <w:rsid w:val="000F0C77"/>
    <w:rsid w:val="000F3884"/>
    <w:rsid w:val="00100189"/>
    <w:rsid w:val="00100741"/>
    <w:rsid w:val="001010B2"/>
    <w:rsid w:val="0010666A"/>
    <w:rsid w:val="0011171C"/>
    <w:rsid w:val="00112910"/>
    <w:rsid w:val="00114007"/>
    <w:rsid w:val="001153FE"/>
    <w:rsid w:val="001208D8"/>
    <w:rsid w:val="00122C00"/>
    <w:rsid w:val="00124749"/>
    <w:rsid w:val="001312FD"/>
    <w:rsid w:val="00136D22"/>
    <w:rsid w:val="00140802"/>
    <w:rsid w:val="00142734"/>
    <w:rsid w:val="00146AF8"/>
    <w:rsid w:val="001471DB"/>
    <w:rsid w:val="00153BB4"/>
    <w:rsid w:val="00155430"/>
    <w:rsid w:val="00156C1E"/>
    <w:rsid w:val="00157521"/>
    <w:rsid w:val="00157EA1"/>
    <w:rsid w:val="001619D7"/>
    <w:rsid w:val="00161CC6"/>
    <w:rsid w:val="0016200B"/>
    <w:rsid w:val="00165712"/>
    <w:rsid w:val="001659FE"/>
    <w:rsid w:val="0016720E"/>
    <w:rsid w:val="00167786"/>
    <w:rsid w:val="00173F19"/>
    <w:rsid w:val="00174316"/>
    <w:rsid w:val="00180174"/>
    <w:rsid w:val="001810C7"/>
    <w:rsid w:val="0018382F"/>
    <w:rsid w:val="0018513F"/>
    <w:rsid w:val="00185D02"/>
    <w:rsid w:val="00185E0B"/>
    <w:rsid w:val="00187156"/>
    <w:rsid w:val="001910C1"/>
    <w:rsid w:val="001913D4"/>
    <w:rsid w:val="00193A4E"/>
    <w:rsid w:val="00194849"/>
    <w:rsid w:val="001B1E3F"/>
    <w:rsid w:val="001B325E"/>
    <w:rsid w:val="001B659F"/>
    <w:rsid w:val="001B73D5"/>
    <w:rsid w:val="001B7876"/>
    <w:rsid w:val="001C220E"/>
    <w:rsid w:val="001C282B"/>
    <w:rsid w:val="001C3A9B"/>
    <w:rsid w:val="001C3D0C"/>
    <w:rsid w:val="001C6B1C"/>
    <w:rsid w:val="001D021F"/>
    <w:rsid w:val="001D2640"/>
    <w:rsid w:val="001D47F1"/>
    <w:rsid w:val="001E02B4"/>
    <w:rsid w:val="001E2ADC"/>
    <w:rsid w:val="001E428C"/>
    <w:rsid w:val="001F0F25"/>
    <w:rsid w:val="001F3210"/>
    <w:rsid w:val="00200634"/>
    <w:rsid w:val="00202E99"/>
    <w:rsid w:val="00205C31"/>
    <w:rsid w:val="00210179"/>
    <w:rsid w:val="0021078F"/>
    <w:rsid w:val="002107E3"/>
    <w:rsid w:val="00213A2A"/>
    <w:rsid w:val="002143E2"/>
    <w:rsid w:val="00216BD2"/>
    <w:rsid w:val="002235E8"/>
    <w:rsid w:val="00223E57"/>
    <w:rsid w:val="00225430"/>
    <w:rsid w:val="002309F3"/>
    <w:rsid w:val="00232431"/>
    <w:rsid w:val="00232BC2"/>
    <w:rsid w:val="00233BF2"/>
    <w:rsid w:val="0024165F"/>
    <w:rsid w:val="002464C5"/>
    <w:rsid w:val="00247E56"/>
    <w:rsid w:val="00250BF0"/>
    <w:rsid w:val="002555A3"/>
    <w:rsid w:val="002621A4"/>
    <w:rsid w:val="00263D10"/>
    <w:rsid w:val="00265AA4"/>
    <w:rsid w:val="00267C5A"/>
    <w:rsid w:val="00267CC7"/>
    <w:rsid w:val="00270AF2"/>
    <w:rsid w:val="00271439"/>
    <w:rsid w:val="002747E2"/>
    <w:rsid w:val="00275828"/>
    <w:rsid w:val="00275D2E"/>
    <w:rsid w:val="00276EB6"/>
    <w:rsid w:val="00285CD9"/>
    <w:rsid w:val="00290B83"/>
    <w:rsid w:val="00290BC7"/>
    <w:rsid w:val="002A266E"/>
    <w:rsid w:val="002A3C44"/>
    <w:rsid w:val="002A5E23"/>
    <w:rsid w:val="002B25F7"/>
    <w:rsid w:val="002B4437"/>
    <w:rsid w:val="002B5799"/>
    <w:rsid w:val="002B77DB"/>
    <w:rsid w:val="002B7D11"/>
    <w:rsid w:val="002C2A65"/>
    <w:rsid w:val="002D2CF3"/>
    <w:rsid w:val="002D73E5"/>
    <w:rsid w:val="002E3A8D"/>
    <w:rsid w:val="002E428C"/>
    <w:rsid w:val="002E4A07"/>
    <w:rsid w:val="002E5C2B"/>
    <w:rsid w:val="002E697D"/>
    <w:rsid w:val="002F2069"/>
    <w:rsid w:val="002F5AE5"/>
    <w:rsid w:val="002F630E"/>
    <w:rsid w:val="002F7A57"/>
    <w:rsid w:val="00300962"/>
    <w:rsid w:val="00300F35"/>
    <w:rsid w:val="0031694C"/>
    <w:rsid w:val="003203D8"/>
    <w:rsid w:val="00322DD6"/>
    <w:rsid w:val="00330DC1"/>
    <w:rsid w:val="00333221"/>
    <w:rsid w:val="00340299"/>
    <w:rsid w:val="003431CD"/>
    <w:rsid w:val="003433F1"/>
    <w:rsid w:val="003453A0"/>
    <w:rsid w:val="00345727"/>
    <w:rsid w:val="003536E7"/>
    <w:rsid w:val="00355FDA"/>
    <w:rsid w:val="00357498"/>
    <w:rsid w:val="003613D2"/>
    <w:rsid w:val="00361C1A"/>
    <w:rsid w:val="00363EB6"/>
    <w:rsid w:val="00367F22"/>
    <w:rsid w:val="0037164C"/>
    <w:rsid w:val="0037491F"/>
    <w:rsid w:val="003772FB"/>
    <w:rsid w:val="00380D2A"/>
    <w:rsid w:val="00383E01"/>
    <w:rsid w:val="00383F4A"/>
    <w:rsid w:val="0038470B"/>
    <w:rsid w:val="003854B2"/>
    <w:rsid w:val="00386CFA"/>
    <w:rsid w:val="00387911"/>
    <w:rsid w:val="00390A97"/>
    <w:rsid w:val="003958AD"/>
    <w:rsid w:val="00396125"/>
    <w:rsid w:val="003A2D6B"/>
    <w:rsid w:val="003A338D"/>
    <w:rsid w:val="003A7084"/>
    <w:rsid w:val="003B61D8"/>
    <w:rsid w:val="003C4304"/>
    <w:rsid w:val="003C6805"/>
    <w:rsid w:val="003C74C9"/>
    <w:rsid w:val="003D00D7"/>
    <w:rsid w:val="003D22C8"/>
    <w:rsid w:val="003D3343"/>
    <w:rsid w:val="003D43A9"/>
    <w:rsid w:val="003D613D"/>
    <w:rsid w:val="003D71DD"/>
    <w:rsid w:val="003D764F"/>
    <w:rsid w:val="003E07D8"/>
    <w:rsid w:val="003E2A0E"/>
    <w:rsid w:val="003E2C3A"/>
    <w:rsid w:val="003E31E0"/>
    <w:rsid w:val="003F1EDC"/>
    <w:rsid w:val="003F2D92"/>
    <w:rsid w:val="003F3AFC"/>
    <w:rsid w:val="003F3B7B"/>
    <w:rsid w:val="003F41E3"/>
    <w:rsid w:val="003F6E2A"/>
    <w:rsid w:val="00406EB3"/>
    <w:rsid w:val="004106E9"/>
    <w:rsid w:val="0041216D"/>
    <w:rsid w:val="00414BF4"/>
    <w:rsid w:val="004174D0"/>
    <w:rsid w:val="004230F2"/>
    <w:rsid w:val="004267EC"/>
    <w:rsid w:val="00430113"/>
    <w:rsid w:val="004312A3"/>
    <w:rsid w:val="00431AC6"/>
    <w:rsid w:val="00431D72"/>
    <w:rsid w:val="004363CF"/>
    <w:rsid w:val="00444F4F"/>
    <w:rsid w:val="004471BC"/>
    <w:rsid w:val="0045047F"/>
    <w:rsid w:val="004511A0"/>
    <w:rsid w:val="00453F04"/>
    <w:rsid w:val="004556D6"/>
    <w:rsid w:val="00456D4C"/>
    <w:rsid w:val="004579DC"/>
    <w:rsid w:val="00457AB5"/>
    <w:rsid w:val="0046748D"/>
    <w:rsid w:val="004715C5"/>
    <w:rsid w:val="00472424"/>
    <w:rsid w:val="00475680"/>
    <w:rsid w:val="0047770F"/>
    <w:rsid w:val="00480EF7"/>
    <w:rsid w:val="00484860"/>
    <w:rsid w:val="00486010"/>
    <w:rsid w:val="004908A3"/>
    <w:rsid w:val="004A2740"/>
    <w:rsid w:val="004A2F5A"/>
    <w:rsid w:val="004A34DD"/>
    <w:rsid w:val="004A68A4"/>
    <w:rsid w:val="004A6ED7"/>
    <w:rsid w:val="004B3E2B"/>
    <w:rsid w:val="004B642E"/>
    <w:rsid w:val="004C0CB9"/>
    <w:rsid w:val="004C12E7"/>
    <w:rsid w:val="004C21F6"/>
    <w:rsid w:val="004C27A8"/>
    <w:rsid w:val="004C3AA3"/>
    <w:rsid w:val="004C4CB9"/>
    <w:rsid w:val="004D2047"/>
    <w:rsid w:val="004D7A28"/>
    <w:rsid w:val="004D7DF5"/>
    <w:rsid w:val="004F1BAE"/>
    <w:rsid w:val="004F45B4"/>
    <w:rsid w:val="00500E64"/>
    <w:rsid w:val="005037D9"/>
    <w:rsid w:val="00506281"/>
    <w:rsid w:val="005074BB"/>
    <w:rsid w:val="005106A0"/>
    <w:rsid w:val="00512089"/>
    <w:rsid w:val="00512C08"/>
    <w:rsid w:val="00514596"/>
    <w:rsid w:val="00514789"/>
    <w:rsid w:val="00514A16"/>
    <w:rsid w:val="00515761"/>
    <w:rsid w:val="00516F7D"/>
    <w:rsid w:val="005175E3"/>
    <w:rsid w:val="0052071B"/>
    <w:rsid w:val="005216F0"/>
    <w:rsid w:val="00524C80"/>
    <w:rsid w:val="005261BE"/>
    <w:rsid w:val="0053058A"/>
    <w:rsid w:val="005309A8"/>
    <w:rsid w:val="005317BF"/>
    <w:rsid w:val="00531DD9"/>
    <w:rsid w:val="005323EE"/>
    <w:rsid w:val="005330A1"/>
    <w:rsid w:val="005341B3"/>
    <w:rsid w:val="005442D7"/>
    <w:rsid w:val="00544417"/>
    <w:rsid w:val="00544982"/>
    <w:rsid w:val="005554D4"/>
    <w:rsid w:val="00555865"/>
    <w:rsid w:val="0055784E"/>
    <w:rsid w:val="00557D94"/>
    <w:rsid w:val="00563C0A"/>
    <w:rsid w:val="00564D3C"/>
    <w:rsid w:val="005666D4"/>
    <w:rsid w:val="00572BDB"/>
    <w:rsid w:val="00573EC9"/>
    <w:rsid w:val="00574E9C"/>
    <w:rsid w:val="00576789"/>
    <w:rsid w:val="00577BFF"/>
    <w:rsid w:val="00580FCD"/>
    <w:rsid w:val="005810F3"/>
    <w:rsid w:val="00581230"/>
    <w:rsid w:val="005868B7"/>
    <w:rsid w:val="0059647E"/>
    <w:rsid w:val="005964FF"/>
    <w:rsid w:val="005A2F4F"/>
    <w:rsid w:val="005B4A57"/>
    <w:rsid w:val="005B7C22"/>
    <w:rsid w:val="005D4981"/>
    <w:rsid w:val="005D4F22"/>
    <w:rsid w:val="005D653E"/>
    <w:rsid w:val="005E7521"/>
    <w:rsid w:val="005E76D3"/>
    <w:rsid w:val="005F604D"/>
    <w:rsid w:val="005F6720"/>
    <w:rsid w:val="005F75F0"/>
    <w:rsid w:val="005F7A45"/>
    <w:rsid w:val="00602A5A"/>
    <w:rsid w:val="006035DE"/>
    <w:rsid w:val="006161C2"/>
    <w:rsid w:val="0062039F"/>
    <w:rsid w:val="006205A3"/>
    <w:rsid w:val="00625E96"/>
    <w:rsid w:val="00635153"/>
    <w:rsid w:val="00635A83"/>
    <w:rsid w:val="00636C5D"/>
    <w:rsid w:val="00636D8A"/>
    <w:rsid w:val="00640F9D"/>
    <w:rsid w:val="006423EA"/>
    <w:rsid w:val="00642978"/>
    <w:rsid w:val="006433B0"/>
    <w:rsid w:val="006433C3"/>
    <w:rsid w:val="00645700"/>
    <w:rsid w:val="00645B98"/>
    <w:rsid w:val="006472D9"/>
    <w:rsid w:val="00647B51"/>
    <w:rsid w:val="00647F70"/>
    <w:rsid w:val="00656A08"/>
    <w:rsid w:val="00656A24"/>
    <w:rsid w:val="00662681"/>
    <w:rsid w:val="0066293C"/>
    <w:rsid w:val="0066351F"/>
    <w:rsid w:val="0066481B"/>
    <w:rsid w:val="00666F09"/>
    <w:rsid w:val="00674B14"/>
    <w:rsid w:val="00675EA3"/>
    <w:rsid w:val="00676FD9"/>
    <w:rsid w:val="00683BE8"/>
    <w:rsid w:val="006863B1"/>
    <w:rsid w:val="00686551"/>
    <w:rsid w:val="0069186B"/>
    <w:rsid w:val="00692753"/>
    <w:rsid w:val="00694754"/>
    <w:rsid w:val="00694B54"/>
    <w:rsid w:val="00695FAC"/>
    <w:rsid w:val="006A3A6E"/>
    <w:rsid w:val="006A5BE1"/>
    <w:rsid w:val="006A6BB3"/>
    <w:rsid w:val="006A7287"/>
    <w:rsid w:val="006A7353"/>
    <w:rsid w:val="006B014D"/>
    <w:rsid w:val="006B110F"/>
    <w:rsid w:val="006B13AE"/>
    <w:rsid w:val="006B2CE6"/>
    <w:rsid w:val="006C26E8"/>
    <w:rsid w:val="006C55AC"/>
    <w:rsid w:val="006C7278"/>
    <w:rsid w:val="006D1B60"/>
    <w:rsid w:val="006D216D"/>
    <w:rsid w:val="006D5B4A"/>
    <w:rsid w:val="006E1140"/>
    <w:rsid w:val="006E14AF"/>
    <w:rsid w:val="006E554F"/>
    <w:rsid w:val="006F3464"/>
    <w:rsid w:val="006F4349"/>
    <w:rsid w:val="006F656D"/>
    <w:rsid w:val="006F6DDE"/>
    <w:rsid w:val="007001F2"/>
    <w:rsid w:val="00700547"/>
    <w:rsid w:val="00700A27"/>
    <w:rsid w:val="00700AE2"/>
    <w:rsid w:val="0070305E"/>
    <w:rsid w:val="00704EAD"/>
    <w:rsid w:val="00707120"/>
    <w:rsid w:val="007133E7"/>
    <w:rsid w:val="00714BCE"/>
    <w:rsid w:val="00717852"/>
    <w:rsid w:val="00730150"/>
    <w:rsid w:val="00731BCD"/>
    <w:rsid w:val="00732C29"/>
    <w:rsid w:val="007373FC"/>
    <w:rsid w:val="007373FD"/>
    <w:rsid w:val="007409EC"/>
    <w:rsid w:val="00742636"/>
    <w:rsid w:val="00743C28"/>
    <w:rsid w:val="00747CDC"/>
    <w:rsid w:val="007522A7"/>
    <w:rsid w:val="007526D4"/>
    <w:rsid w:val="00770082"/>
    <w:rsid w:val="007800A8"/>
    <w:rsid w:val="00782175"/>
    <w:rsid w:val="007864BA"/>
    <w:rsid w:val="007864EE"/>
    <w:rsid w:val="00786C2C"/>
    <w:rsid w:val="00792050"/>
    <w:rsid w:val="00797FC9"/>
    <w:rsid w:val="007A1504"/>
    <w:rsid w:val="007A3AC0"/>
    <w:rsid w:val="007A5867"/>
    <w:rsid w:val="007A6DDF"/>
    <w:rsid w:val="007B09EB"/>
    <w:rsid w:val="007B34FA"/>
    <w:rsid w:val="007B65FD"/>
    <w:rsid w:val="007B66AD"/>
    <w:rsid w:val="007C3A1F"/>
    <w:rsid w:val="007C58B6"/>
    <w:rsid w:val="007C74BB"/>
    <w:rsid w:val="007D0702"/>
    <w:rsid w:val="007E0066"/>
    <w:rsid w:val="007E1A55"/>
    <w:rsid w:val="007E1E3A"/>
    <w:rsid w:val="007E2450"/>
    <w:rsid w:val="007E3DF2"/>
    <w:rsid w:val="007F1255"/>
    <w:rsid w:val="007F31E7"/>
    <w:rsid w:val="007F3E5B"/>
    <w:rsid w:val="007F45D9"/>
    <w:rsid w:val="007F5826"/>
    <w:rsid w:val="007F64A9"/>
    <w:rsid w:val="00802532"/>
    <w:rsid w:val="0080327A"/>
    <w:rsid w:val="00807BC8"/>
    <w:rsid w:val="00811B86"/>
    <w:rsid w:val="0081420C"/>
    <w:rsid w:val="00817437"/>
    <w:rsid w:val="00822A18"/>
    <w:rsid w:val="00822D7F"/>
    <w:rsid w:val="008231B8"/>
    <w:rsid w:val="00826E3D"/>
    <w:rsid w:val="008273A3"/>
    <w:rsid w:val="00831441"/>
    <w:rsid w:val="008353F9"/>
    <w:rsid w:val="008356A7"/>
    <w:rsid w:val="008401DB"/>
    <w:rsid w:val="008435D0"/>
    <w:rsid w:val="0086155C"/>
    <w:rsid w:val="00864DAC"/>
    <w:rsid w:val="00865031"/>
    <w:rsid w:val="00870628"/>
    <w:rsid w:val="00871F41"/>
    <w:rsid w:val="00873A72"/>
    <w:rsid w:val="008762E9"/>
    <w:rsid w:val="00876594"/>
    <w:rsid w:val="008804D4"/>
    <w:rsid w:val="0088061D"/>
    <w:rsid w:val="00880FBC"/>
    <w:rsid w:val="00882372"/>
    <w:rsid w:val="008827F7"/>
    <w:rsid w:val="0088317B"/>
    <w:rsid w:val="008874A1"/>
    <w:rsid w:val="00891366"/>
    <w:rsid w:val="008919D1"/>
    <w:rsid w:val="00892B48"/>
    <w:rsid w:val="008959CD"/>
    <w:rsid w:val="008A33E9"/>
    <w:rsid w:val="008A6234"/>
    <w:rsid w:val="008B1410"/>
    <w:rsid w:val="008B18A7"/>
    <w:rsid w:val="008B18F7"/>
    <w:rsid w:val="008B2505"/>
    <w:rsid w:val="008B2848"/>
    <w:rsid w:val="008C169C"/>
    <w:rsid w:val="008C50D5"/>
    <w:rsid w:val="008C6268"/>
    <w:rsid w:val="008D0A9E"/>
    <w:rsid w:val="008D1473"/>
    <w:rsid w:val="008D29E0"/>
    <w:rsid w:val="008D4A04"/>
    <w:rsid w:val="008E17FB"/>
    <w:rsid w:val="008E3295"/>
    <w:rsid w:val="008E439F"/>
    <w:rsid w:val="008E612B"/>
    <w:rsid w:val="008F1877"/>
    <w:rsid w:val="008F2E11"/>
    <w:rsid w:val="008F4546"/>
    <w:rsid w:val="008F4558"/>
    <w:rsid w:val="008F6471"/>
    <w:rsid w:val="008F7291"/>
    <w:rsid w:val="0090201D"/>
    <w:rsid w:val="00904444"/>
    <w:rsid w:val="00911CBC"/>
    <w:rsid w:val="009148EA"/>
    <w:rsid w:val="00914AE5"/>
    <w:rsid w:val="00915B05"/>
    <w:rsid w:val="009276AF"/>
    <w:rsid w:val="0093644D"/>
    <w:rsid w:val="0093735C"/>
    <w:rsid w:val="00943BA6"/>
    <w:rsid w:val="00944602"/>
    <w:rsid w:val="00944F25"/>
    <w:rsid w:val="0094721D"/>
    <w:rsid w:val="00951305"/>
    <w:rsid w:val="00951C32"/>
    <w:rsid w:val="00951F25"/>
    <w:rsid w:val="00954B29"/>
    <w:rsid w:val="009575EA"/>
    <w:rsid w:val="00957A73"/>
    <w:rsid w:val="00962A6D"/>
    <w:rsid w:val="0096411B"/>
    <w:rsid w:val="00965935"/>
    <w:rsid w:val="00970952"/>
    <w:rsid w:val="009731DF"/>
    <w:rsid w:val="00973BFC"/>
    <w:rsid w:val="00975341"/>
    <w:rsid w:val="00975549"/>
    <w:rsid w:val="00975DB9"/>
    <w:rsid w:val="009776F9"/>
    <w:rsid w:val="00982153"/>
    <w:rsid w:val="009851E5"/>
    <w:rsid w:val="00986D9C"/>
    <w:rsid w:val="00991EDF"/>
    <w:rsid w:val="00992E1C"/>
    <w:rsid w:val="00993A17"/>
    <w:rsid w:val="009945C5"/>
    <w:rsid w:val="00997BB4"/>
    <w:rsid w:val="009A3247"/>
    <w:rsid w:val="009A53DD"/>
    <w:rsid w:val="009A58A0"/>
    <w:rsid w:val="009B0D4B"/>
    <w:rsid w:val="009B2114"/>
    <w:rsid w:val="009B32C4"/>
    <w:rsid w:val="009B332C"/>
    <w:rsid w:val="009B6505"/>
    <w:rsid w:val="009C0203"/>
    <w:rsid w:val="009C1181"/>
    <w:rsid w:val="009C2746"/>
    <w:rsid w:val="009C51E8"/>
    <w:rsid w:val="009D356D"/>
    <w:rsid w:val="009D4951"/>
    <w:rsid w:val="009D4AF1"/>
    <w:rsid w:val="009D5C9D"/>
    <w:rsid w:val="009D641E"/>
    <w:rsid w:val="009E0058"/>
    <w:rsid w:val="009E2602"/>
    <w:rsid w:val="009E6705"/>
    <w:rsid w:val="009F1605"/>
    <w:rsid w:val="009F33CB"/>
    <w:rsid w:val="009F50D2"/>
    <w:rsid w:val="00A040C3"/>
    <w:rsid w:val="00A10BB8"/>
    <w:rsid w:val="00A10FDB"/>
    <w:rsid w:val="00A123CE"/>
    <w:rsid w:val="00A151F9"/>
    <w:rsid w:val="00A177FB"/>
    <w:rsid w:val="00A2122D"/>
    <w:rsid w:val="00A222C7"/>
    <w:rsid w:val="00A22752"/>
    <w:rsid w:val="00A2545A"/>
    <w:rsid w:val="00A3483E"/>
    <w:rsid w:val="00A47225"/>
    <w:rsid w:val="00A5515A"/>
    <w:rsid w:val="00A574E6"/>
    <w:rsid w:val="00A66B4F"/>
    <w:rsid w:val="00A71E38"/>
    <w:rsid w:val="00A72191"/>
    <w:rsid w:val="00A741BC"/>
    <w:rsid w:val="00A75848"/>
    <w:rsid w:val="00A7679A"/>
    <w:rsid w:val="00A7736B"/>
    <w:rsid w:val="00A83CDE"/>
    <w:rsid w:val="00A86DA6"/>
    <w:rsid w:val="00A8702A"/>
    <w:rsid w:val="00A90B0B"/>
    <w:rsid w:val="00A9252F"/>
    <w:rsid w:val="00A93C5B"/>
    <w:rsid w:val="00A962FD"/>
    <w:rsid w:val="00AA065A"/>
    <w:rsid w:val="00AA63DB"/>
    <w:rsid w:val="00AB36FB"/>
    <w:rsid w:val="00AC03EF"/>
    <w:rsid w:val="00AC5DA4"/>
    <w:rsid w:val="00AC6217"/>
    <w:rsid w:val="00AD1F47"/>
    <w:rsid w:val="00AD2389"/>
    <w:rsid w:val="00AE692C"/>
    <w:rsid w:val="00AE705D"/>
    <w:rsid w:val="00AE792F"/>
    <w:rsid w:val="00AE7B82"/>
    <w:rsid w:val="00AF05D3"/>
    <w:rsid w:val="00AF0C6E"/>
    <w:rsid w:val="00B02992"/>
    <w:rsid w:val="00B03D7D"/>
    <w:rsid w:val="00B04931"/>
    <w:rsid w:val="00B100A6"/>
    <w:rsid w:val="00B153F8"/>
    <w:rsid w:val="00B17B14"/>
    <w:rsid w:val="00B2387B"/>
    <w:rsid w:val="00B24276"/>
    <w:rsid w:val="00B3096D"/>
    <w:rsid w:val="00B33F06"/>
    <w:rsid w:val="00B359A1"/>
    <w:rsid w:val="00B3710A"/>
    <w:rsid w:val="00B40F0E"/>
    <w:rsid w:val="00B46A05"/>
    <w:rsid w:val="00B47706"/>
    <w:rsid w:val="00B501C3"/>
    <w:rsid w:val="00B640C6"/>
    <w:rsid w:val="00B659D0"/>
    <w:rsid w:val="00B66AAC"/>
    <w:rsid w:val="00B67D3D"/>
    <w:rsid w:val="00B7188F"/>
    <w:rsid w:val="00B75928"/>
    <w:rsid w:val="00B76BA7"/>
    <w:rsid w:val="00B828F9"/>
    <w:rsid w:val="00B83370"/>
    <w:rsid w:val="00B8542A"/>
    <w:rsid w:val="00B8758D"/>
    <w:rsid w:val="00B91503"/>
    <w:rsid w:val="00B94F9C"/>
    <w:rsid w:val="00B96309"/>
    <w:rsid w:val="00BA3BDD"/>
    <w:rsid w:val="00BA432C"/>
    <w:rsid w:val="00BA56D3"/>
    <w:rsid w:val="00BB079D"/>
    <w:rsid w:val="00BB4C22"/>
    <w:rsid w:val="00BB6951"/>
    <w:rsid w:val="00BB70BC"/>
    <w:rsid w:val="00BB778E"/>
    <w:rsid w:val="00BC3842"/>
    <w:rsid w:val="00BC70F7"/>
    <w:rsid w:val="00BD307F"/>
    <w:rsid w:val="00BD4154"/>
    <w:rsid w:val="00BD4D8D"/>
    <w:rsid w:val="00BE35B1"/>
    <w:rsid w:val="00BE5272"/>
    <w:rsid w:val="00BE5B7D"/>
    <w:rsid w:val="00BE682E"/>
    <w:rsid w:val="00BE6DAF"/>
    <w:rsid w:val="00BF10F5"/>
    <w:rsid w:val="00BF33E0"/>
    <w:rsid w:val="00BF6810"/>
    <w:rsid w:val="00BF7433"/>
    <w:rsid w:val="00BF7894"/>
    <w:rsid w:val="00C003D8"/>
    <w:rsid w:val="00C01C7F"/>
    <w:rsid w:val="00C060A0"/>
    <w:rsid w:val="00C10561"/>
    <w:rsid w:val="00C12B59"/>
    <w:rsid w:val="00C15383"/>
    <w:rsid w:val="00C21425"/>
    <w:rsid w:val="00C2178D"/>
    <w:rsid w:val="00C2257B"/>
    <w:rsid w:val="00C23C86"/>
    <w:rsid w:val="00C24858"/>
    <w:rsid w:val="00C251C8"/>
    <w:rsid w:val="00C30DC8"/>
    <w:rsid w:val="00C32DBF"/>
    <w:rsid w:val="00C32E71"/>
    <w:rsid w:val="00C36B7D"/>
    <w:rsid w:val="00C44873"/>
    <w:rsid w:val="00C448FF"/>
    <w:rsid w:val="00C450A9"/>
    <w:rsid w:val="00C51468"/>
    <w:rsid w:val="00C5652F"/>
    <w:rsid w:val="00C57F9E"/>
    <w:rsid w:val="00C6047E"/>
    <w:rsid w:val="00C70D09"/>
    <w:rsid w:val="00C71242"/>
    <w:rsid w:val="00C7224D"/>
    <w:rsid w:val="00C7276F"/>
    <w:rsid w:val="00C738D4"/>
    <w:rsid w:val="00C75F73"/>
    <w:rsid w:val="00C81B15"/>
    <w:rsid w:val="00C95704"/>
    <w:rsid w:val="00C97C8F"/>
    <w:rsid w:val="00CA066F"/>
    <w:rsid w:val="00CA09AF"/>
    <w:rsid w:val="00CA2ABA"/>
    <w:rsid w:val="00CA4A5B"/>
    <w:rsid w:val="00CA6BEA"/>
    <w:rsid w:val="00CB1A4C"/>
    <w:rsid w:val="00CB264B"/>
    <w:rsid w:val="00CB3282"/>
    <w:rsid w:val="00CB429E"/>
    <w:rsid w:val="00CB6790"/>
    <w:rsid w:val="00CB76C3"/>
    <w:rsid w:val="00CC225C"/>
    <w:rsid w:val="00CC340B"/>
    <w:rsid w:val="00CC467F"/>
    <w:rsid w:val="00CC7CDD"/>
    <w:rsid w:val="00CD1194"/>
    <w:rsid w:val="00CD1DCF"/>
    <w:rsid w:val="00CD3478"/>
    <w:rsid w:val="00CD42E1"/>
    <w:rsid w:val="00CD56F4"/>
    <w:rsid w:val="00CE4E9A"/>
    <w:rsid w:val="00CE5471"/>
    <w:rsid w:val="00CE5F58"/>
    <w:rsid w:val="00CE68D6"/>
    <w:rsid w:val="00CF1375"/>
    <w:rsid w:val="00CF508A"/>
    <w:rsid w:val="00CF537F"/>
    <w:rsid w:val="00D026B9"/>
    <w:rsid w:val="00D02D00"/>
    <w:rsid w:val="00D035CF"/>
    <w:rsid w:val="00D05A08"/>
    <w:rsid w:val="00D05A97"/>
    <w:rsid w:val="00D1331F"/>
    <w:rsid w:val="00D15EEC"/>
    <w:rsid w:val="00D1787A"/>
    <w:rsid w:val="00D20ADC"/>
    <w:rsid w:val="00D231EE"/>
    <w:rsid w:val="00D24919"/>
    <w:rsid w:val="00D2543F"/>
    <w:rsid w:val="00D2640C"/>
    <w:rsid w:val="00D27FEA"/>
    <w:rsid w:val="00D30893"/>
    <w:rsid w:val="00D34853"/>
    <w:rsid w:val="00D407DC"/>
    <w:rsid w:val="00D43330"/>
    <w:rsid w:val="00D47E2F"/>
    <w:rsid w:val="00D514E3"/>
    <w:rsid w:val="00D51C02"/>
    <w:rsid w:val="00D52FFF"/>
    <w:rsid w:val="00D57E4E"/>
    <w:rsid w:val="00D6394C"/>
    <w:rsid w:val="00D64F39"/>
    <w:rsid w:val="00D67EC7"/>
    <w:rsid w:val="00D75ACC"/>
    <w:rsid w:val="00D773E5"/>
    <w:rsid w:val="00D7763C"/>
    <w:rsid w:val="00D80E21"/>
    <w:rsid w:val="00D821B5"/>
    <w:rsid w:val="00D8320A"/>
    <w:rsid w:val="00D83379"/>
    <w:rsid w:val="00D84967"/>
    <w:rsid w:val="00D864C4"/>
    <w:rsid w:val="00D87FFC"/>
    <w:rsid w:val="00D90EC9"/>
    <w:rsid w:val="00DA01F6"/>
    <w:rsid w:val="00DA09A0"/>
    <w:rsid w:val="00DA3824"/>
    <w:rsid w:val="00DA4C6A"/>
    <w:rsid w:val="00DA786C"/>
    <w:rsid w:val="00DC0A5B"/>
    <w:rsid w:val="00DC404B"/>
    <w:rsid w:val="00DC631B"/>
    <w:rsid w:val="00DC6752"/>
    <w:rsid w:val="00DD6E8F"/>
    <w:rsid w:val="00DD6EAC"/>
    <w:rsid w:val="00DE5C69"/>
    <w:rsid w:val="00DE5D4F"/>
    <w:rsid w:val="00DE733B"/>
    <w:rsid w:val="00DE7BC2"/>
    <w:rsid w:val="00DF4ACF"/>
    <w:rsid w:val="00E00601"/>
    <w:rsid w:val="00E00E8F"/>
    <w:rsid w:val="00E05D1F"/>
    <w:rsid w:val="00E102CB"/>
    <w:rsid w:val="00E10AD2"/>
    <w:rsid w:val="00E10CC4"/>
    <w:rsid w:val="00E12A8F"/>
    <w:rsid w:val="00E131BE"/>
    <w:rsid w:val="00E14836"/>
    <w:rsid w:val="00E14DE4"/>
    <w:rsid w:val="00E15B42"/>
    <w:rsid w:val="00E16A3C"/>
    <w:rsid w:val="00E16B22"/>
    <w:rsid w:val="00E16CDC"/>
    <w:rsid w:val="00E23581"/>
    <w:rsid w:val="00E271D9"/>
    <w:rsid w:val="00E27BB9"/>
    <w:rsid w:val="00E3142C"/>
    <w:rsid w:val="00E323C3"/>
    <w:rsid w:val="00E32CDA"/>
    <w:rsid w:val="00E33002"/>
    <w:rsid w:val="00E347AC"/>
    <w:rsid w:val="00E40B6F"/>
    <w:rsid w:val="00E4237B"/>
    <w:rsid w:val="00E50D55"/>
    <w:rsid w:val="00E51FDB"/>
    <w:rsid w:val="00E521A6"/>
    <w:rsid w:val="00E533FE"/>
    <w:rsid w:val="00E55BAC"/>
    <w:rsid w:val="00E56E3E"/>
    <w:rsid w:val="00E57E32"/>
    <w:rsid w:val="00E60A65"/>
    <w:rsid w:val="00E73E33"/>
    <w:rsid w:val="00E7485E"/>
    <w:rsid w:val="00E800E6"/>
    <w:rsid w:val="00E82C73"/>
    <w:rsid w:val="00E82FEC"/>
    <w:rsid w:val="00E83167"/>
    <w:rsid w:val="00E836AE"/>
    <w:rsid w:val="00E83A9C"/>
    <w:rsid w:val="00E911F1"/>
    <w:rsid w:val="00E915AE"/>
    <w:rsid w:val="00E93AB8"/>
    <w:rsid w:val="00E94498"/>
    <w:rsid w:val="00E96948"/>
    <w:rsid w:val="00E97E93"/>
    <w:rsid w:val="00EA0280"/>
    <w:rsid w:val="00EA05FE"/>
    <w:rsid w:val="00EA206A"/>
    <w:rsid w:val="00EA20CB"/>
    <w:rsid w:val="00EA473B"/>
    <w:rsid w:val="00EA7CAA"/>
    <w:rsid w:val="00EB023A"/>
    <w:rsid w:val="00EB1224"/>
    <w:rsid w:val="00EB2AF3"/>
    <w:rsid w:val="00EB58AF"/>
    <w:rsid w:val="00EC2A4D"/>
    <w:rsid w:val="00EC373E"/>
    <w:rsid w:val="00EC4978"/>
    <w:rsid w:val="00EC7305"/>
    <w:rsid w:val="00ED3EF2"/>
    <w:rsid w:val="00EE630D"/>
    <w:rsid w:val="00EF13A3"/>
    <w:rsid w:val="00EF597D"/>
    <w:rsid w:val="00F0091B"/>
    <w:rsid w:val="00F02F17"/>
    <w:rsid w:val="00F03BD3"/>
    <w:rsid w:val="00F06633"/>
    <w:rsid w:val="00F1641F"/>
    <w:rsid w:val="00F16CBB"/>
    <w:rsid w:val="00F17033"/>
    <w:rsid w:val="00F230A1"/>
    <w:rsid w:val="00F25B46"/>
    <w:rsid w:val="00F26E42"/>
    <w:rsid w:val="00F27189"/>
    <w:rsid w:val="00F2787E"/>
    <w:rsid w:val="00F30DD3"/>
    <w:rsid w:val="00F31674"/>
    <w:rsid w:val="00F36A7D"/>
    <w:rsid w:val="00F37C51"/>
    <w:rsid w:val="00F50F9E"/>
    <w:rsid w:val="00F5457F"/>
    <w:rsid w:val="00F559F7"/>
    <w:rsid w:val="00F5783A"/>
    <w:rsid w:val="00F6308B"/>
    <w:rsid w:val="00F6378F"/>
    <w:rsid w:val="00F70238"/>
    <w:rsid w:val="00F70E24"/>
    <w:rsid w:val="00F80F07"/>
    <w:rsid w:val="00F8192E"/>
    <w:rsid w:val="00F82CF2"/>
    <w:rsid w:val="00F85240"/>
    <w:rsid w:val="00F85B25"/>
    <w:rsid w:val="00F85F8B"/>
    <w:rsid w:val="00F93B77"/>
    <w:rsid w:val="00F971B5"/>
    <w:rsid w:val="00F974AE"/>
    <w:rsid w:val="00F97BE3"/>
    <w:rsid w:val="00FA49C6"/>
    <w:rsid w:val="00FA5B23"/>
    <w:rsid w:val="00FB0470"/>
    <w:rsid w:val="00FB3CB0"/>
    <w:rsid w:val="00FB51F9"/>
    <w:rsid w:val="00FC08BE"/>
    <w:rsid w:val="00FC2330"/>
    <w:rsid w:val="00FC3ABB"/>
    <w:rsid w:val="00FC4A71"/>
    <w:rsid w:val="00FC56B4"/>
    <w:rsid w:val="00FC6722"/>
    <w:rsid w:val="00FC6971"/>
    <w:rsid w:val="00FD14E1"/>
    <w:rsid w:val="00FD1A86"/>
    <w:rsid w:val="00FD4B90"/>
    <w:rsid w:val="00FE0405"/>
    <w:rsid w:val="00FE04D6"/>
    <w:rsid w:val="00FE0A4A"/>
    <w:rsid w:val="00FE0C74"/>
    <w:rsid w:val="00FE3C24"/>
    <w:rsid w:val="00FE44DA"/>
    <w:rsid w:val="00FF4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DD3F95"/>
  <w15:docId w15:val="{0F5F865E-A7BA-409A-87B4-EEBF4F15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kern w:val="2"/>
        <w:sz w:val="24"/>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272"/>
  </w:style>
  <w:style w:type="paragraph" w:styleId="Heading1">
    <w:name w:val="heading 1"/>
    <w:basedOn w:val="Normal"/>
    <w:next w:val="Normal"/>
    <w:link w:val="Heading1Char"/>
    <w:qFormat/>
    <w:rsid w:val="00BE5272"/>
    <w:pPr>
      <w:keepNext/>
      <w:autoSpaceDE w:val="0"/>
      <w:autoSpaceDN w:val="0"/>
      <w:adjustRightInd w:val="0"/>
      <w:jc w:val="center"/>
      <w:outlineLvl w:val="0"/>
    </w:pPr>
    <w:rPr>
      <w:rFonts w:ascii="BookAntiqua-Bold" w:hAnsi="BookAntiqua-Bold"/>
      <w:b/>
      <w:bCs/>
      <w:sz w:val="19"/>
      <w:szCs w:val="19"/>
      <w:lang w:val="en-US"/>
    </w:rPr>
  </w:style>
  <w:style w:type="paragraph" w:styleId="Heading2">
    <w:name w:val="heading 2"/>
    <w:basedOn w:val="Normal"/>
    <w:next w:val="Normal"/>
    <w:link w:val="Heading2Char"/>
    <w:qFormat/>
    <w:rsid w:val="00BE5272"/>
    <w:pPr>
      <w:keepNext/>
      <w:autoSpaceDE w:val="0"/>
      <w:autoSpaceDN w:val="0"/>
      <w:adjustRightInd w:val="0"/>
      <w:jc w:val="right"/>
      <w:outlineLvl w:val="1"/>
    </w:pPr>
    <w:rPr>
      <w:rFonts w:ascii="BookAntiqua-Bold" w:hAnsi="BookAntiqua-Bold"/>
      <w:b/>
      <w:bCs/>
      <w:sz w:val="19"/>
      <w:szCs w:val="19"/>
      <w:lang w:val="en-US"/>
    </w:rPr>
  </w:style>
  <w:style w:type="paragraph" w:styleId="Heading3">
    <w:name w:val="heading 3"/>
    <w:basedOn w:val="Normal"/>
    <w:next w:val="Normal"/>
    <w:link w:val="Heading3Char"/>
    <w:uiPriority w:val="9"/>
    <w:qFormat/>
    <w:rsid w:val="00BB4C2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272"/>
    <w:rPr>
      <w:color w:val="0000FF"/>
      <w:u w:val="single"/>
    </w:rPr>
  </w:style>
  <w:style w:type="paragraph" w:styleId="BodyText">
    <w:name w:val="Body Text"/>
    <w:basedOn w:val="Normal"/>
    <w:link w:val="BodyTextChar"/>
    <w:semiHidden/>
    <w:rsid w:val="00BE5272"/>
    <w:pPr>
      <w:autoSpaceDE w:val="0"/>
      <w:autoSpaceDN w:val="0"/>
      <w:adjustRightInd w:val="0"/>
      <w:jc w:val="both"/>
    </w:pPr>
    <w:rPr>
      <w:rFonts w:ascii="BookAntiqua" w:hAnsi="BookAntiqua"/>
      <w:sz w:val="19"/>
      <w:szCs w:val="19"/>
      <w:lang w:val="en-US"/>
    </w:rPr>
  </w:style>
  <w:style w:type="character" w:customStyle="1" w:styleId="Heading3Char">
    <w:name w:val="Heading 3 Char"/>
    <w:link w:val="Heading3"/>
    <w:uiPriority w:val="9"/>
    <w:rsid w:val="00BB4C22"/>
    <w:rPr>
      <w:rFonts w:ascii="Cambria" w:eastAsia="Times New Roman" w:hAnsi="Cambria" w:cs="Times New Roman"/>
      <w:b/>
      <w:bCs/>
      <w:sz w:val="26"/>
      <w:szCs w:val="26"/>
      <w:lang w:val="en-GB"/>
    </w:rPr>
  </w:style>
  <w:style w:type="paragraph" w:styleId="NoSpacing">
    <w:name w:val="No Spacing"/>
    <w:uiPriority w:val="1"/>
    <w:qFormat/>
    <w:rsid w:val="00233BF2"/>
    <w:rPr>
      <w:rFonts w:eastAsia="Calibri"/>
      <w:lang w:val="en-US" w:eastAsia="en-US"/>
    </w:rPr>
  </w:style>
  <w:style w:type="paragraph" w:styleId="Title">
    <w:name w:val="Title"/>
    <w:basedOn w:val="Normal"/>
    <w:link w:val="TitleChar"/>
    <w:qFormat/>
    <w:rsid w:val="00C97C8F"/>
    <w:pPr>
      <w:jc w:val="center"/>
    </w:pPr>
    <w:rPr>
      <w:b/>
      <w:szCs w:val="20"/>
      <w:u w:val="single"/>
    </w:rPr>
  </w:style>
  <w:style w:type="character" w:customStyle="1" w:styleId="TitleChar">
    <w:name w:val="Title Char"/>
    <w:link w:val="Title"/>
    <w:rsid w:val="00C97C8F"/>
    <w:rPr>
      <w:b/>
      <w:sz w:val="24"/>
      <w:u w:val="single"/>
    </w:rPr>
  </w:style>
  <w:style w:type="character" w:styleId="Strong">
    <w:name w:val="Strong"/>
    <w:uiPriority w:val="22"/>
    <w:qFormat/>
    <w:rsid w:val="00D24919"/>
    <w:rPr>
      <w:b/>
      <w:bCs/>
    </w:rPr>
  </w:style>
  <w:style w:type="paragraph" w:styleId="Header">
    <w:name w:val="header"/>
    <w:basedOn w:val="Normal"/>
    <w:link w:val="HeaderChar"/>
    <w:uiPriority w:val="99"/>
    <w:unhideWhenUsed/>
    <w:rsid w:val="00100741"/>
    <w:pPr>
      <w:tabs>
        <w:tab w:val="center" w:pos="4252"/>
        <w:tab w:val="right" w:pos="8504"/>
      </w:tabs>
      <w:snapToGrid w:val="0"/>
    </w:pPr>
  </w:style>
  <w:style w:type="character" w:customStyle="1" w:styleId="HeaderChar">
    <w:name w:val="Header Char"/>
    <w:link w:val="Header"/>
    <w:uiPriority w:val="99"/>
    <w:rsid w:val="00100741"/>
    <w:rPr>
      <w:sz w:val="24"/>
      <w:szCs w:val="24"/>
      <w:lang w:val="en-GB" w:eastAsia="en-US"/>
    </w:rPr>
  </w:style>
  <w:style w:type="paragraph" w:styleId="Footer">
    <w:name w:val="footer"/>
    <w:basedOn w:val="Normal"/>
    <w:link w:val="FooterChar"/>
    <w:uiPriority w:val="99"/>
    <w:unhideWhenUsed/>
    <w:rsid w:val="00100741"/>
    <w:pPr>
      <w:tabs>
        <w:tab w:val="center" w:pos="4252"/>
        <w:tab w:val="right" w:pos="8504"/>
      </w:tabs>
      <w:snapToGrid w:val="0"/>
    </w:pPr>
  </w:style>
  <w:style w:type="character" w:customStyle="1" w:styleId="FooterChar">
    <w:name w:val="Footer Char"/>
    <w:link w:val="Footer"/>
    <w:uiPriority w:val="99"/>
    <w:rsid w:val="00100741"/>
    <w:rPr>
      <w:sz w:val="24"/>
      <w:szCs w:val="24"/>
      <w:lang w:val="en-GB" w:eastAsia="en-US"/>
    </w:rPr>
  </w:style>
  <w:style w:type="paragraph" w:styleId="ListParagraph">
    <w:name w:val="List Paragraph"/>
    <w:basedOn w:val="Normal"/>
    <w:uiPriority w:val="34"/>
    <w:qFormat/>
    <w:rsid w:val="00D8320A"/>
    <w:pPr>
      <w:widowControl w:val="0"/>
      <w:ind w:leftChars="400" w:left="840"/>
      <w:jc w:val="both"/>
    </w:pPr>
    <w:rPr>
      <w:rFonts w:ascii="Calibri" w:hAnsi="Calibri"/>
      <w:sz w:val="21"/>
      <w:lang w:val="en-US" w:eastAsia="ja-JP"/>
    </w:rPr>
  </w:style>
  <w:style w:type="paragraph" w:styleId="BalloonText">
    <w:name w:val="Balloon Text"/>
    <w:basedOn w:val="Normal"/>
    <w:link w:val="BalloonTextChar"/>
    <w:uiPriority w:val="99"/>
    <w:semiHidden/>
    <w:unhideWhenUsed/>
    <w:rsid w:val="00951305"/>
    <w:rPr>
      <w:rFonts w:ascii="Tahoma" w:hAnsi="Tahoma"/>
      <w:sz w:val="16"/>
      <w:szCs w:val="16"/>
    </w:rPr>
  </w:style>
  <w:style w:type="character" w:customStyle="1" w:styleId="BalloonTextChar">
    <w:name w:val="Balloon Text Char"/>
    <w:link w:val="BalloonText"/>
    <w:uiPriority w:val="99"/>
    <w:semiHidden/>
    <w:rsid w:val="00951305"/>
    <w:rPr>
      <w:rFonts w:ascii="Tahoma" w:hAnsi="Tahoma" w:cs="Tahoma"/>
      <w:sz w:val="16"/>
      <w:szCs w:val="16"/>
      <w:lang w:eastAsia="en-US"/>
    </w:rPr>
  </w:style>
  <w:style w:type="character" w:styleId="CommentReference">
    <w:name w:val="annotation reference"/>
    <w:unhideWhenUsed/>
    <w:rsid w:val="00AB36FB"/>
    <w:rPr>
      <w:sz w:val="16"/>
      <w:szCs w:val="16"/>
    </w:rPr>
  </w:style>
  <w:style w:type="paragraph" w:styleId="CommentText">
    <w:name w:val="annotation text"/>
    <w:basedOn w:val="Normal"/>
    <w:link w:val="CommentTextChar"/>
    <w:unhideWhenUsed/>
    <w:rsid w:val="00AB36FB"/>
    <w:rPr>
      <w:sz w:val="20"/>
      <w:szCs w:val="20"/>
    </w:rPr>
  </w:style>
  <w:style w:type="character" w:customStyle="1" w:styleId="CommentTextChar">
    <w:name w:val="Comment Text Char"/>
    <w:link w:val="CommentText"/>
    <w:rsid w:val="00AB36FB"/>
    <w:rPr>
      <w:lang w:val="en-GB" w:eastAsia="en-US"/>
    </w:rPr>
  </w:style>
  <w:style w:type="paragraph" w:styleId="CommentSubject">
    <w:name w:val="annotation subject"/>
    <w:basedOn w:val="CommentText"/>
    <w:next w:val="CommentText"/>
    <w:link w:val="CommentSubjectChar"/>
    <w:uiPriority w:val="99"/>
    <w:semiHidden/>
    <w:unhideWhenUsed/>
    <w:rsid w:val="00AB36FB"/>
    <w:rPr>
      <w:b/>
      <w:bCs/>
    </w:rPr>
  </w:style>
  <w:style w:type="character" w:customStyle="1" w:styleId="CommentSubjectChar">
    <w:name w:val="Comment Subject Char"/>
    <w:link w:val="CommentSubject"/>
    <w:uiPriority w:val="99"/>
    <w:semiHidden/>
    <w:rsid w:val="00AB36FB"/>
    <w:rPr>
      <w:b/>
      <w:bCs/>
      <w:lang w:val="en-GB" w:eastAsia="en-US"/>
    </w:rPr>
  </w:style>
  <w:style w:type="paragraph" w:styleId="Revision">
    <w:name w:val="Revision"/>
    <w:hidden/>
    <w:uiPriority w:val="99"/>
    <w:semiHidden/>
    <w:rsid w:val="00AB36FB"/>
    <w:rPr>
      <w:szCs w:val="24"/>
      <w:lang w:val="en-GB" w:eastAsia="en-US"/>
    </w:rPr>
  </w:style>
  <w:style w:type="table" w:styleId="TableGrid">
    <w:name w:val="Table Grid"/>
    <w:basedOn w:val="TableNormal"/>
    <w:uiPriority w:val="59"/>
    <w:rsid w:val="0018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22A18"/>
    <w:rPr>
      <w:color w:val="808080"/>
    </w:rPr>
  </w:style>
  <w:style w:type="character" w:styleId="FollowedHyperlink">
    <w:name w:val="FollowedHyperlink"/>
    <w:uiPriority w:val="99"/>
    <w:unhideWhenUsed/>
    <w:rsid w:val="001810C7"/>
    <w:rPr>
      <w:color w:val="800080"/>
      <w:u w:val="single"/>
    </w:rPr>
  </w:style>
  <w:style w:type="paragraph" w:styleId="HTMLPreformatted">
    <w:name w:val="HTML Preformatted"/>
    <w:basedOn w:val="Normal"/>
    <w:link w:val="HTMLPreformattedChar"/>
    <w:uiPriority w:val="99"/>
    <w:rsid w:val="00F7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hAnsi="Courier New"/>
      <w:sz w:val="20"/>
      <w:szCs w:val="20"/>
      <w:lang w:eastAsia="ja-JP"/>
    </w:rPr>
  </w:style>
  <w:style w:type="character" w:customStyle="1" w:styleId="HTMLPreformattedChar">
    <w:name w:val="HTML Preformatted Char"/>
    <w:link w:val="HTMLPreformatted"/>
    <w:uiPriority w:val="99"/>
    <w:rsid w:val="00F70238"/>
    <w:rPr>
      <w:rFonts w:ascii="Courier New" w:hAnsi="Courier New"/>
      <w:lang w:eastAsia="ja-JP"/>
    </w:rPr>
  </w:style>
  <w:style w:type="numbering" w:customStyle="1" w:styleId="NoList1">
    <w:name w:val="No List1"/>
    <w:next w:val="NoList"/>
    <w:uiPriority w:val="99"/>
    <w:semiHidden/>
    <w:unhideWhenUsed/>
    <w:rsid w:val="00DE5D4F"/>
  </w:style>
  <w:style w:type="table" w:customStyle="1" w:styleId="TableGrid1">
    <w:name w:val="Table Grid1"/>
    <w:basedOn w:val="TableNormal"/>
    <w:next w:val="TableGrid"/>
    <w:uiPriority w:val="59"/>
    <w:rsid w:val="00DE5D4F"/>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3BB4"/>
  </w:style>
  <w:style w:type="numbering" w:customStyle="1" w:styleId="NoList3">
    <w:name w:val="No List3"/>
    <w:next w:val="NoList"/>
    <w:uiPriority w:val="99"/>
    <w:semiHidden/>
    <w:unhideWhenUsed/>
    <w:rsid w:val="00CE68D6"/>
  </w:style>
  <w:style w:type="character" w:customStyle="1" w:styleId="Heading1Char">
    <w:name w:val="Heading 1 Char"/>
    <w:basedOn w:val="DefaultParagraphFont"/>
    <w:link w:val="Heading1"/>
    <w:rsid w:val="005330A1"/>
    <w:rPr>
      <w:rFonts w:ascii="BookAntiqua-Bold" w:hAnsi="BookAntiqua-Bold"/>
      <w:b/>
      <w:bCs/>
      <w:sz w:val="19"/>
      <w:szCs w:val="19"/>
      <w:lang w:val="en-US" w:eastAsia="en-US"/>
    </w:rPr>
  </w:style>
  <w:style w:type="paragraph" w:customStyle="1" w:styleId="Default">
    <w:name w:val="Default"/>
    <w:uiPriority w:val="99"/>
    <w:qFormat/>
    <w:rsid w:val="005330A1"/>
    <w:pPr>
      <w:autoSpaceDE w:val="0"/>
      <w:autoSpaceDN w:val="0"/>
      <w:adjustRightInd w:val="0"/>
      <w:ind w:left="357" w:hanging="357"/>
    </w:pPr>
    <w:rPr>
      <w:rFonts w:ascii="Tahoma" w:eastAsia="Calibri" w:hAnsi="Tahoma" w:cs="Tahoma"/>
      <w:color w:val="000000"/>
      <w:szCs w:val="24"/>
      <w:lang w:eastAsia="en-US"/>
    </w:rPr>
  </w:style>
  <w:style w:type="paragraph" w:customStyle="1" w:styleId="Bold-Center">
    <w:name w:val="Bold-Center"/>
    <w:basedOn w:val="Normal"/>
    <w:autoRedefine/>
    <w:qFormat/>
    <w:rsid w:val="005330A1"/>
    <w:pPr>
      <w:spacing w:before="60" w:after="60"/>
    </w:pPr>
    <w:rPr>
      <w:b/>
      <w:color w:val="000000"/>
      <w:lang w:eastAsia="en-TT"/>
    </w:rPr>
  </w:style>
  <w:style w:type="character" w:customStyle="1" w:styleId="Heading2Char">
    <w:name w:val="Heading 2 Char"/>
    <w:basedOn w:val="DefaultParagraphFont"/>
    <w:link w:val="Heading2"/>
    <w:rsid w:val="005330A1"/>
    <w:rPr>
      <w:rFonts w:ascii="BookAntiqua-Bold" w:hAnsi="BookAntiqua-Bold"/>
      <w:b/>
      <w:bCs/>
      <w:sz w:val="19"/>
      <w:szCs w:val="19"/>
      <w:lang w:val="en-US" w:eastAsia="en-US"/>
    </w:rPr>
  </w:style>
  <w:style w:type="paragraph" w:styleId="Subtitle">
    <w:name w:val="Subtitle"/>
    <w:basedOn w:val="Normal"/>
    <w:next w:val="Normal"/>
    <w:link w:val="SubtitleChar"/>
    <w:uiPriority w:val="5"/>
    <w:qFormat/>
    <w:rsid w:val="005330A1"/>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5"/>
    <w:rsid w:val="005330A1"/>
    <w:rPr>
      <w:rFonts w:asciiTheme="minorHAnsi" w:eastAsiaTheme="minorEastAsia" w:hAnsiTheme="minorHAnsi" w:cstheme="minorBidi"/>
      <w:color w:val="5A5A5A" w:themeColor="text1" w:themeTint="A5"/>
      <w:spacing w:val="15"/>
      <w:sz w:val="24"/>
      <w:szCs w:val="24"/>
      <w:lang w:val="en-GB" w:eastAsia="en-US"/>
    </w:rPr>
  </w:style>
  <w:style w:type="paragraph" w:styleId="Quote">
    <w:name w:val="Quote"/>
    <w:basedOn w:val="Normal"/>
    <w:next w:val="Normal"/>
    <w:link w:val="QuoteChar"/>
    <w:uiPriority w:val="29"/>
    <w:rsid w:val="005330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30A1"/>
    <w:rPr>
      <w:i/>
      <w:iCs/>
      <w:color w:val="404040" w:themeColor="text1" w:themeTint="BF"/>
      <w:sz w:val="24"/>
      <w:szCs w:val="24"/>
      <w:lang w:val="en-GB" w:eastAsia="en-US"/>
    </w:rPr>
  </w:style>
  <w:style w:type="paragraph" w:customStyle="1" w:styleId="Alberto">
    <w:name w:val="Alberto"/>
    <w:basedOn w:val="ListParagraph"/>
    <w:autoRedefine/>
    <w:qFormat/>
    <w:rsid w:val="005330A1"/>
    <w:pPr>
      <w:widowControl/>
      <w:numPr>
        <w:numId w:val="1"/>
      </w:numPr>
      <w:spacing w:after="200" w:line="276" w:lineRule="auto"/>
      <w:ind w:leftChars="0" w:left="0"/>
      <w:contextualSpacing/>
    </w:pPr>
    <w:rPr>
      <w:rFonts w:ascii="Times New Roman" w:eastAsia="Times New Roman" w:hAnsi="Times New Roman"/>
      <w:kern w:val="0"/>
      <w:sz w:val="24"/>
      <w:szCs w:val="24"/>
      <w:lang w:val="de-CH" w:eastAsia="en-US"/>
    </w:rPr>
  </w:style>
  <w:style w:type="paragraph" w:customStyle="1" w:styleId="PresLetter">
    <w:name w:val="Pres Letter"/>
    <w:basedOn w:val="Normal"/>
    <w:link w:val="PresLetterChar"/>
    <w:rsid w:val="005330A1"/>
    <w:pPr>
      <w:jc w:val="center"/>
    </w:pPr>
    <w:rPr>
      <w:rFonts w:ascii="Book Antiqua" w:eastAsia="Calibri" w:hAnsi="Book Antiqua"/>
      <w:lang w:eastAsia="x-none"/>
    </w:rPr>
  </w:style>
  <w:style w:type="character" w:customStyle="1" w:styleId="PresLetterChar">
    <w:name w:val="Pres Letter Char"/>
    <w:link w:val="PresLetter"/>
    <w:rsid w:val="005330A1"/>
    <w:rPr>
      <w:rFonts w:ascii="Book Antiqua" w:eastAsia="Calibri" w:hAnsi="Book Antiqua"/>
      <w:sz w:val="24"/>
      <w:szCs w:val="24"/>
      <w:lang w:val="en-GB" w:eastAsia="x-none"/>
    </w:rPr>
  </w:style>
  <w:style w:type="paragraph" w:customStyle="1" w:styleId="Style8">
    <w:name w:val="Style8"/>
    <w:basedOn w:val="Normal"/>
    <w:link w:val="Style8Char"/>
    <w:rsid w:val="005330A1"/>
    <w:pPr>
      <w:widowControl w:val="0"/>
      <w:spacing w:before="240"/>
    </w:pPr>
    <w:rPr>
      <w:rFonts w:ascii="Arial" w:eastAsia="Calibri" w:hAnsi="Arial"/>
      <w:b/>
      <w:bCs/>
      <w:color w:val="365F91"/>
      <w:kern w:val="28"/>
      <w:sz w:val="28"/>
      <w:szCs w:val="28"/>
      <w:lang w:val="x-none" w:eastAsia="x-none"/>
    </w:rPr>
  </w:style>
  <w:style w:type="character" w:customStyle="1" w:styleId="Style8Char">
    <w:name w:val="Style8 Char"/>
    <w:link w:val="Style8"/>
    <w:rsid w:val="005330A1"/>
    <w:rPr>
      <w:rFonts w:ascii="Arial" w:eastAsia="Calibri" w:hAnsi="Arial"/>
      <w:b/>
      <w:bCs/>
      <w:color w:val="365F91"/>
      <w:kern w:val="28"/>
      <w:sz w:val="28"/>
      <w:szCs w:val="28"/>
      <w:lang w:val="x-none" w:eastAsia="x-none"/>
    </w:rPr>
  </w:style>
  <w:style w:type="character" w:customStyle="1" w:styleId="normaltextrun">
    <w:name w:val="normaltextrun"/>
    <w:rsid w:val="005330A1"/>
  </w:style>
  <w:style w:type="character" w:customStyle="1" w:styleId="eop">
    <w:name w:val="eop"/>
    <w:rsid w:val="005330A1"/>
  </w:style>
  <w:style w:type="character" w:customStyle="1" w:styleId="BodyTextChar">
    <w:name w:val="Body Text Char"/>
    <w:link w:val="BodyText"/>
    <w:semiHidden/>
    <w:rsid w:val="005330A1"/>
    <w:rPr>
      <w:rFonts w:ascii="BookAntiqua" w:hAnsi="BookAntiqua"/>
      <w:sz w:val="19"/>
      <w:szCs w:val="19"/>
      <w:lang w:val="en-US" w:eastAsia="en-US"/>
    </w:rPr>
  </w:style>
  <w:style w:type="paragraph" w:styleId="BodyText2">
    <w:name w:val="Body Text 2"/>
    <w:basedOn w:val="Normal"/>
    <w:link w:val="BodyText2Char"/>
    <w:uiPriority w:val="99"/>
    <w:semiHidden/>
    <w:unhideWhenUsed/>
    <w:rsid w:val="005330A1"/>
    <w:pPr>
      <w:spacing w:after="120" w:line="480" w:lineRule="auto"/>
    </w:pPr>
  </w:style>
  <w:style w:type="character" w:customStyle="1" w:styleId="BodyText2Char">
    <w:name w:val="Body Text 2 Char"/>
    <w:basedOn w:val="DefaultParagraphFont"/>
    <w:link w:val="BodyText2"/>
    <w:uiPriority w:val="99"/>
    <w:semiHidden/>
    <w:rsid w:val="005330A1"/>
    <w:rPr>
      <w:sz w:val="24"/>
      <w:szCs w:val="24"/>
      <w:lang w:val="en-GB" w:eastAsia="en-US"/>
    </w:rPr>
  </w:style>
  <w:style w:type="paragraph" w:styleId="PlainText">
    <w:name w:val="Plain Text"/>
    <w:basedOn w:val="Normal"/>
    <w:link w:val="PlainTextChar"/>
    <w:uiPriority w:val="99"/>
    <w:semiHidden/>
    <w:unhideWhenUsed/>
    <w:rsid w:val="005330A1"/>
    <w:rPr>
      <w:rFonts w:ascii="Consolas" w:hAnsi="Consolas"/>
      <w:sz w:val="21"/>
      <w:szCs w:val="21"/>
    </w:rPr>
  </w:style>
  <w:style w:type="character" w:customStyle="1" w:styleId="PlainTextChar">
    <w:name w:val="Plain Text Char"/>
    <w:basedOn w:val="DefaultParagraphFont"/>
    <w:link w:val="PlainText"/>
    <w:uiPriority w:val="99"/>
    <w:semiHidden/>
    <w:rsid w:val="005330A1"/>
    <w:rPr>
      <w:rFonts w:ascii="Consolas" w:hAnsi="Consolas"/>
      <w:sz w:val="21"/>
      <w:szCs w:val="21"/>
      <w:lang w:val="en-GB" w:eastAsia="en-US"/>
    </w:rPr>
  </w:style>
  <w:style w:type="paragraph" w:styleId="NormalWeb">
    <w:name w:val="Normal (Web)"/>
    <w:basedOn w:val="Normal"/>
    <w:uiPriority w:val="99"/>
    <w:semiHidden/>
    <w:unhideWhenUsed/>
    <w:rsid w:val="005330A1"/>
  </w:style>
  <w:style w:type="paragraph" w:styleId="TOC1">
    <w:name w:val="toc 1"/>
    <w:basedOn w:val="Normal"/>
    <w:next w:val="Normal"/>
    <w:autoRedefine/>
    <w:uiPriority w:val="39"/>
    <w:unhideWhenUsed/>
    <w:rsid w:val="005330A1"/>
    <w:pPr>
      <w:spacing w:after="120"/>
    </w:pPr>
    <w:rPr>
      <w:rFonts w:cstheme="minorBidi"/>
    </w:rPr>
  </w:style>
  <w:style w:type="paragraph" w:styleId="Caption">
    <w:name w:val="caption"/>
    <w:basedOn w:val="Normal"/>
    <w:next w:val="Normal"/>
    <w:uiPriority w:val="99"/>
    <w:rsid w:val="005330A1"/>
    <w:pPr>
      <w:spacing w:after="200"/>
    </w:pPr>
    <w:rPr>
      <w:b/>
      <w:bCs/>
      <w:color w:val="4F81BD"/>
      <w:sz w:val="18"/>
      <w:szCs w:val="18"/>
    </w:rPr>
  </w:style>
  <w:style w:type="paragraph" w:styleId="BodyText3">
    <w:name w:val="Body Text 3"/>
    <w:basedOn w:val="Normal"/>
    <w:link w:val="BodyText3Char"/>
    <w:uiPriority w:val="99"/>
    <w:rsid w:val="005330A1"/>
    <w:pPr>
      <w:jc w:val="center"/>
    </w:pPr>
    <w:rPr>
      <w:rFonts w:eastAsia="Times New Roman"/>
      <w:b/>
      <w:sz w:val="40"/>
      <w:szCs w:val="20"/>
    </w:rPr>
  </w:style>
  <w:style w:type="character" w:customStyle="1" w:styleId="BodyText3Char">
    <w:name w:val="Body Text 3 Char"/>
    <w:basedOn w:val="DefaultParagraphFont"/>
    <w:link w:val="BodyText3"/>
    <w:uiPriority w:val="99"/>
    <w:rsid w:val="005330A1"/>
    <w:rPr>
      <w:rFonts w:eastAsia="Times New Roman"/>
      <w:b/>
      <w:sz w:val="40"/>
      <w:lang w:val="en-GB" w:eastAsia="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656A24"/>
    <w:rPr>
      <w:sz w:val="22"/>
      <w:szCs w:val="22"/>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656A24"/>
    <w:pPr>
      <w:widowControl w:val="0"/>
      <w:shd w:val="clear" w:color="auto" w:fill="FFFFFF"/>
      <w:spacing w:line="254" w:lineRule="exact"/>
      <w:ind w:hanging="420"/>
      <w:jc w:val="cente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58004">
      <w:bodyDiv w:val="1"/>
      <w:marLeft w:val="0"/>
      <w:marRight w:val="0"/>
      <w:marTop w:val="0"/>
      <w:marBottom w:val="0"/>
      <w:divBdr>
        <w:top w:val="none" w:sz="0" w:space="0" w:color="auto"/>
        <w:left w:val="none" w:sz="0" w:space="0" w:color="auto"/>
        <w:bottom w:val="none" w:sz="0" w:space="0" w:color="auto"/>
        <w:right w:val="none" w:sz="0" w:space="0" w:color="auto"/>
      </w:divBdr>
      <w:divsChild>
        <w:div w:id="481577580">
          <w:marLeft w:val="562"/>
          <w:marRight w:val="0"/>
          <w:marTop w:val="120"/>
          <w:marBottom w:val="120"/>
          <w:divBdr>
            <w:top w:val="none" w:sz="0" w:space="0" w:color="auto"/>
            <w:left w:val="none" w:sz="0" w:space="0" w:color="auto"/>
            <w:bottom w:val="none" w:sz="0" w:space="0" w:color="auto"/>
            <w:right w:val="none" w:sz="0" w:space="0" w:color="auto"/>
          </w:divBdr>
        </w:div>
        <w:div w:id="589315707">
          <w:marLeft w:val="562"/>
          <w:marRight w:val="0"/>
          <w:marTop w:val="120"/>
          <w:marBottom w:val="120"/>
          <w:divBdr>
            <w:top w:val="none" w:sz="0" w:space="0" w:color="auto"/>
            <w:left w:val="none" w:sz="0" w:space="0" w:color="auto"/>
            <w:bottom w:val="none" w:sz="0" w:space="0" w:color="auto"/>
            <w:right w:val="none" w:sz="0" w:space="0" w:color="auto"/>
          </w:divBdr>
        </w:div>
      </w:divsChild>
    </w:div>
    <w:div w:id="503396891">
      <w:bodyDiv w:val="1"/>
      <w:marLeft w:val="0"/>
      <w:marRight w:val="0"/>
      <w:marTop w:val="0"/>
      <w:marBottom w:val="0"/>
      <w:divBdr>
        <w:top w:val="none" w:sz="0" w:space="0" w:color="auto"/>
        <w:left w:val="none" w:sz="0" w:space="0" w:color="auto"/>
        <w:bottom w:val="none" w:sz="0" w:space="0" w:color="auto"/>
        <w:right w:val="none" w:sz="0" w:space="0" w:color="auto"/>
      </w:divBdr>
    </w:div>
    <w:div w:id="639841719">
      <w:bodyDiv w:val="1"/>
      <w:marLeft w:val="0"/>
      <w:marRight w:val="0"/>
      <w:marTop w:val="0"/>
      <w:marBottom w:val="0"/>
      <w:divBdr>
        <w:top w:val="none" w:sz="0" w:space="0" w:color="auto"/>
        <w:left w:val="none" w:sz="0" w:space="0" w:color="auto"/>
        <w:bottom w:val="none" w:sz="0" w:space="0" w:color="auto"/>
        <w:right w:val="none" w:sz="0" w:space="0" w:color="auto"/>
      </w:divBdr>
    </w:div>
    <w:div w:id="967393490">
      <w:bodyDiv w:val="1"/>
      <w:marLeft w:val="0"/>
      <w:marRight w:val="0"/>
      <w:marTop w:val="0"/>
      <w:marBottom w:val="0"/>
      <w:divBdr>
        <w:top w:val="none" w:sz="0" w:space="0" w:color="auto"/>
        <w:left w:val="none" w:sz="0" w:space="0" w:color="auto"/>
        <w:bottom w:val="none" w:sz="0" w:space="0" w:color="auto"/>
        <w:right w:val="none" w:sz="0" w:space="0" w:color="auto"/>
      </w:divBdr>
    </w:div>
    <w:div w:id="1051198945">
      <w:bodyDiv w:val="1"/>
      <w:marLeft w:val="0"/>
      <w:marRight w:val="0"/>
      <w:marTop w:val="0"/>
      <w:marBottom w:val="0"/>
      <w:divBdr>
        <w:top w:val="none" w:sz="0" w:space="0" w:color="auto"/>
        <w:left w:val="none" w:sz="0" w:space="0" w:color="auto"/>
        <w:bottom w:val="none" w:sz="0" w:space="0" w:color="auto"/>
        <w:right w:val="none" w:sz="0" w:space="0" w:color="auto"/>
      </w:divBdr>
    </w:div>
    <w:div w:id="1303580182">
      <w:bodyDiv w:val="1"/>
      <w:marLeft w:val="0"/>
      <w:marRight w:val="0"/>
      <w:marTop w:val="0"/>
      <w:marBottom w:val="0"/>
      <w:divBdr>
        <w:top w:val="none" w:sz="0" w:space="0" w:color="auto"/>
        <w:left w:val="none" w:sz="0" w:space="0" w:color="auto"/>
        <w:bottom w:val="none" w:sz="0" w:space="0" w:color="auto"/>
        <w:right w:val="none" w:sz="0" w:space="0" w:color="auto"/>
      </w:divBdr>
    </w:div>
    <w:div w:id="1400325626">
      <w:bodyDiv w:val="1"/>
      <w:marLeft w:val="0"/>
      <w:marRight w:val="0"/>
      <w:marTop w:val="0"/>
      <w:marBottom w:val="0"/>
      <w:divBdr>
        <w:top w:val="none" w:sz="0" w:space="0" w:color="auto"/>
        <w:left w:val="none" w:sz="0" w:space="0" w:color="auto"/>
        <w:bottom w:val="none" w:sz="0" w:space="0" w:color="auto"/>
        <w:right w:val="none" w:sz="0" w:space="0" w:color="auto"/>
      </w:divBdr>
    </w:div>
    <w:div w:id="1471557829">
      <w:bodyDiv w:val="1"/>
      <w:marLeft w:val="0"/>
      <w:marRight w:val="0"/>
      <w:marTop w:val="0"/>
      <w:marBottom w:val="0"/>
      <w:divBdr>
        <w:top w:val="none" w:sz="0" w:space="0" w:color="auto"/>
        <w:left w:val="none" w:sz="0" w:space="0" w:color="auto"/>
        <w:bottom w:val="none" w:sz="0" w:space="0" w:color="auto"/>
        <w:right w:val="none" w:sz="0" w:space="0" w:color="auto"/>
      </w:divBdr>
    </w:div>
    <w:div w:id="1631545161">
      <w:bodyDiv w:val="1"/>
      <w:marLeft w:val="0"/>
      <w:marRight w:val="0"/>
      <w:marTop w:val="0"/>
      <w:marBottom w:val="0"/>
      <w:divBdr>
        <w:top w:val="none" w:sz="0" w:space="0" w:color="auto"/>
        <w:left w:val="none" w:sz="0" w:space="0" w:color="auto"/>
        <w:bottom w:val="none" w:sz="0" w:space="0" w:color="auto"/>
        <w:right w:val="none" w:sz="0" w:space="0" w:color="auto"/>
      </w:divBdr>
    </w:div>
    <w:div w:id="1650087677">
      <w:bodyDiv w:val="1"/>
      <w:marLeft w:val="0"/>
      <w:marRight w:val="0"/>
      <w:marTop w:val="0"/>
      <w:marBottom w:val="0"/>
      <w:divBdr>
        <w:top w:val="none" w:sz="0" w:space="0" w:color="auto"/>
        <w:left w:val="none" w:sz="0" w:space="0" w:color="auto"/>
        <w:bottom w:val="none" w:sz="0" w:space="0" w:color="auto"/>
        <w:right w:val="none" w:sz="0" w:space="0" w:color="auto"/>
      </w:divBdr>
    </w:div>
    <w:div w:id="1661808781">
      <w:bodyDiv w:val="1"/>
      <w:marLeft w:val="0"/>
      <w:marRight w:val="0"/>
      <w:marTop w:val="0"/>
      <w:marBottom w:val="0"/>
      <w:divBdr>
        <w:top w:val="none" w:sz="0" w:space="0" w:color="auto"/>
        <w:left w:val="none" w:sz="0" w:space="0" w:color="auto"/>
        <w:bottom w:val="none" w:sz="0" w:space="0" w:color="auto"/>
        <w:right w:val="none" w:sz="0" w:space="0" w:color="auto"/>
      </w:divBdr>
    </w:div>
    <w:div w:id="1775973056">
      <w:bodyDiv w:val="1"/>
      <w:marLeft w:val="0"/>
      <w:marRight w:val="0"/>
      <w:marTop w:val="0"/>
      <w:marBottom w:val="0"/>
      <w:divBdr>
        <w:top w:val="none" w:sz="0" w:space="0" w:color="auto"/>
        <w:left w:val="none" w:sz="0" w:space="0" w:color="auto"/>
        <w:bottom w:val="none" w:sz="0" w:space="0" w:color="auto"/>
        <w:right w:val="none" w:sz="0" w:space="0" w:color="auto"/>
      </w:divBdr>
      <w:divsChild>
        <w:div w:id="1645499804">
          <w:marLeft w:val="360"/>
          <w:marRight w:val="0"/>
          <w:marTop w:val="200"/>
          <w:marBottom w:val="0"/>
          <w:divBdr>
            <w:top w:val="none" w:sz="0" w:space="0" w:color="auto"/>
            <w:left w:val="none" w:sz="0" w:space="0" w:color="auto"/>
            <w:bottom w:val="none" w:sz="0" w:space="0" w:color="auto"/>
            <w:right w:val="none" w:sz="0" w:space="0" w:color="auto"/>
          </w:divBdr>
        </w:div>
      </w:divsChild>
    </w:div>
    <w:div w:id="1907841039">
      <w:bodyDiv w:val="1"/>
      <w:marLeft w:val="0"/>
      <w:marRight w:val="0"/>
      <w:marTop w:val="0"/>
      <w:marBottom w:val="0"/>
      <w:divBdr>
        <w:top w:val="none" w:sz="0" w:space="0" w:color="auto"/>
        <w:left w:val="none" w:sz="0" w:space="0" w:color="auto"/>
        <w:bottom w:val="none" w:sz="0" w:space="0" w:color="auto"/>
        <w:right w:val="none" w:sz="0" w:space="0" w:color="auto"/>
      </w:divBdr>
      <w:divsChild>
        <w:div w:id="1871531315">
          <w:marLeft w:val="0"/>
          <w:marRight w:val="0"/>
          <w:marTop w:val="0"/>
          <w:marBottom w:val="0"/>
          <w:divBdr>
            <w:top w:val="none" w:sz="0" w:space="0" w:color="auto"/>
            <w:left w:val="none" w:sz="0" w:space="0" w:color="auto"/>
            <w:bottom w:val="none" w:sz="0" w:space="0" w:color="auto"/>
            <w:right w:val="none" w:sz="0" w:space="0" w:color="auto"/>
          </w:divBdr>
        </w:div>
        <w:div w:id="1080367526">
          <w:marLeft w:val="0"/>
          <w:marRight w:val="0"/>
          <w:marTop w:val="0"/>
          <w:marBottom w:val="0"/>
          <w:divBdr>
            <w:top w:val="none" w:sz="0" w:space="0" w:color="auto"/>
            <w:left w:val="none" w:sz="0" w:space="0" w:color="auto"/>
            <w:bottom w:val="none" w:sz="0" w:space="0" w:color="auto"/>
            <w:right w:val="none" w:sz="0" w:space="0" w:color="auto"/>
          </w:divBdr>
        </w:div>
        <w:div w:id="364914578">
          <w:marLeft w:val="0"/>
          <w:marRight w:val="0"/>
          <w:marTop w:val="0"/>
          <w:marBottom w:val="0"/>
          <w:divBdr>
            <w:top w:val="none" w:sz="0" w:space="0" w:color="auto"/>
            <w:left w:val="none" w:sz="0" w:space="0" w:color="auto"/>
            <w:bottom w:val="none" w:sz="0" w:space="0" w:color="auto"/>
            <w:right w:val="none" w:sz="0" w:space="0" w:color="auto"/>
          </w:divBdr>
        </w:div>
        <w:div w:id="375277028">
          <w:marLeft w:val="0"/>
          <w:marRight w:val="0"/>
          <w:marTop w:val="0"/>
          <w:marBottom w:val="0"/>
          <w:divBdr>
            <w:top w:val="none" w:sz="0" w:space="0" w:color="auto"/>
            <w:left w:val="none" w:sz="0" w:space="0" w:color="auto"/>
            <w:bottom w:val="none" w:sz="0" w:space="0" w:color="auto"/>
            <w:right w:val="none" w:sz="0" w:space="0" w:color="auto"/>
          </w:divBdr>
        </w:div>
        <w:div w:id="1185940042">
          <w:marLeft w:val="0"/>
          <w:marRight w:val="0"/>
          <w:marTop w:val="0"/>
          <w:marBottom w:val="0"/>
          <w:divBdr>
            <w:top w:val="none" w:sz="0" w:space="0" w:color="auto"/>
            <w:left w:val="none" w:sz="0" w:space="0" w:color="auto"/>
            <w:bottom w:val="none" w:sz="0" w:space="0" w:color="auto"/>
            <w:right w:val="none" w:sz="0" w:space="0" w:color="auto"/>
          </w:divBdr>
        </w:div>
        <w:div w:id="1472988770">
          <w:marLeft w:val="0"/>
          <w:marRight w:val="0"/>
          <w:marTop w:val="0"/>
          <w:marBottom w:val="0"/>
          <w:divBdr>
            <w:top w:val="none" w:sz="0" w:space="0" w:color="auto"/>
            <w:left w:val="none" w:sz="0" w:space="0" w:color="auto"/>
            <w:bottom w:val="none" w:sz="0" w:space="0" w:color="auto"/>
            <w:right w:val="none" w:sz="0" w:space="0" w:color="auto"/>
          </w:divBdr>
        </w:div>
      </w:divsChild>
    </w:div>
    <w:div w:id="2146267437">
      <w:bodyDiv w:val="1"/>
      <w:marLeft w:val="0"/>
      <w:marRight w:val="0"/>
      <w:marTop w:val="0"/>
      <w:marBottom w:val="0"/>
      <w:divBdr>
        <w:top w:val="none" w:sz="0" w:space="0" w:color="auto"/>
        <w:left w:val="none" w:sz="0" w:space="0" w:color="auto"/>
        <w:bottom w:val="none" w:sz="0" w:space="0" w:color="auto"/>
        <w:right w:val="none" w:sz="0" w:space="0" w:color="auto"/>
      </w:divBdr>
      <w:divsChild>
        <w:div w:id="1324814376">
          <w:marLeft w:val="562"/>
          <w:marRight w:val="0"/>
          <w:marTop w:val="120"/>
          <w:marBottom w:val="120"/>
          <w:divBdr>
            <w:top w:val="none" w:sz="0" w:space="0" w:color="auto"/>
            <w:left w:val="none" w:sz="0" w:space="0" w:color="auto"/>
            <w:bottom w:val="none" w:sz="0" w:space="0" w:color="auto"/>
            <w:right w:val="none" w:sz="0" w:space="0" w:color="auto"/>
          </w:divBdr>
        </w:div>
        <w:div w:id="1773357998">
          <w:marLeft w:val="562"/>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D03B0-D21E-4CB8-A261-20DE0E7E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455</Words>
  <Characters>2595</Characters>
  <Application>Microsoft Office Word</Application>
  <DocSecurity>0</DocSecurity>
  <Lines>21</Lines>
  <Paragraphs>6</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IHB File N° TA-006-S1/3022</vt:lpstr>
      <vt:lpstr>IHB File N° TA-006-S1/3022</vt:lpstr>
      <vt:lpstr>IHB File N° TA-006-S1/3022</vt:lpstr>
    </vt:vector>
  </TitlesOfParts>
  <Company>NEC Computers International</Company>
  <LinksUpToDate>false</LinksUpToDate>
  <CharactersWithSpaces>3044</CharactersWithSpaces>
  <SharedDoc>false</SharedDoc>
  <HLinks>
    <vt:vector size="114" baseType="variant">
      <vt:variant>
        <vt:i4>458858</vt:i4>
      </vt:variant>
      <vt:variant>
        <vt:i4>54</vt:i4>
      </vt:variant>
      <vt:variant>
        <vt:i4>0</vt:i4>
      </vt:variant>
      <vt:variant>
        <vt:i4>5</vt:i4>
      </vt:variant>
      <vt:variant>
        <vt:lpwstr>mailto:ralhamlawi@bayanat.co.ae</vt:lpwstr>
      </vt:variant>
      <vt:variant>
        <vt:lpwstr/>
      </vt:variant>
      <vt:variant>
        <vt:i4>327716</vt:i4>
      </vt:variant>
      <vt:variant>
        <vt:i4>51</vt:i4>
      </vt:variant>
      <vt:variant>
        <vt:i4>0</vt:i4>
      </vt:variant>
      <vt:variant>
        <vt:i4>5</vt:i4>
      </vt:variant>
      <vt:variant>
        <vt:lpwstr>mailto:info@iho.int</vt:lpwstr>
      </vt:variant>
      <vt:variant>
        <vt:lpwstr/>
      </vt:variant>
      <vt:variant>
        <vt:i4>786539</vt:i4>
      </vt:variant>
      <vt:variant>
        <vt:i4>48</vt:i4>
      </vt:variant>
      <vt:variant>
        <vt:i4>0</vt:i4>
      </vt:variant>
      <vt:variant>
        <vt:i4>5</vt:i4>
      </vt:variant>
      <vt:variant>
        <vt:lpwstr>mailto:sales@afoc.mil.ae</vt:lpwstr>
      </vt:variant>
      <vt:variant>
        <vt:lpwstr/>
      </vt:variant>
      <vt:variant>
        <vt:i4>7667714</vt:i4>
      </vt:variant>
      <vt:variant>
        <vt:i4>45</vt:i4>
      </vt:variant>
      <vt:variant>
        <vt:i4>0</vt:i4>
      </vt:variant>
      <vt:variant>
        <vt:i4>5</vt:i4>
      </vt:variant>
      <vt:variant>
        <vt:lpwstr>mailto:reservation@afoc.mil.ae</vt:lpwstr>
      </vt:variant>
      <vt:variant>
        <vt:lpwstr/>
      </vt:variant>
      <vt:variant>
        <vt:i4>786539</vt:i4>
      </vt:variant>
      <vt:variant>
        <vt:i4>42</vt:i4>
      </vt:variant>
      <vt:variant>
        <vt:i4>0</vt:i4>
      </vt:variant>
      <vt:variant>
        <vt:i4>5</vt:i4>
      </vt:variant>
      <vt:variant>
        <vt:lpwstr>mailto:sales@afoc.mil.ae</vt:lpwstr>
      </vt:variant>
      <vt:variant>
        <vt:lpwstr/>
      </vt:variant>
      <vt:variant>
        <vt:i4>7667714</vt:i4>
      </vt:variant>
      <vt:variant>
        <vt:i4>39</vt:i4>
      </vt:variant>
      <vt:variant>
        <vt:i4>0</vt:i4>
      </vt:variant>
      <vt:variant>
        <vt:i4>5</vt:i4>
      </vt:variant>
      <vt:variant>
        <vt:lpwstr>mailto:reservation@afoc.mil.ae</vt:lpwstr>
      </vt:variant>
      <vt:variant>
        <vt:lpwstr/>
      </vt:variant>
      <vt:variant>
        <vt:i4>458858</vt:i4>
      </vt:variant>
      <vt:variant>
        <vt:i4>36</vt:i4>
      </vt:variant>
      <vt:variant>
        <vt:i4>0</vt:i4>
      </vt:variant>
      <vt:variant>
        <vt:i4>5</vt:i4>
      </vt:variant>
      <vt:variant>
        <vt:lpwstr>mailto:ralhamlawi@bayanat.co.ae</vt:lpwstr>
      </vt:variant>
      <vt:variant>
        <vt:lpwstr/>
      </vt:variant>
      <vt:variant>
        <vt:i4>6684707</vt:i4>
      </vt:variant>
      <vt:variant>
        <vt:i4>33</vt:i4>
      </vt:variant>
      <vt:variant>
        <vt:i4>0</vt:i4>
      </vt:variant>
      <vt:variant>
        <vt:i4>5</vt:i4>
      </vt:variant>
      <vt:variant>
        <vt:lpwstr>http://visitabudhabi.ae/en/default.aspx</vt:lpwstr>
      </vt:variant>
      <vt:variant>
        <vt:lpwstr/>
      </vt:variant>
      <vt:variant>
        <vt:i4>7667714</vt:i4>
      </vt:variant>
      <vt:variant>
        <vt:i4>30</vt:i4>
      </vt:variant>
      <vt:variant>
        <vt:i4>0</vt:i4>
      </vt:variant>
      <vt:variant>
        <vt:i4>5</vt:i4>
      </vt:variant>
      <vt:variant>
        <vt:lpwstr>mailto:reservation@afoc.mil.ae</vt:lpwstr>
      </vt:variant>
      <vt:variant>
        <vt:lpwstr/>
      </vt:variant>
      <vt:variant>
        <vt:i4>2490491</vt:i4>
      </vt:variant>
      <vt:variant>
        <vt:i4>27</vt:i4>
      </vt:variant>
      <vt:variant>
        <vt:i4>0</vt:i4>
      </vt:variant>
      <vt:variant>
        <vt:i4>5</vt:i4>
      </vt:variant>
      <vt:variant>
        <vt:lpwstr>http://www.booking.com/</vt:lpwstr>
      </vt:variant>
      <vt:variant>
        <vt:lpwstr/>
      </vt:variant>
      <vt:variant>
        <vt:i4>2687029</vt:i4>
      </vt:variant>
      <vt:variant>
        <vt:i4>24</vt:i4>
      </vt:variant>
      <vt:variant>
        <vt:i4>0</vt:i4>
      </vt:variant>
      <vt:variant>
        <vt:i4>5</vt:i4>
      </vt:variant>
      <vt:variant>
        <vt:lpwstr>http://www.afoc.mil.ae/</vt:lpwstr>
      </vt:variant>
      <vt:variant>
        <vt:lpwstr/>
      </vt:variant>
      <vt:variant>
        <vt:i4>786539</vt:i4>
      </vt:variant>
      <vt:variant>
        <vt:i4>21</vt:i4>
      </vt:variant>
      <vt:variant>
        <vt:i4>0</vt:i4>
      </vt:variant>
      <vt:variant>
        <vt:i4>5</vt:i4>
      </vt:variant>
      <vt:variant>
        <vt:lpwstr>mailto:sales@afoc.mil.ae</vt:lpwstr>
      </vt:variant>
      <vt:variant>
        <vt:lpwstr/>
      </vt:variant>
      <vt:variant>
        <vt:i4>4587582</vt:i4>
      </vt:variant>
      <vt:variant>
        <vt:i4>18</vt:i4>
      </vt:variant>
      <vt:variant>
        <vt:i4>0</vt:i4>
      </vt:variant>
      <vt:variant>
        <vt:i4>5</vt:i4>
      </vt:variant>
      <vt:variant>
        <vt:lpwstr>mailto:resv@afoc.mil.ae</vt:lpwstr>
      </vt:variant>
      <vt:variant>
        <vt:lpwstr/>
      </vt:variant>
      <vt:variant>
        <vt:i4>3145848</vt:i4>
      </vt:variant>
      <vt:variant>
        <vt:i4>15</vt:i4>
      </vt:variant>
      <vt:variant>
        <vt:i4>0</vt:i4>
      </vt:variant>
      <vt:variant>
        <vt:i4>5</vt:i4>
      </vt:variant>
      <vt:variant>
        <vt:lpwstr>http://www.iho.int/</vt:lpwstr>
      </vt:variant>
      <vt:variant>
        <vt:lpwstr/>
      </vt:variant>
      <vt:variant>
        <vt:i4>524322</vt:i4>
      </vt:variant>
      <vt:variant>
        <vt:i4>12</vt:i4>
      </vt:variant>
      <vt:variant>
        <vt:i4>0</vt:i4>
      </vt:variant>
      <vt:variant>
        <vt:i4>5</vt:i4>
      </vt:variant>
      <vt:variant>
        <vt:lpwstr>mailto:adcc@iho.int</vt:lpwstr>
      </vt:variant>
      <vt:variant>
        <vt:lpwstr/>
      </vt:variant>
      <vt:variant>
        <vt:i4>524322</vt:i4>
      </vt:variant>
      <vt:variant>
        <vt:i4>9</vt:i4>
      </vt:variant>
      <vt:variant>
        <vt:i4>0</vt:i4>
      </vt:variant>
      <vt:variant>
        <vt:i4>5</vt:i4>
      </vt:variant>
      <vt:variant>
        <vt:lpwstr>mailto:adcc@iho.int</vt:lpwstr>
      </vt:variant>
      <vt:variant>
        <vt:lpwstr/>
      </vt:variant>
      <vt:variant>
        <vt:i4>7536717</vt:i4>
      </vt:variant>
      <vt:variant>
        <vt:i4>6</vt:i4>
      </vt:variant>
      <vt:variant>
        <vt:i4>0</vt:i4>
      </vt:variant>
      <vt:variant>
        <vt:i4>5</vt:i4>
      </vt:variant>
      <vt:variant>
        <vt:lpwstr>mailto:dcoord@iho.int</vt:lpwstr>
      </vt:variant>
      <vt:variant>
        <vt:lpwstr/>
      </vt:variant>
      <vt:variant>
        <vt:i4>7536717</vt:i4>
      </vt:variant>
      <vt:variant>
        <vt:i4>3</vt:i4>
      </vt:variant>
      <vt:variant>
        <vt:i4>0</vt:i4>
      </vt:variant>
      <vt:variant>
        <vt:i4>5</vt:i4>
      </vt:variant>
      <vt:variant>
        <vt:lpwstr>mailto:dcoord@iho.int</vt:lpwstr>
      </vt:variant>
      <vt:variant>
        <vt:lpwstr/>
      </vt:variant>
      <vt:variant>
        <vt:i4>524322</vt:i4>
      </vt:variant>
      <vt:variant>
        <vt:i4>0</vt:i4>
      </vt:variant>
      <vt:variant>
        <vt:i4>0</vt:i4>
      </vt:variant>
      <vt:variant>
        <vt:i4>5</vt:i4>
      </vt:variant>
      <vt:variant>
        <vt:lpwstr>mailto:adcc@iho.int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 File N° TA-006-S1/3022</dc:title>
  <dc:subject/>
  <dc:creator>Alberto Costa Neves</dc:creator>
  <cp:keywords/>
  <dc:description/>
  <cp:lastModifiedBy>Leonel Manteigas</cp:lastModifiedBy>
  <cp:revision>8</cp:revision>
  <cp:lastPrinted>2020-10-16T12:01:00Z</cp:lastPrinted>
  <dcterms:created xsi:type="dcterms:W3CDTF">2020-10-07T20:37:00Z</dcterms:created>
  <dcterms:modified xsi:type="dcterms:W3CDTF">2020-10-20T09:55:00Z</dcterms:modified>
</cp:coreProperties>
</file>