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8AD5" w14:textId="2F98F8DE" w:rsidR="00B31CC9" w:rsidRPr="00032CDB" w:rsidRDefault="00B31CC9" w:rsidP="00B31CC9">
      <w:pPr>
        <w:widowControl w:val="0"/>
        <w:ind w:left="-567" w:right="-531"/>
        <w:jc w:val="center"/>
        <w:rPr>
          <w:b/>
          <w:bCs/>
          <w:spacing w:val="4"/>
          <w:lang w:val="en-CA"/>
        </w:rPr>
      </w:pPr>
      <w:r w:rsidRPr="00A5067F">
        <w:rPr>
          <w:b/>
          <w:bCs/>
          <w:spacing w:val="4"/>
        </w:rPr>
        <w:t>1</w:t>
      </w:r>
      <w:r w:rsidR="0053612A">
        <w:rPr>
          <w:b/>
          <w:bCs/>
          <w:spacing w:val="4"/>
        </w:rPr>
        <w:t>5</w:t>
      </w:r>
      <w:r w:rsidRPr="00A5067F">
        <w:rPr>
          <w:b/>
          <w:bCs/>
          <w:spacing w:val="4"/>
          <w:vertAlign w:val="superscript"/>
        </w:rPr>
        <w:t>th</w:t>
      </w:r>
      <w:r w:rsidRPr="00A5067F">
        <w:rPr>
          <w:b/>
          <w:bCs/>
          <w:spacing w:val="4"/>
        </w:rPr>
        <w:t xml:space="preserve"> </w:t>
      </w:r>
      <w:r w:rsidRPr="00032CDB">
        <w:rPr>
          <w:b/>
          <w:bCs/>
          <w:spacing w:val="4"/>
          <w:lang w:val="en-CA"/>
        </w:rPr>
        <w:t>MEETING OF THE IHO INTER-REGIONAL COORDINATION COMMITTEE</w:t>
      </w:r>
    </w:p>
    <w:p w14:paraId="1DF8F798" w14:textId="2878F73E" w:rsidR="00B31CC9" w:rsidRPr="00032CDB" w:rsidRDefault="0053612A" w:rsidP="00B31CC9">
      <w:pPr>
        <w:widowControl w:val="0"/>
        <w:jc w:val="center"/>
        <w:rPr>
          <w:b/>
          <w:bCs/>
          <w:spacing w:val="4"/>
          <w:lang w:val="en-CA"/>
        </w:rPr>
      </w:pPr>
      <w:r>
        <w:rPr>
          <w:b/>
          <w:bCs/>
          <w:spacing w:val="4"/>
          <w:lang w:val="en-CA"/>
        </w:rPr>
        <w:t>IHO-IRCC15</w:t>
      </w:r>
    </w:p>
    <w:p w14:paraId="733F34B8" w14:textId="4E70EDF1" w:rsidR="00B31CC9" w:rsidRPr="00032CDB" w:rsidRDefault="0053612A" w:rsidP="00B31CC9">
      <w:pPr>
        <w:widowControl w:val="0"/>
        <w:jc w:val="center"/>
        <w:rPr>
          <w:b/>
          <w:lang w:val="en-CA"/>
        </w:rPr>
      </w:pPr>
      <w:r>
        <w:rPr>
          <w:b/>
          <w:lang w:val="en-CA"/>
        </w:rPr>
        <w:t>Tokyo</w:t>
      </w:r>
      <w:r w:rsidR="00B31CC9" w:rsidRPr="00032CDB">
        <w:rPr>
          <w:b/>
          <w:lang w:val="en-CA"/>
        </w:rPr>
        <w:t xml:space="preserve">, </w:t>
      </w:r>
      <w:r>
        <w:rPr>
          <w:b/>
          <w:lang w:val="en-CA"/>
        </w:rPr>
        <w:t>Japan, 12-14 June 2023</w:t>
      </w:r>
    </w:p>
    <w:p w14:paraId="45195825" w14:textId="77777777" w:rsidR="000E1B9F" w:rsidRPr="00A57B33" w:rsidRDefault="000E1B9F" w:rsidP="000E1B9F">
      <w:pPr>
        <w:jc w:val="center"/>
        <w:rPr>
          <w:rFonts w:eastAsia="Times New Roman"/>
          <w:sz w:val="32"/>
          <w:szCs w:val="36"/>
        </w:rPr>
      </w:pPr>
    </w:p>
    <w:p w14:paraId="78576419" w14:textId="7B7E3D09" w:rsidR="000E1B9F" w:rsidRPr="00445306" w:rsidRDefault="000E1B9F" w:rsidP="000E1B9F">
      <w:pPr>
        <w:jc w:val="center"/>
        <w:rPr>
          <w:rFonts w:eastAsia="Times New Roman"/>
          <w:b/>
          <w:bCs/>
          <w:sz w:val="24"/>
          <w:szCs w:val="24"/>
          <w:lang w:val="en-GB"/>
        </w:rPr>
      </w:pPr>
      <w:r w:rsidRPr="00445306">
        <w:rPr>
          <w:rFonts w:eastAsia="Times New Roman"/>
          <w:b/>
          <w:bCs/>
          <w:sz w:val="24"/>
          <w:szCs w:val="24"/>
          <w:lang w:val="en-GB"/>
        </w:rPr>
        <w:t>List of Actions</w:t>
      </w:r>
      <w:r w:rsidR="001A70A7" w:rsidRPr="00445306">
        <w:rPr>
          <w:rFonts w:eastAsia="Times New Roman"/>
          <w:b/>
          <w:bCs/>
          <w:sz w:val="24"/>
          <w:szCs w:val="24"/>
          <w:lang w:val="en-GB"/>
        </w:rPr>
        <w:t>,</w:t>
      </w:r>
      <w:r w:rsidRPr="00445306">
        <w:rPr>
          <w:rFonts w:eastAsia="Times New Roman"/>
          <w:b/>
          <w:bCs/>
          <w:sz w:val="24"/>
          <w:szCs w:val="24"/>
          <w:lang w:val="en-GB"/>
        </w:rPr>
        <w:t xml:space="preserve"> Decisions</w:t>
      </w:r>
      <w:r w:rsidR="001A70A7" w:rsidRPr="00445306">
        <w:rPr>
          <w:rFonts w:eastAsia="Times New Roman"/>
          <w:b/>
          <w:bCs/>
          <w:sz w:val="24"/>
          <w:szCs w:val="24"/>
          <w:lang w:val="en-GB"/>
        </w:rPr>
        <w:t xml:space="preserve"> and Recommendations</w:t>
      </w:r>
      <w:r w:rsidR="00A0159A">
        <w:rPr>
          <w:rFonts w:eastAsia="Times New Roman"/>
          <w:b/>
          <w:bCs/>
          <w:sz w:val="24"/>
          <w:szCs w:val="24"/>
          <w:lang w:val="en-GB"/>
        </w:rPr>
        <w:t xml:space="preserve"> – Version 2</w:t>
      </w:r>
    </w:p>
    <w:p w14:paraId="4BA7F90F" w14:textId="77777777" w:rsidR="000E1B9F" w:rsidRDefault="000E1B9F" w:rsidP="00881702">
      <w:pPr>
        <w:rPr>
          <w:rFonts w:eastAsia="Times New Roman"/>
          <w:b/>
          <w:bCs/>
          <w:szCs w:val="24"/>
          <w:lang w:val="en-GB"/>
        </w:rPr>
      </w:pPr>
    </w:p>
    <w:p w14:paraId="7915EFD5" w14:textId="79D4D982" w:rsidR="00222E8D" w:rsidRDefault="00222E8D" w:rsidP="00C26238">
      <w:pPr>
        <w:spacing w:after="120"/>
        <w:rPr>
          <w:rFonts w:eastAsia="Times New Roman"/>
          <w:b/>
          <w:bCs/>
          <w:szCs w:val="24"/>
          <w:lang w:val="en-GB"/>
        </w:rPr>
      </w:pPr>
      <w:r>
        <w:rPr>
          <w:b/>
          <w:bCs/>
        </w:rPr>
        <w:t xml:space="preserve">1. </w:t>
      </w:r>
      <w:r w:rsidRPr="00FE61AA">
        <w:rPr>
          <w:b/>
          <w:bCs/>
        </w:rPr>
        <w:t>Opening Remarks and Administrative Arrangements</w:t>
      </w:r>
    </w:p>
    <w:p w14:paraId="37A966FB" w14:textId="24A33DAB" w:rsidR="00222E8D" w:rsidRPr="00915692" w:rsidRDefault="00222E8D" w:rsidP="00222E8D">
      <w:pPr>
        <w:ind w:left="1701" w:hanging="1134"/>
        <w:rPr>
          <w:rFonts w:eastAsia="Times New Roman"/>
          <w:szCs w:val="24"/>
          <w:lang w:val="en-GB"/>
        </w:rPr>
      </w:pPr>
      <w:r w:rsidRPr="00915692">
        <w:rPr>
          <w:rFonts w:eastAsia="Times New Roman"/>
          <w:color w:val="FF0000"/>
          <w:szCs w:val="24"/>
          <w:lang w:val="en-GB"/>
        </w:rPr>
        <w:t>XXX</w:t>
      </w:r>
    </w:p>
    <w:p w14:paraId="25818B6F" w14:textId="77777777" w:rsidR="00222E8D" w:rsidRDefault="00222E8D" w:rsidP="00222E8D">
      <w:pPr>
        <w:ind w:left="1701" w:hanging="1134"/>
        <w:rPr>
          <w:rFonts w:eastAsia="Times New Roman"/>
          <w:b/>
          <w:bCs/>
          <w:szCs w:val="24"/>
          <w:lang w:val="en-GB"/>
        </w:rPr>
      </w:pPr>
    </w:p>
    <w:p w14:paraId="060A9689" w14:textId="599EAEEC" w:rsidR="00881702" w:rsidRPr="00881702" w:rsidRDefault="00B321BC" w:rsidP="00C26238">
      <w:pPr>
        <w:spacing w:after="120"/>
        <w:rPr>
          <w:rFonts w:ascii="Times New Roman" w:eastAsia="Times New Roman" w:hAnsi="Times New Roman" w:cs="Times New Roman"/>
          <w:sz w:val="24"/>
          <w:szCs w:val="24"/>
        </w:rPr>
      </w:pPr>
      <w:r>
        <w:rPr>
          <w:rFonts w:eastAsia="Times New Roman"/>
          <w:b/>
          <w:bCs/>
          <w:szCs w:val="24"/>
          <w:lang w:val="en-GB"/>
        </w:rPr>
        <w:t>2</w:t>
      </w:r>
      <w:r w:rsidR="00881702" w:rsidRPr="00881702">
        <w:rPr>
          <w:rFonts w:eastAsia="Times New Roman"/>
          <w:b/>
          <w:bCs/>
          <w:szCs w:val="24"/>
          <w:lang w:val="en-GB"/>
        </w:rPr>
        <w:t xml:space="preserve">. </w:t>
      </w:r>
      <w:r w:rsidRPr="00330D08">
        <w:rPr>
          <w:b/>
          <w:bCs/>
        </w:rPr>
        <w:t>Approval of Agenda</w:t>
      </w:r>
    </w:p>
    <w:p w14:paraId="5F3DB054" w14:textId="51785EAC" w:rsidR="00881702" w:rsidRPr="00881702" w:rsidRDefault="00881702" w:rsidP="00445306">
      <w:pPr>
        <w:spacing w:after="120"/>
        <w:ind w:left="1701" w:hanging="1134"/>
        <w:rPr>
          <w:rFonts w:ascii="Times New Roman" w:eastAsia="Times New Roman" w:hAnsi="Times New Roman" w:cs="Times New Roman"/>
          <w:sz w:val="24"/>
          <w:szCs w:val="24"/>
        </w:rPr>
      </w:pPr>
      <w:r w:rsidRPr="008E4203">
        <w:rPr>
          <w:color w:val="FF0000"/>
        </w:rPr>
        <w:t>Decision</w:t>
      </w:r>
      <w:r w:rsidRPr="00B321BC">
        <w:rPr>
          <w:rFonts w:eastAsia="Times New Roman"/>
          <w:bCs/>
          <w:color w:val="FF0000"/>
          <w:szCs w:val="24"/>
          <w:lang w:val="en-GB"/>
        </w:rPr>
        <w:t xml:space="preserve"> 1: </w:t>
      </w:r>
      <w:r w:rsidR="00C32AB2">
        <w:rPr>
          <w:rFonts w:eastAsia="Times New Roman"/>
          <w:bCs/>
          <w:color w:val="FF0000"/>
          <w:szCs w:val="24"/>
          <w:lang w:val="en-GB"/>
        </w:rPr>
        <w:t>T</w:t>
      </w:r>
      <w:r w:rsidR="0004555B">
        <w:rPr>
          <w:rFonts w:eastAsia="Times New Roman"/>
          <w:bCs/>
          <w:color w:val="FF0000"/>
          <w:szCs w:val="24"/>
          <w:lang w:val="en-GB"/>
        </w:rPr>
        <w:t>o a</w:t>
      </w:r>
      <w:r w:rsidR="00B321BC" w:rsidRPr="00B321BC">
        <w:rPr>
          <w:rFonts w:eastAsia="Times New Roman"/>
          <w:bCs/>
          <w:color w:val="FF0000"/>
          <w:szCs w:val="24"/>
          <w:lang w:val="en-GB"/>
        </w:rPr>
        <w:t xml:space="preserve">pprove </w:t>
      </w:r>
      <w:r w:rsidR="00B321BC">
        <w:rPr>
          <w:rFonts w:eastAsia="Times New Roman"/>
          <w:bCs/>
          <w:color w:val="FF0000"/>
          <w:szCs w:val="24"/>
          <w:lang w:val="en-GB"/>
        </w:rPr>
        <w:t xml:space="preserve">the </w:t>
      </w:r>
      <w:r w:rsidRPr="00B321BC">
        <w:rPr>
          <w:rFonts w:eastAsia="Times New Roman"/>
          <w:bCs/>
          <w:color w:val="FF0000"/>
          <w:szCs w:val="24"/>
          <w:lang w:val="en-GB"/>
        </w:rPr>
        <w:t xml:space="preserve">Agenda </w:t>
      </w:r>
      <w:r w:rsidR="00A57B33" w:rsidRPr="00B321BC">
        <w:rPr>
          <w:rFonts w:eastAsia="Times New Roman"/>
          <w:bCs/>
          <w:color w:val="FF0000"/>
          <w:szCs w:val="24"/>
          <w:lang w:val="en-GB"/>
        </w:rPr>
        <w:t xml:space="preserve">of </w:t>
      </w:r>
      <w:r w:rsidR="00B93C34" w:rsidRPr="00B321BC">
        <w:rPr>
          <w:rFonts w:eastAsia="Times New Roman"/>
          <w:bCs/>
          <w:color w:val="FF0000"/>
          <w:szCs w:val="24"/>
          <w:lang w:val="en-GB"/>
        </w:rPr>
        <w:t xml:space="preserve">the </w:t>
      </w:r>
      <w:r w:rsidR="00222E8D">
        <w:rPr>
          <w:rFonts w:eastAsia="Times New Roman"/>
          <w:bCs/>
          <w:color w:val="FF0000"/>
          <w:szCs w:val="24"/>
          <w:lang w:val="en-GB"/>
        </w:rPr>
        <w:t>IRCC1</w:t>
      </w:r>
      <w:r w:rsidR="0053612A">
        <w:rPr>
          <w:rFonts w:eastAsia="Times New Roman"/>
          <w:bCs/>
          <w:color w:val="FF0000"/>
          <w:szCs w:val="24"/>
          <w:lang w:val="en-GB"/>
        </w:rPr>
        <w:t>5</w:t>
      </w:r>
      <w:r w:rsidR="00A57B33" w:rsidRPr="00B321BC">
        <w:rPr>
          <w:rFonts w:eastAsia="Times New Roman"/>
          <w:bCs/>
          <w:color w:val="FF0000"/>
          <w:szCs w:val="24"/>
          <w:lang w:val="en-GB"/>
        </w:rPr>
        <w:t xml:space="preserve"> </w:t>
      </w:r>
      <w:r w:rsidR="00B93C34" w:rsidRPr="00B321BC">
        <w:rPr>
          <w:rFonts w:eastAsia="Times New Roman"/>
          <w:bCs/>
          <w:color w:val="FF0000"/>
          <w:szCs w:val="24"/>
          <w:lang w:val="en-GB"/>
        </w:rPr>
        <w:t xml:space="preserve">Meeting </w:t>
      </w:r>
      <w:r w:rsidR="00B321BC" w:rsidRPr="00B321BC">
        <w:rPr>
          <w:rFonts w:eastAsia="Times New Roman"/>
          <w:bCs/>
          <w:color w:val="FF0000"/>
          <w:szCs w:val="24"/>
          <w:lang w:val="en-GB"/>
        </w:rPr>
        <w:t xml:space="preserve">(doc. </w:t>
      </w:r>
      <w:r w:rsidR="00222E8D">
        <w:rPr>
          <w:rFonts w:eastAsia="Times New Roman"/>
          <w:bCs/>
          <w:color w:val="FF0000"/>
          <w:szCs w:val="24"/>
          <w:lang w:val="en-GB"/>
        </w:rPr>
        <w:t>IRCC1</w:t>
      </w:r>
      <w:r w:rsidR="008E4203">
        <w:rPr>
          <w:rFonts w:eastAsia="Times New Roman"/>
          <w:bCs/>
          <w:color w:val="FF0000"/>
          <w:szCs w:val="24"/>
          <w:lang w:val="en-GB"/>
        </w:rPr>
        <w:t>5</w:t>
      </w:r>
      <w:r w:rsidR="00B321BC" w:rsidRPr="00B321BC">
        <w:rPr>
          <w:rFonts w:eastAsia="Times New Roman"/>
          <w:bCs/>
          <w:color w:val="FF0000"/>
          <w:szCs w:val="24"/>
          <w:lang w:val="en-GB"/>
        </w:rPr>
        <w:t>-02V3)</w:t>
      </w:r>
      <w:r w:rsidR="00A57B33" w:rsidRPr="00B321BC">
        <w:rPr>
          <w:rFonts w:eastAsia="Times New Roman"/>
          <w:bCs/>
          <w:color w:val="FF0000"/>
          <w:szCs w:val="24"/>
          <w:lang w:val="en-GB"/>
        </w:rPr>
        <w:t>.</w:t>
      </w:r>
      <w:r w:rsidRPr="00B321BC">
        <w:rPr>
          <w:rFonts w:eastAsia="Times New Roman"/>
          <w:bCs/>
          <w:color w:val="FF0000"/>
          <w:szCs w:val="24"/>
          <w:lang w:val="en-GB"/>
        </w:rPr>
        <w:br/>
      </w:r>
    </w:p>
    <w:p w14:paraId="5CA266F2" w14:textId="04A5B16B" w:rsidR="00881702" w:rsidRDefault="00B321BC" w:rsidP="00B321BC">
      <w:pPr>
        <w:spacing w:after="120"/>
        <w:ind w:left="426" w:hanging="426"/>
        <w:rPr>
          <w:b/>
          <w:bCs/>
        </w:rPr>
      </w:pPr>
      <w:r>
        <w:rPr>
          <w:rFonts w:eastAsia="Times New Roman"/>
          <w:b/>
          <w:bCs/>
          <w:szCs w:val="24"/>
          <w:lang w:val="en-GB"/>
        </w:rPr>
        <w:t>3</w:t>
      </w:r>
      <w:r w:rsidR="00881702" w:rsidRPr="00881702">
        <w:rPr>
          <w:rFonts w:eastAsia="Times New Roman"/>
          <w:b/>
          <w:bCs/>
          <w:szCs w:val="24"/>
          <w:lang w:val="en-GB"/>
        </w:rPr>
        <w:t xml:space="preserve">. </w:t>
      </w:r>
      <w:r w:rsidR="00222E8D">
        <w:rPr>
          <w:b/>
          <w:bCs/>
          <w:spacing w:val="-2"/>
        </w:rPr>
        <w:t>IRCC Highlights since</w:t>
      </w:r>
      <w:r w:rsidR="00222E8D" w:rsidRPr="00FE61AA">
        <w:rPr>
          <w:b/>
          <w:bCs/>
          <w:spacing w:val="-4"/>
        </w:rPr>
        <w:t xml:space="preserve"> </w:t>
      </w:r>
      <w:r w:rsidR="00222E8D" w:rsidRPr="00FE61AA">
        <w:rPr>
          <w:b/>
          <w:bCs/>
        </w:rPr>
        <w:t>IR</w:t>
      </w:r>
      <w:r w:rsidR="00222E8D" w:rsidRPr="00FE61AA">
        <w:rPr>
          <w:b/>
          <w:bCs/>
          <w:spacing w:val="-2"/>
        </w:rPr>
        <w:t>C</w:t>
      </w:r>
      <w:r w:rsidR="00222E8D" w:rsidRPr="00FE61AA">
        <w:rPr>
          <w:b/>
          <w:bCs/>
          <w:spacing w:val="-1"/>
        </w:rPr>
        <w:t>C</w:t>
      </w:r>
      <w:r w:rsidR="00222E8D" w:rsidRPr="00FE61AA">
        <w:rPr>
          <w:b/>
          <w:bCs/>
        </w:rPr>
        <w:t>1</w:t>
      </w:r>
      <w:r w:rsidR="008E4203">
        <w:rPr>
          <w:b/>
          <w:bCs/>
        </w:rPr>
        <w:t>4</w:t>
      </w:r>
    </w:p>
    <w:p w14:paraId="25C060B4" w14:textId="3E24DFAF" w:rsidR="00222E8D" w:rsidRDefault="00222E8D" w:rsidP="00B321BC">
      <w:pPr>
        <w:spacing w:after="120"/>
        <w:ind w:left="426" w:hanging="426"/>
        <w:rPr>
          <w:b/>
          <w:bCs/>
        </w:rPr>
      </w:pPr>
      <w:r w:rsidRPr="00A93585">
        <w:rPr>
          <w:b/>
          <w:bCs/>
        </w:rPr>
        <w:t>3.1</w:t>
      </w:r>
      <w:r w:rsidRPr="00A93585">
        <w:rPr>
          <w:b/>
          <w:bCs/>
        </w:rPr>
        <w:tab/>
        <w:t>IRCC Chair Report</w:t>
      </w:r>
    </w:p>
    <w:p w14:paraId="27A6082E" w14:textId="2E0DAA31" w:rsidR="00222E8D" w:rsidRDefault="00222E8D" w:rsidP="004060F6">
      <w:pPr>
        <w:spacing w:after="240"/>
        <w:ind w:left="1700" w:hanging="1138"/>
        <w:rPr>
          <w:rFonts w:eastAsia="Times New Roman"/>
          <w:bCs/>
          <w:color w:val="FF0000"/>
          <w:szCs w:val="24"/>
          <w:lang w:val="en-GB"/>
        </w:rPr>
      </w:pPr>
      <w:r w:rsidRPr="00445306">
        <w:rPr>
          <w:rFonts w:eastAsia="Times New Roman"/>
          <w:bCs/>
          <w:color w:val="FF0000"/>
          <w:szCs w:val="24"/>
          <w:lang w:val="en-GB"/>
        </w:rPr>
        <w:t xml:space="preserve">Decision 2: </w:t>
      </w:r>
      <w:r w:rsidR="00C32AB2">
        <w:rPr>
          <w:rFonts w:eastAsia="Times New Roman"/>
          <w:bCs/>
          <w:color w:val="FF0000"/>
          <w:szCs w:val="24"/>
          <w:lang w:val="en-GB"/>
        </w:rPr>
        <w:t>T</w:t>
      </w:r>
      <w:r w:rsidR="0004555B">
        <w:rPr>
          <w:rFonts w:eastAsia="Times New Roman"/>
          <w:bCs/>
          <w:color w:val="FF0000"/>
          <w:szCs w:val="24"/>
          <w:lang w:val="en-GB"/>
        </w:rPr>
        <w:t>o n</w:t>
      </w:r>
      <w:r w:rsidRPr="00445306">
        <w:rPr>
          <w:rFonts w:eastAsia="Times New Roman"/>
          <w:bCs/>
          <w:color w:val="FF0000"/>
          <w:szCs w:val="24"/>
          <w:lang w:val="en-GB"/>
        </w:rPr>
        <w:t xml:space="preserve">ote the Report of IRCC Chair </w:t>
      </w:r>
      <w:r w:rsidRPr="00B321BC">
        <w:rPr>
          <w:rFonts w:eastAsia="Times New Roman"/>
          <w:bCs/>
          <w:color w:val="FF0000"/>
          <w:szCs w:val="24"/>
          <w:lang w:val="en-GB"/>
        </w:rPr>
        <w:t xml:space="preserve">(doc. </w:t>
      </w:r>
      <w:r>
        <w:rPr>
          <w:rFonts w:eastAsia="Times New Roman"/>
          <w:bCs/>
          <w:color w:val="FF0000"/>
          <w:szCs w:val="24"/>
          <w:lang w:val="en-GB"/>
        </w:rPr>
        <w:t>IRCC1</w:t>
      </w:r>
      <w:r w:rsidR="008E4203">
        <w:rPr>
          <w:rFonts w:eastAsia="Times New Roman"/>
          <w:bCs/>
          <w:color w:val="FF0000"/>
          <w:szCs w:val="24"/>
          <w:lang w:val="en-GB"/>
        </w:rPr>
        <w:t>5</w:t>
      </w:r>
      <w:r w:rsidRPr="00B321BC">
        <w:rPr>
          <w:rFonts w:eastAsia="Times New Roman"/>
          <w:bCs/>
          <w:color w:val="FF0000"/>
          <w:szCs w:val="24"/>
          <w:lang w:val="en-GB"/>
        </w:rPr>
        <w:t>-0</w:t>
      </w:r>
      <w:r>
        <w:rPr>
          <w:rFonts w:eastAsia="Times New Roman"/>
          <w:bCs/>
          <w:color w:val="FF0000"/>
          <w:szCs w:val="24"/>
          <w:lang w:val="en-GB"/>
        </w:rPr>
        <w:t>3A</w:t>
      </w:r>
      <w:r w:rsidRPr="00B321BC">
        <w:rPr>
          <w:rFonts w:eastAsia="Times New Roman"/>
          <w:bCs/>
          <w:color w:val="FF0000"/>
          <w:szCs w:val="24"/>
          <w:lang w:val="en-GB"/>
        </w:rPr>
        <w:t>)</w:t>
      </w:r>
      <w:r w:rsidR="00915692">
        <w:rPr>
          <w:rFonts w:eastAsia="Times New Roman"/>
          <w:bCs/>
          <w:color w:val="FF0000"/>
          <w:szCs w:val="24"/>
          <w:lang w:val="en-GB"/>
        </w:rPr>
        <w:t>.</w:t>
      </w:r>
    </w:p>
    <w:p w14:paraId="1DD5F62B" w14:textId="046E1E3B" w:rsidR="008E4203" w:rsidRPr="00445306" w:rsidRDefault="0004555B" w:rsidP="004060F6">
      <w:pPr>
        <w:spacing w:after="240"/>
        <w:ind w:left="1700" w:hanging="1138"/>
        <w:rPr>
          <w:rFonts w:eastAsia="Times New Roman"/>
          <w:bCs/>
          <w:color w:val="FF0000"/>
          <w:szCs w:val="24"/>
          <w:lang w:val="en-GB"/>
        </w:rPr>
      </w:pPr>
      <w:r w:rsidRPr="007E4DE6">
        <w:rPr>
          <w:rFonts w:eastAsia="Times New Roman"/>
          <w:bCs/>
          <w:color w:val="FF0000"/>
          <w:szCs w:val="24"/>
          <w:highlight w:val="yellow"/>
          <w:lang w:val="en-GB"/>
        </w:rPr>
        <w:t>Action 1:</w:t>
      </w:r>
      <w:r w:rsidR="008E4203" w:rsidRPr="007E4DE6">
        <w:rPr>
          <w:rFonts w:eastAsia="Times New Roman"/>
          <w:bCs/>
          <w:color w:val="FF0000"/>
          <w:szCs w:val="24"/>
          <w:highlight w:val="yellow"/>
          <w:lang w:val="en-GB"/>
        </w:rPr>
        <w:t xml:space="preserve"> </w:t>
      </w:r>
      <w:r w:rsidR="00C32AB2" w:rsidRPr="007E4DE6">
        <w:rPr>
          <w:rFonts w:eastAsia="Times New Roman"/>
          <w:bCs/>
          <w:color w:val="FF0000"/>
          <w:szCs w:val="24"/>
          <w:highlight w:val="yellow"/>
          <w:lang w:val="en-GB"/>
        </w:rPr>
        <w:t>A</w:t>
      </w:r>
      <w:r w:rsidR="000D26BA" w:rsidRPr="007E4DE6">
        <w:rPr>
          <w:rFonts w:eastAsia="Times New Roman"/>
          <w:bCs/>
          <w:color w:val="FF0000"/>
          <w:szCs w:val="24"/>
          <w:highlight w:val="yellow"/>
          <w:lang w:val="en-GB"/>
        </w:rPr>
        <w:t xml:space="preserve">sk </w:t>
      </w:r>
      <w:r w:rsidR="008E4203" w:rsidRPr="007E4DE6">
        <w:rPr>
          <w:rFonts w:eastAsia="Times New Roman"/>
          <w:bCs/>
          <w:color w:val="FF0000"/>
          <w:szCs w:val="24"/>
          <w:highlight w:val="yellow"/>
          <w:lang w:val="en-GB"/>
        </w:rPr>
        <w:t>subordinate bodies to review the</w:t>
      </w:r>
      <w:r w:rsidR="00445306" w:rsidRPr="007E4DE6">
        <w:rPr>
          <w:rFonts w:eastAsia="Times New Roman"/>
          <w:bCs/>
          <w:color w:val="FF0000"/>
          <w:szCs w:val="24"/>
          <w:highlight w:val="yellow"/>
          <w:lang w:val="en-GB"/>
        </w:rPr>
        <w:t xml:space="preserve"> respective</w:t>
      </w:r>
      <w:r w:rsidR="008E4203" w:rsidRPr="007E4DE6">
        <w:rPr>
          <w:rFonts w:eastAsia="Times New Roman"/>
          <w:bCs/>
          <w:color w:val="FF0000"/>
          <w:szCs w:val="24"/>
          <w:highlight w:val="yellow"/>
          <w:lang w:val="en-GB"/>
        </w:rPr>
        <w:t xml:space="preserve"> ROP and TOR based on Decision 9b of the Assembly on gender-inclusive language.</w:t>
      </w:r>
    </w:p>
    <w:p w14:paraId="5DAE544F" w14:textId="3F933CA9" w:rsidR="008E4203" w:rsidRPr="00445306" w:rsidRDefault="0004555B" w:rsidP="004060F6">
      <w:pPr>
        <w:spacing w:after="240"/>
        <w:ind w:left="1700" w:hanging="1138"/>
        <w:rPr>
          <w:rFonts w:eastAsia="Times New Roman"/>
          <w:bCs/>
          <w:color w:val="FF0000"/>
          <w:szCs w:val="24"/>
          <w:lang w:val="en-GB"/>
        </w:rPr>
      </w:pPr>
      <w:r w:rsidRPr="007E4DE6">
        <w:rPr>
          <w:rFonts w:eastAsia="Times New Roman"/>
          <w:bCs/>
          <w:color w:val="FF0000"/>
          <w:szCs w:val="24"/>
          <w:highlight w:val="yellow"/>
          <w:lang w:val="en-GB"/>
        </w:rPr>
        <w:t>Recommendation 1:</w:t>
      </w:r>
      <w:r w:rsidR="008E4203" w:rsidRPr="007E4DE6">
        <w:rPr>
          <w:rFonts w:eastAsia="Times New Roman"/>
          <w:bCs/>
          <w:color w:val="FF0000"/>
          <w:szCs w:val="24"/>
          <w:highlight w:val="yellow"/>
          <w:lang w:val="en-GB"/>
        </w:rPr>
        <w:t xml:space="preserve"> RHCs </w:t>
      </w:r>
      <w:r w:rsidR="00445306" w:rsidRPr="007E4DE6">
        <w:rPr>
          <w:rFonts w:eastAsia="Times New Roman"/>
          <w:bCs/>
          <w:color w:val="FF0000"/>
          <w:szCs w:val="24"/>
          <w:highlight w:val="yellow"/>
          <w:lang w:val="en-GB"/>
        </w:rPr>
        <w:t xml:space="preserve">are encouraged </w:t>
      </w:r>
      <w:r w:rsidR="008E4203" w:rsidRPr="007E4DE6">
        <w:rPr>
          <w:rFonts w:eastAsia="Times New Roman"/>
          <w:bCs/>
          <w:color w:val="FF0000"/>
          <w:szCs w:val="24"/>
          <w:highlight w:val="yellow"/>
          <w:lang w:val="en-GB"/>
        </w:rPr>
        <w:t>to review the ROP and TOR based on Decision 9b of the Assembly on gender-inclusive language.</w:t>
      </w:r>
    </w:p>
    <w:p w14:paraId="29E473E7" w14:textId="77777777" w:rsidR="008E4203" w:rsidRPr="008E4203" w:rsidRDefault="008E4203" w:rsidP="00222E8D">
      <w:pPr>
        <w:ind w:left="1701" w:hanging="1134"/>
        <w:rPr>
          <w:rFonts w:eastAsia="Times New Roman"/>
          <w:bCs/>
          <w:color w:val="FF0000"/>
          <w:szCs w:val="24"/>
        </w:rPr>
      </w:pPr>
    </w:p>
    <w:p w14:paraId="747B11B7" w14:textId="30639051" w:rsidR="00222E8D" w:rsidRDefault="00222E8D" w:rsidP="00222E8D">
      <w:pPr>
        <w:ind w:left="1701" w:hanging="1134"/>
        <w:rPr>
          <w:rFonts w:eastAsia="Times New Roman"/>
          <w:bCs/>
          <w:color w:val="FF0000"/>
          <w:szCs w:val="24"/>
          <w:lang w:val="en-GB"/>
        </w:rPr>
      </w:pPr>
    </w:p>
    <w:p w14:paraId="76A4508F" w14:textId="16C5CBC1" w:rsidR="00222E8D" w:rsidRPr="001A70A7" w:rsidRDefault="001A70A7" w:rsidP="001A70A7">
      <w:pPr>
        <w:spacing w:after="120"/>
        <w:ind w:left="426" w:hanging="426"/>
        <w:rPr>
          <w:rFonts w:ascii="Times New Roman" w:eastAsia="Times New Roman" w:hAnsi="Times New Roman" w:cs="Times New Roman"/>
          <w:sz w:val="24"/>
          <w:szCs w:val="24"/>
        </w:rPr>
      </w:pPr>
      <w:r w:rsidRPr="00A93585">
        <w:rPr>
          <w:b/>
          <w:bCs/>
        </w:rPr>
        <w:t>3.2</w:t>
      </w:r>
      <w:r w:rsidRPr="00A93585">
        <w:rPr>
          <w:b/>
          <w:bCs/>
        </w:rPr>
        <w:tab/>
        <w:t>Matter</w:t>
      </w:r>
      <w:r w:rsidR="008E4203">
        <w:rPr>
          <w:b/>
          <w:bCs/>
        </w:rPr>
        <w:t>s arising from Minutes of IRCC14</w:t>
      </w:r>
    </w:p>
    <w:p w14:paraId="790AB197" w14:textId="4CA4919E" w:rsidR="001A70A7" w:rsidRPr="00E35CD1" w:rsidRDefault="001A70A7" w:rsidP="004060F6">
      <w:pPr>
        <w:spacing w:after="240"/>
        <w:ind w:left="1700" w:hanging="1138"/>
        <w:rPr>
          <w:rFonts w:eastAsia="Times New Roman"/>
          <w:bCs/>
          <w:color w:val="FF0000"/>
          <w:szCs w:val="24"/>
          <w:lang w:val="en-GB"/>
        </w:rPr>
      </w:pPr>
      <w:r w:rsidRPr="00E35CD1">
        <w:rPr>
          <w:rFonts w:eastAsia="Times New Roman"/>
          <w:bCs/>
          <w:color w:val="FF0000"/>
          <w:szCs w:val="24"/>
          <w:lang w:val="en-GB"/>
        </w:rPr>
        <w:t xml:space="preserve">Decision </w:t>
      </w:r>
      <w:r w:rsidR="00E35CD1">
        <w:rPr>
          <w:rFonts w:eastAsia="Times New Roman"/>
          <w:bCs/>
          <w:color w:val="FF0000"/>
          <w:szCs w:val="24"/>
          <w:lang w:val="en-GB"/>
        </w:rPr>
        <w:t>3</w:t>
      </w:r>
      <w:r w:rsidRPr="00E35CD1">
        <w:rPr>
          <w:rFonts w:eastAsia="Times New Roman"/>
          <w:bCs/>
          <w:color w:val="FF0000"/>
          <w:szCs w:val="24"/>
          <w:lang w:val="en-GB"/>
        </w:rPr>
        <w:t xml:space="preserve">: </w:t>
      </w:r>
      <w:r w:rsidR="00C32AB2">
        <w:rPr>
          <w:rFonts w:eastAsia="Times New Roman"/>
          <w:bCs/>
          <w:color w:val="FF0000"/>
          <w:szCs w:val="24"/>
          <w:lang w:val="en-GB"/>
        </w:rPr>
        <w:t>T</w:t>
      </w:r>
      <w:r w:rsidR="0004555B">
        <w:rPr>
          <w:rFonts w:eastAsia="Times New Roman"/>
          <w:bCs/>
          <w:color w:val="FF0000"/>
          <w:szCs w:val="24"/>
          <w:lang w:val="en-GB"/>
        </w:rPr>
        <w:t>o a</w:t>
      </w:r>
      <w:r w:rsidRPr="00E35CD1">
        <w:rPr>
          <w:rFonts w:eastAsia="Times New Roman"/>
          <w:bCs/>
          <w:color w:val="FF0000"/>
          <w:szCs w:val="24"/>
          <w:lang w:val="en-GB"/>
        </w:rPr>
        <w:t>pprove the Minutes of IRCC1</w:t>
      </w:r>
      <w:r w:rsidR="008E4203">
        <w:rPr>
          <w:rFonts w:eastAsia="Times New Roman"/>
          <w:bCs/>
          <w:color w:val="FF0000"/>
          <w:szCs w:val="24"/>
          <w:lang w:val="en-GB"/>
        </w:rPr>
        <w:t>4</w:t>
      </w:r>
      <w:r w:rsidRPr="00E35CD1">
        <w:rPr>
          <w:rFonts w:eastAsia="Times New Roman"/>
          <w:bCs/>
          <w:color w:val="FF0000"/>
          <w:szCs w:val="24"/>
          <w:lang w:val="en-GB"/>
        </w:rPr>
        <w:t xml:space="preserve"> (doc. IRCC1</w:t>
      </w:r>
      <w:r w:rsidR="008E4203">
        <w:rPr>
          <w:rFonts w:eastAsia="Times New Roman"/>
          <w:bCs/>
          <w:color w:val="FF0000"/>
          <w:szCs w:val="24"/>
          <w:lang w:val="en-GB"/>
        </w:rPr>
        <w:t>4</w:t>
      </w:r>
      <w:r w:rsidRPr="00E35CD1">
        <w:rPr>
          <w:rFonts w:eastAsia="Times New Roman"/>
          <w:bCs/>
          <w:color w:val="FF0000"/>
          <w:szCs w:val="24"/>
          <w:lang w:val="en-GB"/>
        </w:rPr>
        <w:t>-0</w:t>
      </w:r>
      <w:r w:rsidR="0077659A">
        <w:rPr>
          <w:rFonts w:eastAsia="Times New Roman"/>
          <w:bCs/>
          <w:color w:val="FF0000"/>
          <w:szCs w:val="24"/>
          <w:lang w:val="en-GB"/>
        </w:rPr>
        <w:t>3B</w:t>
      </w:r>
      <w:r w:rsidRPr="00E35CD1">
        <w:rPr>
          <w:rFonts w:eastAsia="Times New Roman"/>
          <w:bCs/>
          <w:color w:val="FF0000"/>
          <w:szCs w:val="24"/>
          <w:lang w:val="en-GB"/>
        </w:rPr>
        <w:t xml:space="preserve">). </w:t>
      </w:r>
    </w:p>
    <w:p w14:paraId="21F61830" w14:textId="40E99FD6" w:rsidR="001A70A7" w:rsidRDefault="001A70A7" w:rsidP="004060F6">
      <w:pPr>
        <w:spacing w:after="240"/>
        <w:ind w:left="1700" w:hanging="1138"/>
        <w:rPr>
          <w:color w:val="FF0000"/>
        </w:rPr>
      </w:pPr>
      <w:r w:rsidRPr="00E35CD1">
        <w:rPr>
          <w:rFonts w:eastAsia="Times New Roman"/>
          <w:bCs/>
          <w:color w:val="FF0000"/>
          <w:szCs w:val="24"/>
          <w:lang w:val="en-GB"/>
        </w:rPr>
        <w:t xml:space="preserve">Decision </w:t>
      </w:r>
      <w:r w:rsidR="00E35CD1">
        <w:rPr>
          <w:rFonts w:eastAsia="Times New Roman"/>
          <w:bCs/>
          <w:color w:val="FF0000"/>
          <w:szCs w:val="24"/>
          <w:lang w:val="en-GB"/>
        </w:rPr>
        <w:t>4</w:t>
      </w:r>
      <w:r w:rsidRPr="00E35CD1">
        <w:rPr>
          <w:rFonts w:eastAsia="Times New Roman"/>
          <w:bCs/>
          <w:color w:val="FF0000"/>
          <w:szCs w:val="24"/>
          <w:lang w:val="en-GB"/>
        </w:rPr>
        <w:t xml:space="preserve">: </w:t>
      </w:r>
      <w:r w:rsidR="00C32AB2">
        <w:rPr>
          <w:rFonts w:eastAsia="Times New Roman"/>
          <w:bCs/>
          <w:color w:val="FF0000"/>
          <w:szCs w:val="24"/>
          <w:lang w:val="en-GB"/>
        </w:rPr>
        <w:t>T</w:t>
      </w:r>
      <w:r w:rsidR="0004555B">
        <w:rPr>
          <w:rFonts w:eastAsia="Times New Roman"/>
          <w:bCs/>
          <w:color w:val="FF0000"/>
          <w:szCs w:val="24"/>
          <w:lang w:val="en-GB"/>
        </w:rPr>
        <w:t>o a</w:t>
      </w:r>
      <w:r w:rsidR="00E35CD1">
        <w:rPr>
          <w:rFonts w:eastAsia="Times New Roman"/>
          <w:bCs/>
          <w:color w:val="FF0000"/>
          <w:szCs w:val="24"/>
          <w:lang w:val="en-GB"/>
        </w:rPr>
        <w:t xml:space="preserve">pprove </w:t>
      </w:r>
      <w:r w:rsidRPr="00E35CD1">
        <w:rPr>
          <w:rFonts w:eastAsia="Times New Roman"/>
          <w:bCs/>
          <w:color w:val="FF0000"/>
          <w:szCs w:val="24"/>
          <w:lang w:val="en-GB"/>
        </w:rPr>
        <w:t>the Updated Status of the List of Actions from IRCC1</w:t>
      </w:r>
      <w:r w:rsidR="008E4203">
        <w:rPr>
          <w:rFonts w:eastAsia="Times New Roman"/>
          <w:bCs/>
          <w:color w:val="FF0000"/>
          <w:szCs w:val="24"/>
          <w:lang w:val="en-GB"/>
        </w:rPr>
        <w:t>4</w:t>
      </w:r>
      <w:r w:rsidRPr="00E35CD1">
        <w:rPr>
          <w:rFonts w:eastAsia="Times New Roman"/>
          <w:bCs/>
          <w:color w:val="FF0000"/>
          <w:szCs w:val="24"/>
          <w:lang w:val="en-GB"/>
        </w:rPr>
        <w:t xml:space="preserve"> (doc.</w:t>
      </w:r>
      <w:r w:rsidRPr="00B867A8">
        <w:rPr>
          <w:color w:val="FF0000"/>
        </w:rPr>
        <w:t xml:space="preserve"> IRCC1</w:t>
      </w:r>
      <w:r w:rsidR="008E4203">
        <w:rPr>
          <w:color w:val="FF0000"/>
        </w:rPr>
        <w:t>5</w:t>
      </w:r>
      <w:r w:rsidRPr="00B867A8">
        <w:rPr>
          <w:color w:val="FF0000"/>
        </w:rPr>
        <w:t>-03</w:t>
      </w:r>
      <w:r w:rsidR="0077659A">
        <w:rPr>
          <w:color w:val="FF0000"/>
        </w:rPr>
        <w:t>C</w:t>
      </w:r>
      <w:r w:rsidRPr="00B867A8">
        <w:rPr>
          <w:color w:val="FF0000"/>
        </w:rPr>
        <w:t>).</w:t>
      </w:r>
    </w:p>
    <w:p w14:paraId="31D48965" w14:textId="3A6EE18C" w:rsidR="00171D91" w:rsidRDefault="00171D91" w:rsidP="004060F6">
      <w:pPr>
        <w:spacing w:after="240"/>
        <w:ind w:left="1700" w:hanging="1138"/>
        <w:rPr>
          <w:color w:val="FF0000"/>
        </w:rPr>
      </w:pPr>
      <w:r w:rsidRPr="00E35CD1">
        <w:rPr>
          <w:rFonts w:eastAsia="Times New Roman"/>
          <w:bCs/>
          <w:color w:val="FF0000"/>
          <w:szCs w:val="24"/>
          <w:lang w:val="en-GB"/>
        </w:rPr>
        <w:t xml:space="preserve">Decision </w:t>
      </w:r>
      <w:r>
        <w:rPr>
          <w:rFonts w:eastAsia="Times New Roman"/>
          <w:bCs/>
          <w:color w:val="FF0000"/>
          <w:szCs w:val="24"/>
          <w:lang w:val="en-GB"/>
        </w:rPr>
        <w:t>5</w:t>
      </w:r>
      <w:r w:rsidRPr="00E35CD1">
        <w:rPr>
          <w:rFonts w:eastAsia="Times New Roman"/>
          <w:bCs/>
          <w:color w:val="FF0000"/>
          <w:szCs w:val="24"/>
          <w:lang w:val="en-GB"/>
        </w:rPr>
        <w:t xml:space="preserve">: </w:t>
      </w:r>
      <w:r w:rsidR="00C32AB2">
        <w:rPr>
          <w:rFonts w:eastAsia="Times New Roman"/>
          <w:bCs/>
          <w:color w:val="FF0000"/>
          <w:szCs w:val="24"/>
          <w:lang w:val="en-GB"/>
        </w:rPr>
        <w:t>T</w:t>
      </w:r>
      <w:r w:rsidR="0004555B">
        <w:rPr>
          <w:rFonts w:eastAsia="Times New Roman"/>
          <w:bCs/>
          <w:color w:val="FF0000"/>
          <w:szCs w:val="24"/>
          <w:lang w:val="en-GB"/>
        </w:rPr>
        <w:t>o a</w:t>
      </w:r>
      <w:r>
        <w:rPr>
          <w:rFonts w:eastAsia="Times New Roman"/>
          <w:bCs/>
          <w:color w:val="FF0000"/>
          <w:szCs w:val="24"/>
          <w:lang w:val="en-GB"/>
        </w:rPr>
        <w:t xml:space="preserve">pprove </w:t>
      </w:r>
      <w:r w:rsidRPr="00E35CD1">
        <w:rPr>
          <w:rFonts w:eastAsia="Times New Roman"/>
          <w:bCs/>
          <w:color w:val="FF0000"/>
          <w:szCs w:val="24"/>
          <w:lang w:val="en-GB"/>
        </w:rPr>
        <w:t xml:space="preserve">the Updated Status of the </w:t>
      </w:r>
      <w:r w:rsidR="000D26BA">
        <w:rPr>
          <w:rFonts w:eastAsia="Times New Roman"/>
          <w:bCs/>
          <w:color w:val="FF0000"/>
          <w:szCs w:val="24"/>
          <w:lang w:val="en-GB"/>
        </w:rPr>
        <w:t>IRCC WP 2022</w:t>
      </w:r>
      <w:r w:rsidR="008E4203">
        <w:rPr>
          <w:rFonts w:eastAsia="Times New Roman"/>
          <w:bCs/>
          <w:color w:val="FF0000"/>
          <w:szCs w:val="24"/>
          <w:lang w:val="en-GB"/>
        </w:rPr>
        <w:t>-2023</w:t>
      </w:r>
      <w:r w:rsidRPr="00E35CD1">
        <w:rPr>
          <w:rFonts w:eastAsia="Times New Roman"/>
          <w:bCs/>
          <w:color w:val="FF0000"/>
          <w:szCs w:val="24"/>
          <w:lang w:val="en-GB"/>
        </w:rPr>
        <w:t xml:space="preserve"> (doc.</w:t>
      </w:r>
      <w:r w:rsidRPr="00B867A8">
        <w:rPr>
          <w:color w:val="FF0000"/>
        </w:rPr>
        <w:t xml:space="preserve"> IRCC1</w:t>
      </w:r>
      <w:r w:rsidR="008E4203">
        <w:rPr>
          <w:color w:val="FF0000"/>
        </w:rPr>
        <w:t>5</w:t>
      </w:r>
      <w:r w:rsidRPr="00B867A8">
        <w:rPr>
          <w:color w:val="FF0000"/>
        </w:rPr>
        <w:t>-03</w:t>
      </w:r>
      <w:r w:rsidR="00206F9C">
        <w:rPr>
          <w:color w:val="FF0000"/>
        </w:rPr>
        <w:t>D</w:t>
      </w:r>
      <w:r w:rsidRPr="00B867A8">
        <w:rPr>
          <w:color w:val="FF0000"/>
        </w:rPr>
        <w:t>).</w:t>
      </w:r>
    </w:p>
    <w:p w14:paraId="3CEEF90B" w14:textId="77777777" w:rsidR="00445306" w:rsidRDefault="00445306" w:rsidP="00171D91">
      <w:pPr>
        <w:spacing w:after="120"/>
        <w:ind w:left="1701" w:hanging="1134"/>
        <w:rPr>
          <w:color w:val="FF0000"/>
        </w:rPr>
      </w:pPr>
    </w:p>
    <w:p w14:paraId="5D651F39" w14:textId="0B2A71B3" w:rsidR="0053612A" w:rsidRDefault="0053612A" w:rsidP="008E4203">
      <w:pPr>
        <w:spacing w:after="120"/>
        <w:ind w:left="426" w:hanging="426"/>
        <w:rPr>
          <w:b/>
          <w:bCs/>
        </w:rPr>
      </w:pPr>
      <w:r w:rsidRPr="00445306">
        <w:rPr>
          <w:b/>
          <w:bCs/>
        </w:rPr>
        <w:t>3.3</w:t>
      </w:r>
      <w:r w:rsidRPr="00445306">
        <w:rPr>
          <w:b/>
          <w:bCs/>
        </w:rPr>
        <w:tab/>
      </w:r>
      <w:r w:rsidR="008E4203" w:rsidRPr="00445306">
        <w:rPr>
          <w:b/>
          <w:bCs/>
        </w:rPr>
        <w:t>Outcomes of the 6th Meeting of the IHO Council (C-6)</w:t>
      </w:r>
    </w:p>
    <w:p w14:paraId="1BC718BF" w14:textId="400D05B1" w:rsidR="00445306" w:rsidRPr="00445306" w:rsidRDefault="00445306" w:rsidP="00445306">
      <w:pPr>
        <w:spacing w:after="120"/>
        <w:ind w:left="1701" w:hanging="1134"/>
        <w:rPr>
          <w:color w:val="FF0000"/>
        </w:rPr>
      </w:pPr>
      <w:r w:rsidRPr="00445306">
        <w:rPr>
          <w:rFonts w:eastAsia="Times New Roman"/>
          <w:bCs/>
          <w:color w:val="FF0000"/>
          <w:szCs w:val="24"/>
          <w:lang w:val="en-GB"/>
        </w:rPr>
        <w:t>XXX</w:t>
      </w:r>
    </w:p>
    <w:p w14:paraId="27DE80A1" w14:textId="77777777" w:rsidR="00E35CD1" w:rsidRDefault="00E35CD1" w:rsidP="001A70A7">
      <w:pPr>
        <w:ind w:left="1701" w:hanging="1134"/>
        <w:rPr>
          <w:rFonts w:eastAsia="Times New Roman"/>
          <w:bCs/>
          <w:color w:val="2F5496" w:themeColor="accent1" w:themeShade="BF"/>
          <w:szCs w:val="24"/>
          <w:lang w:val="en-GB"/>
        </w:rPr>
      </w:pPr>
    </w:p>
    <w:p w14:paraId="5A72FD04" w14:textId="09D43719" w:rsidR="00C26238" w:rsidRDefault="00B321BC" w:rsidP="00B321BC">
      <w:pPr>
        <w:spacing w:after="120"/>
        <w:ind w:left="426" w:hanging="426"/>
        <w:rPr>
          <w:rFonts w:eastAsia="Times New Roman"/>
          <w:b/>
          <w:bCs/>
          <w:szCs w:val="24"/>
          <w:lang w:val="en-GB"/>
        </w:rPr>
      </w:pPr>
      <w:r w:rsidRPr="00330D08">
        <w:rPr>
          <w:b/>
          <w:bCs/>
        </w:rPr>
        <w:t>4.</w:t>
      </w:r>
      <w:r w:rsidRPr="00330D08">
        <w:rPr>
          <w:b/>
          <w:bCs/>
        </w:rPr>
        <w:tab/>
      </w:r>
      <w:r w:rsidR="00E35CD1">
        <w:rPr>
          <w:b/>
          <w:bCs/>
        </w:rPr>
        <w:t>HSSC Report</w:t>
      </w:r>
    </w:p>
    <w:p w14:paraId="5848D238" w14:textId="23510EF5" w:rsidR="00E20A0B" w:rsidRDefault="00E35CD1" w:rsidP="004060F6">
      <w:pPr>
        <w:spacing w:after="240"/>
        <w:ind w:left="1700" w:hanging="1138"/>
        <w:rPr>
          <w:color w:val="FF0000"/>
        </w:rPr>
      </w:pPr>
      <w:r w:rsidRPr="00B867A8">
        <w:rPr>
          <w:color w:val="FF0000"/>
        </w:rPr>
        <w:t xml:space="preserve">Decision </w:t>
      </w:r>
      <w:r w:rsidR="005633CF">
        <w:rPr>
          <w:color w:val="FF0000"/>
        </w:rPr>
        <w:t>6</w:t>
      </w:r>
      <w:r w:rsidRPr="00B867A8">
        <w:rPr>
          <w:color w:val="FF0000"/>
        </w:rPr>
        <w:t xml:space="preserve">: </w:t>
      </w:r>
      <w:r w:rsidR="00C32AB2">
        <w:rPr>
          <w:color w:val="FF0000"/>
        </w:rPr>
        <w:t>To n</w:t>
      </w:r>
      <w:r w:rsidRPr="00B867A8">
        <w:rPr>
          <w:color w:val="FF0000"/>
        </w:rPr>
        <w:t xml:space="preserve">ote the HSSC report (doc. </w:t>
      </w:r>
      <w:r w:rsidR="00D10BF3" w:rsidRPr="00B867A8">
        <w:rPr>
          <w:color w:val="FF0000"/>
        </w:rPr>
        <w:t>IRCC</w:t>
      </w:r>
      <w:r w:rsidR="00D10BF3">
        <w:rPr>
          <w:color w:val="FF0000"/>
        </w:rPr>
        <w:t>1</w:t>
      </w:r>
      <w:r w:rsidR="00445306">
        <w:rPr>
          <w:color w:val="FF0000"/>
        </w:rPr>
        <w:t>5</w:t>
      </w:r>
      <w:r w:rsidRPr="00B867A8">
        <w:rPr>
          <w:color w:val="FF0000"/>
        </w:rPr>
        <w:t>-0</w:t>
      </w:r>
      <w:r w:rsidR="0077659A">
        <w:rPr>
          <w:color w:val="FF0000"/>
        </w:rPr>
        <w:t>4</w:t>
      </w:r>
      <w:r w:rsidRPr="00B867A8">
        <w:rPr>
          <w:color w:val="FF0000"/>
        </w:rPr>
        <w:t>).</w:t>
      </w:r>
    </w:p>
    <w:p w14:paraId="624C4413" w14:textId="54220FCF" w:rsidR="00445306" w:rsidRPr="00445306" w:rsidRDefault="00445306" w:rsidP="004060F6">
      <w:pPr>
        <w:spacing w:after="240"/>
        <w:ind w:left="1700" w:hanging="1138"/>
        <w:rPr>
          <w:color w:val="FF0000"/>
        </w:rPr>
      </w:pPr>
      <w:r>
        <w:rPr>
          <w:color w:val="FF0000"/>
        </w:rPr>
        <w:t>Decision 7</w:t>
      </w:r>
      <w:r w:rsidR="0004555B">
        <w:rPr>
          <w:color w:val="FF0000"/>
        </w:rPr>
        <w:t>:</w:t>
      </w:r>
      <w:r w:rsidRPr="00445306">
        <w:rPr>
          <w:color w:val="FF0000"/>
        </w:rPr>
        <w:t xml:space="preserve"> </w:t>
      </w:r>
      <w:r w:rsidR="00C32AB2">
        <w:rPr>
          <w:color w:val="FF0000"/>
        </w:rPr>
        <w:t>To n</w:t>
      </w:r>
      <w:r w:rsidRPr="00445306">
        <w:rPr>
          <w:color w:val="FF0000"/>
        </w:rPr>
        <w:t xml:space="preserve">ote the decision to task NCWG to make an impact study and develop a standard for </w:t>
      </w:r>
      <w:proofErr w:type="spellStart"/>
      <w:r w:rsidRPr="00445306">
        <w:rPr>
          <w:color w:val="FF0000"/>
        </w:rPr>
        <w:t>NtM</w:t>
      </w:r>
      <w:proofErr w:type="spellEnd"/>
      <w:r w:rsidRPr="00445306">
        <w:rPr>
          <w:color w:val="FF0000"/>
        </w:rPr>
        <w:t xml:space="preserve"> (XML) if appropriate</w:t>
      </w:r>
      <w:r w:rsidR="0004555B">
        <w:rPr>
          <w:color w:val="FF0000"/>
        </w:rPr>
        <w:t>:</w:t>
      </w:r>
      <w:r w:rsidRPr="00445306">
        <w:rPr>
          <w:color w:val="FF0000"/>
        </w:rPr>
        <w:t xml:space="preserve"> medium priority (HSSC15-05.4C / IRCC15-09.1)</w:t>
      </w:r>
    </w:p>
    <w:p w14:paraId="00270D1E" w14:textId="638A08A2" w:rsidR="00445306" w:rsidRPr="00445306" w:rsidRDefault="00445306" w:rsidP="004060F6">
      <w:pPr>
        <w:spacing w:after="240"/>
        <w:ind w:left="1700" w:hanging="1138"/>
        <w:rPr>
          <w:color w:val="FF0000"/>
        </w:rPr>
      </w:pPr>
      <w:r w:rsidRPr="00902869">
        <w:rPr>
          <w:color w:val="FF0000"/>
          <w:highlight w:val="yellow"/>
        </w:rPr>
        <w:t>Decision 8</w:t>
      </w:r>
      <w:r w:rsidR="0004555B" w:rsidRPr="00902869">
        <w:rPr>
          <w:color w:val="FF0000"/>
          <w:highlight w:val="yellow"/>
        </w:rPr>
        <w:t>:</w:t>
      </w:r>
      <w:r w:rsidR="00C32AB2" w:rsidRPr="00902869">
        <w:rPr>
          <w:color w:val="FF0000"/>
          <w:highlight w:val="yellow"/>
        </w:rPr>
        <w:t xml:space="preserve"> To n</w:t>
      </w:r>
      <w:r w:rsidRPr="00902869">
        <w:rPr>
          <w:color w:val="FF0000"/>
          <w:highlight w:val="yellow"/>
        </w:rPr>
        <w:t xml:space="preserve">ote the endorsement of the proposal to create a new </w:t>
      </w:r>
      <w:r w:rsidR="00041FB2" w:rsidRPr="00902869">
        <w:rPr>
          <w:color w:val="FF0000"/>
          <w:highlight w:val="yellow"/>
        </w:rPr>
        <w:t xml:space="preserve">annual </w:t>
      </w:r>
      <w:r w:rsidRPr="00902869">
        <w:rPr>
          <w:color w:val="FF0000"/>
          <w:highlight w:val="yellow"/>
        </w:rPr>
        <w:t>award recognizing a champion of hydrography across HSSC and IRCC</w:t>
      </w:r>
      <w:r w:rsidR="00041FB2" w:rsidRPr="00902869">
        <w:rPr>
          <w:color w:val="FF0000"/>
          <w:highlight w:val="yellow"/>
        </w:rPr>
        <w:t>.</w:t>
      </w:r>
    </w:p>
    <w:p w14:paraId="752EE334" w14:textId="6718EBFD" w:rsidR="00445306" w:rsidRPr="00445306" w:rsidRDefault="00445306" w:rsidP="004060F6">
      <w:pPr>
        <w:spacing w:after="240"/>
        <w:ind w:left="1700" w:hanging="1138"/>
        <w:rPr>
          <w:color w:val="FF0000"/>
        </w:rPr>
      </w:pPr>
      <w:r w:rsidRPr="00902869">
        <w:rPr>
          <w:color w:val="FF0000"/>
          <w:highlight w:val="yellow"/>
        </w:rPr>
        <w:t>Recommendation 2</w:t>
      </w:r>
      <w:r w:rsidR="0004555B" w:rsidRPr="00902869">
        <w:rPr>
          <w:color w:val="FF0000"/>
          <w:highlight w:val="yellow"/>
        </w:rPr>
        <w:t>:</w:t>
      </w:r>
      <w:r w:rsidRPr="00902869">
        <w:rPr>
          <w:color w:val="FF0000"/>
          <w:highlight w:val="yellow"/>
        </w:rPr>
        <w:t xml:space="preserve"> RHCs to start producing S-101 and other </w:t>
      </w:r>
      <w:r w:rsidR="000D26BA" w:rsidRPr="00902869">
        <w:rPr>
          <w:color w:val="FF0000"/>
          <w:highlight w:val="yellow"/>
        </w:rPr>
        <w:t xml:space="preserve">s-100 </w:t>
      </w:r>
      <w:r w:rsidRPr="00902869">
        <w:rPr>
          <w:color w:val="FF0000"/>
          <w:highlight w:val="yellow"/>
        </w:rPr>
        <w:t>P</w:t>
      </w:r>
      <w:r w:rsidR="000D26BA" w:rsidRPr="00902869">
        <w:rPr>
          <w:color w:val="FF0000"/>
          <w:highlight w:val="yellow"/>
        </w:rPr>
        <w:t>roducts</w:t>
      </w:r>
      <w:r w:rsidRPr="00902869">
        <w:rPr>
          <w:color w:val="FF0000"/>
          <w:highlight w:val="yellow"/>
        </w:rPr>
        <w:t xml:space="preserve"> by focusing on a specific </w:t>
      </w:r>
      <w:r w:rsidR="000D26BA" w:rsidRPr="00902869">
        <w:rPr>
          <w:color w:val="FF0000"/>
          <w:highlight w:val="yellow"/>
        </w:rPr>
        <w:t>part of the</w:t>
      </w:r>
      <w:r w:rsidRPr="00902869">
        <w:rPr>
          <w:color w:val="FF0000"/>
          <w:highlight w:val="yellow"/>
        </w:rPr>
        <w:t xml:space="preserve"> region.</w:t>
      </w:r>
    </w:p>
    <w:p w14:paraId="043437C5" w14:textId="77777777" w:rsidR="00445306" w:rsidRDefault="00445306" w:rsidP="00206F9C">
      <w:pPr>
        <w:spacing w:after="120"/>
        <w:ind w:left="1701" w:hanging="1134"/>
        <w:rPr>
          <w:color w:val="FF0000"/>
        </w:rPr>
      </w:pPr>
    </w:p>
    <w:p w14:paraId="701A07C5" w14:textId="31A9115F" w:rsidR="001E7D43" w:rsidRDefault="001E7D43" w:rsidP="00E35CD1">
      <w:pPr>
        <w:ind w:left="1701" w:hanging="1134"/>
        <w:rPr>
          <w:color w:val="FF0000"/>
        </w:rPr>
      </w:pPr>
    </w:p>
    <w:p w14:paraId="3E0C2647" w14:textId="7F19E0BE" w:rsidR="001E7D43" w:rsidRDefault="001E7D43" w:rsidP="001E7D43">
      <w:pPr>
        <w:spacing w:after="120"/>
        <w:ind w:left="426" w:hanging="426"/>
        <w:rPr>
          <w:b/>
          <w:bCs/>
        </w:rPr>
      </w:pPr>
      <w:r>
        <w:rPr>
          <w:b/>
          <w:bCs/>
        </w:rPr>
        <w:t xml:space="preserve">5. </w:t>
      </w:r>
      <w:r>
        <w:rPr>
          <w:b/>
          <w:bCs/>
        </w:rPr>
        <w:tab/>
        <w:t>Report by the Secretariat</w:t>
      </w:r>
    </w:p>
    <w:p w14:paraId="1ECFC23A" w14:textId="354C7327" w:rsidR="001E7D43" w:rsidRDefault="001E7D43" w:rsidP="00884B82">
      <w:pPr>
        <w:spacing w:after="120"/>
        <w:ind w:left="1701" w:hanging="1134"/>
        <w:rPr>
          <w:color w:val="FF0000"/>
        </w:rPr>
      </w:pPr>
      <w:r w:rsidRPr="00B867A8">
        <w:rPr>
          <w:color w:val="FF0000"/>
        </w:rPr>
        <w:t xml:space="preserve">Decision </w:t>
      </w:r>
      <w:r w:rsidR="00445306">
        <w:rPr>
          <w:color w:val="FF0000"/>
        </w:rPr>
        <w:t>9</w:t>
      </w:r>
      <w:r w:rsidR="00C32AB2">
        <w:rPr>
          <w:color w:val="FF0000"/>
        </w:rPr>
        <w:t>: To n</w:t>
      </w:r>
      <w:r w:rsidRPr="00B867A8">
        <w:rPr>
          <w:color w:val="FF0000"/>
        </w:rPr>
        <w:t xml:space="preserve">ote the </w:t>
      </w:r>
      <w:r>
        <w:rPr>
          <w:color w:val="FF0000"/>
        </w:rPr>
        <w:t>IHO Secretariat</w:t>
      </w:r>
      <w:r w:rsidRPr="00B867A8">
        <w:rPr>
          <w:color w:val="FF0000"/>
        </w:rPr>
        <w:t xml:space="preserve"> </w:t>
      </w:r>
      <w:r>
        <w:rPr>
          <w:color w:val="FF0000"/>
        </w:rPr>
        <w:t>R</w:t>
      </w:r>
      <w:r w:rsidRPr="00B867A8">
        <w:rPr>
          <w:color w:val="FF0000"/>
        </w:rPr>
        <w:t>eport (doc. IRCC1</w:t>
      </w:r>
      <w:r w:rsidR="00445306">
        <w:rPr>
          <w:color w:val="FF0000"/>
        </w:rPr>
        <w:t>5</w:t>
      </w:r>
      <w:r w:rsidRPr="00B867A8">
        <w:rPr>
          <w:color w:val="FF0000"/>
        </w:rPr>
        <w:t>-0</w:t>
      </w:r>
      <w:r>
        <w:rPr>
          <w:color w:val="FF0000"/>
        </w:rPr>
        <w:t>5</w:t>
      </w:r>
      <w:r w:rsidRPr="00B867A8">
        <w:rPr>
          <w:color w:val="FF0000"/>
        </w:rPr>
        <w:t>).</w:t>
      </w:r>
    </w:p>
    <w:p w14:paraId="39A8D054" w14:textId="77777777" w:rsidR="00C9244E" w:rsidRPr="00E35CD1" w:rsidRDefault="00C9244E" w:rsidP="00206F9C">
      <w:pPr>
        <w:rPr>
          <w:rFonts w:ascii="Times New Roman" w:eastAsia="Times New Roman" w:hAnsi="Times New Roman" w:cs="Times New Roman"/>
          <w:color w:val="2F5496" w:themeColor="accent1" w:themeShade="BF"/>
          <w:sz w:val="24"/>
          <w:szCs w:val="24"/>
        </w:rPr>
      </w:pPr>
    </w:p>
    <w:p w14:paraId="5154B2F2" w14:textId="511EF436" w:rsidR="00B53471" w:rsidRDefault="00442195" w:rsidP="00C9244E">
      <w:pPr>
        <w:spacing w:after="120"/>
        <w:ind w:left="426" w:hanging="426"/>
        <w:rPr>
          <w:b/>
          <w:bCs/>
        </w:rPr>
      </w:pPr>
      <w:r>
        <w:rPr>
          <w:b/>
          <w:bCs/>
        </w:rPr>
        <w:t>6</w:t>
      </w:r>
      <w:r w:rsidRPr="00FE61AA">
        <w:rPr>
          <w:b/>
          <w:bCs/>
        </w:rPr>
        <w:t>.</w:t>
      </w:r>
      <w:r w:rsidRPr="00FE61AA">
        <w:rPr>
          <w:b/>
          <w:bCs/>
        </w:rPr>
        <w:tab/>
      </w:r>
      <w:r w:rsidRPr="006527BD">
        <w:rPr>
          <w:b/>
          <w:bCs/>
          <w:spacing w:val="-1"/>
        </w:rPr>
        <w:t xml:space="preserve">Regional </w:t>
      </w:r>
      <w:r w:rsidRPr="006527BD">
        <w:rPr>
          <w:b/>
          <w:bCs/>
        </w:rPr>
        <w:t>Hydrographic</w:t>
      </w:r>
      <w:r w:rsidRPr="006527BD">
        <w:rPr>
          <w:b/>
          <w:bCs/>
          <w:spacing w:val="1"/>
        </w:rPr>
        <w:t xml:space="preserve"> </w:t>
      </w:r>
      <w:r w:rsidRPr="006527BD">
        <w:rPr>
          <w:b/>
          <w:bCs/>
        </w:rPr>
        <w:t>Commissions (RHCs)</w:t>
      </w:r>
    </w:p>
    <w:p w14:paraId="75C2E558" w14:textId="31244A37" w:rsidR="00282809" w:rsidRDefault="000250BE" w:rsidP="004060F6">
      <w:pPr>
        <w:spacing w:after="240"/>
        <w:ind w:left="1700" w:hanging="1138"/>
        <w:rPr>
          <w:color w:val="FF0000"/>
        </w:rPr>
      </w:pPr>
      <w:bookmarkStart w:id="0" w:name="_Hlk75385180"/>
      <w:bookmarkStart w:id="1" w:name="_Hlk75460192"/>
      <w:r w:rsidRPr="003074D0">
        <w:rPr>
          <w:color w:val="FF0000"/>
          <w:highlight w:val="yellow"/>
        </w:rPr>
        <w:t xml:space="preserve">Recommendation </w:t>
      </w:r>
      <w:r w:rsidR="00282809" w:rsidRPr="003074D0">
        <w:rPr>
          <w:color w:val="FF0000"/>
          <w:highlight w:val="yellow"/>
        </w:rPr>
        <w:t xml:space="preserve">2: RHC to </w:t>
      </w:r>
      <w:r w:rsidR="00DC09A0" w:rsidRPr="003074D0">
        <w:rPr>
          <w:color w:val="FF0000"/>
          <w:highlight w:val="yellow"/>
        </w:rPr>
        <w:t>discuss how HO‘s can assume a geo-coordinating role to help ensure provision of data</w:t>
      </w:r>
      <w:r w:rsidR="000F31FE" w:rsidRPr="003074D0">
        <w:rPr>
          <w:color w:val="FF0000"/>
          <w:highlight w:val="yellow"/>
        </w:rPr>
        <w:t xml:space="preserve"> </w:t>
      </w:r>
      <w:r w:rsidR="00282809" w:rsidRPr="003074D0">
        <w:rPr>
          <w:color w:val="FF0000"/>
          <w:highlight w:val="yellow"/>
        </w:rPr>
        <w:t xml:space="preserve">on </w:t>
      </w:r>
      <w:r w:rsidR="000F31FE" w:rsidRPr="003074D0">
        <w:rPr>
          <w:color w:val="FF0000"/>
          <w:highlight w:val="yellow"/>
        </w:rPr>
        <w:t>a</w:t>
      </w:r>
      <w:r w:rsidR="00282809" w:rsidRPr="003074D0">
        <w:rPr>
          <w:color w:val="FF0000"/>
          <w:highlight w:val="yellow"/>
        </w:rPr>
        <w:t xml:space="preserve"> regional level</w:t>
      </w:r>
      <w:r w:rsidR="000F31FE" w:rsidRPr="003074D0">
        <w:rPr>
          <w:color w:val="FF0000"/>
          <w:highlight w:val="yellow"/>
        </w:rPr>
        <w:t>.</w:t>
      </w:r>
    </w:p>
    <w:p w14:paraId="78844E15" w14:textId="4AA05FA5" w:rsidR="006527BD" w:rsidRPr="006527BD" w:rsidRDefault="006527BD" w:rsidP="004060F6">
      <w:pPr>
        <w:spacing w:after="240"/>
        <w:ind w:left="1700" w:hanging="1138"/>
        <w:rPr>
          <w:color w:val="FF0000"/>
        </w:rPr>
      </w:pPr>
      <w:r>
        <w:rPr>
          <w:color w:val="FF0000"/>
        </w:rPr>
        <w:t>Decision 10</w:t>
      </w:r>
      <w:r w:rsidR="0004555B">
        <w:rPr>
          <w:color w:val="FF0000"/>
        </w:rPr>
        <w:t>:</w:t>
      </w:r>
      <w:r w:rsidR="00C32AB2">
        <w:rPr>
          <w:color w:val="FF0000"/>
        </w:rPr>
        <w:t xml:space="preserve"> To t</w:t>
      </w:r>
      <w:r w:rsidRPr="006527BD">
        <w:rPr>
          <w:color w:val="FF0000"/>
        </w:rPr>
        <w:t xml:space="preserve">ake note of the importance of CB activities in the MBSHC </w:t>
      </w:r>
      <w:r>
        <w:rPr>
          <w:color w:val="FF0000"/>
        </w:rPr>
        <w:t xml:space="preserve">and EAtHC </w:t>
      </w:r>
      <w:r w:rsidRPr="006527BD">
        <w:rPr>
          <w:color w:val="FF0000"/>
        </w:rPr>
        <w:t>region</w:t>
      </w:r>
      <w:r>
        <w:rPr>
          <w:color w:val="FF0000"/>
        </w:rPr>
        <w:t>s</w:t>
      </w:r>
      <w:r w:rsidRPr="006527BD">
        <w:rPr>
          <w:color w:val="FF0000"/>
        </w:rPr>
        <w:t xml:space="preserve"> and the need for additional funds to IHO CB funds</w:t>
      </w:r>
      <w:r>
        <w:rPr>
          <w:color w:val="FF0000"/>
        </w:rPr>
        <w:t>.</w:t>
      </w:r>
    </w:p>
    <w:p w14:paraId="6C369E6D" w14:textId="75E641D5" w:rsidR="00000000" w:rsidRDefault="000F31FE" w:rsidP="004060F6">
      <w:pPr>
        <w:spacing w:after="240"/>
        <w:ind w:left="1700" w:hanging="1138"/>
        <w:rPr>
          <w:color w:val="FF0000"/>
        </w:rPr>
      </w:pPr>
      <w:r w:rsidRPr="00B867A8">
        <w:rPr>
          <w:color w:val="FF0000"/>
        </w:rPr>
        <w:t xml:space="preserve">Decision </w:t>
      </w:r>
      <w:r w:rsidR="006527BD">
        <w:rPr>
          <w:color w:val="FF0000"/>
        </w:rPr>
        <w:t>11</w:t>
      </w:r>
      <w:r w:rsidRPr="00B867A8">
        <w:rPr>
          <w:color w:val="FF0000"/>
        </w:rPr>
        <w:t xml:space="preserve">: </w:t>
      </w:r>
      <w:r w:rsidR="00C32AB2">
        <w:rPr>
          <w:color w:val="FF0000"/>
        </w:rPr>
        <w:t>To n</w:t>
      </w:r>
      <w:r w:rsidR="00DC09A0" w:rsidRPr="00D621A4">
        <w:rPr>
          <w:color w:val="FF0000"/>
        </w:rPr>
        <w:t>ote the SWPHC Work Plan 2022-2023</w:t>
      </w:r>
      <w:r w:rsidR="00206F9C">
        <w:rPr>
          <w:color w:val="FF0000"/>
        </w:rPr>
        <w:t>.</w:t>
      </w:r>
    </w:p>
    <w:p w14:paraId="4FA42601" w14:textId="44A6A872" w:rsidR="006527BD" w:rsidRPr="005A75AE" w:rsidRDefault="00193EC4" w:rsidP="004060F6">
      <w:pPr>
        <w:spacing w:after="240"/>
        <w:ind w:left="1700" w:hanging="1138"/>
        <w:rPr>
          <w:color w:val="FF0000"/>
        </w:rPr>
      </w:pPr>
      <w:r>
        <w:rPr>
          <w:color w:val="FF0000"/>
        </w:rPr>
        <w:t>Decision 12</w:t>
      </w:r>
      <w:r w:rsidR="00E77B7D">
        <w:rPr>
          <w:color w:val="FF0000"/>
        </w:rPr>
        <w:t>:</w:t>
      </w:r>
      <w:r w:rsidR="006527BD" w:rsidRPr="00193EC4">
        <w:rPr>
          <w:color w:val="FF0000"/>
        </w:rPr>
        <w:t xml:space="preserve"> </w:t>
      </w:r>
      <w:r w:rsidR="00C32AB2">
        <w:rPr>
          <w:color w:val="FF0000"/>
        </w:rPr>
        <w:t>To c</w:t>
      </w:r>
      <w:r w:rsidR="006527BD" w:rsidRPr="00193EC4">
        <w:rPr>
          <w:color w:val="FF0000"/>
        </w:rPr>
        <w:t>onsider that IRCC14 Item 9, Action 17 is not required in light of A3 PRO3.5, Decision 20.</w:t>
      </w:r>
      <w:r w:rsidR="006527BD" w:rsidRPr="005A75AE">
        <w:rPr>
          <w:color w:val="FF0000"/>
        </w:rPr>
        <w:t xml:space="preserve"> </w:t>
      </w:r>
    </w:p>
    <w:p w14:paraId="5ED667CE" w14:textId="7B4AA0B9" w:rsidR="006527BD" w:rsidRPr="006527BD" w:rsidRDefault="00193EC4" w:rsidP="004060F6">
      <w:pPr>
        <w:spacing w:after="240"/>
        <w:ind w:left="1700" w:hanging="1138"/>
        <w:rPr>
          <w:color w:val="FF0000"/>
        </w:rPr>
      </w:pPr>
      <w:r>
        <w:rPr>
          <w:color w:val="FF0000"/>
        </w:rPr>
        <w:t>Decision 13</w:t>
      </w:r>
      <w:r w:rsidR="0004555B">
        <w:rPr>
          <w:color w:val="FF0000"/>
        </w:rPr>
        <w:t>:</w:t>
      </w:r>
      <w:r w:rsidR="00C32AB2">
        <w:rPr>
          <w:color w:val="FF0000"/>
        </w:rPr>
        <w:t xml:space="preserve"> To no</w:t>
      </w:r>
      <w:r w:rsidR="006527BD" w:rsidRPr="006527BD">
        <w:rPr>
          <w:color w:val="FF0000"/>
        </w:rPr>
        <w:t>te the importance of the need for IHO Capacity Building support within the MACHC region</w:t>
      </w:r>
      <w:r w:rsidR="006527BD">
        <w:rPr>
          <w:color w:val="FF0000"/>
        </w:rPr>
        <w:t>.</w:t>
      </w:r>
    </w:p>
    <w:p w14:paraId="5DB0A20A" w14:textId="03F677E0" w:rsidR="006527BD" w:rsidRPr="006527BD" w:rsidRDefault="00193EC4" w:rsidP="004060F6">
      <w:pPr>
        <w:spacing w:after="240"/>
        <w:ind w:left="1700" w:hanging="1138"/>
        <w:rPr>
          <w:color w:val="FF0000"/>
        </w:rPr>
      </w:pPr>
      <w:r>
        <w:rPr>
          <w:color w:val="FF0000"/>
        </w:rPr>
        <w:t>Decision 14</w:t>
      </w:r>
      <w:r w:rsidR="0004555B">
        <w:rPr>
          <w:color w:val="FF0000"/>
        </w:rPr>
        <w:t>:</w:t>
      </w:r>
      <w:r w:rsidR="00C32AB2">
        <w:rPr>
          <w:color w:val="FF0000"/>
        </w:rPr>
        <w:t xml:space="preserve"> To n</w:t>
      </w:r>
      <w:r w:rsidR="006527BD" w:rsidRPr="006527BD">
        <w:rPr>
          <w:color w:val="FF0000"/>
        </w:rPr>
        <w:t xml:space="preserve">ote the efforts described to support the goals of the IHO and the IRCC within the </w:t>
      </w:r>
      <w:r w:rsidR="006527BD">
        <w:rPr>
          <w:color w:val="FF0000"/>
        </w:rPr>
        <w:t>ARHC.</w:t>
      </w:r>
    </w:p>
    <w:p w14:paraId="5C4548AD" w14:textId="65777DD8" w:rsidR="006527BD" w:rsidRPr="006527BD" w:rsidRDefault="00193EC4" w:rsidP="004060F6">
      <w:pPr>
        <w:spacing w:after="240"/>
        <w:ind w:left="1700" w:hanging="1138"/>
        <w:rPr>
          <w:color w:val="FF0000"/>
        </w:rPr>
      </w:pPr>
      <w:r>
        <w:rPr>
          <w:color w:val="FF0000"/>
        </w:rPr>
        <w:t>Decision 15</w:t>
      </w:r>
      <w:r w:rsidR="0004555B">
        <w:rPr>
          <w:color w:val="FF0000"/>
        </w:rPr>
        <w:t>:</w:t>
      </w:r>
      <w:r w:rsidR="00C32AB2">
        <w:rPr>
          <w:color w:val="FF0000"/>
        </w:rPr>
        <w:t xml:space="preserve"> To n</w:t>
      </w:r>
      <w:r w:rsidR="006527BD" w:rsidRPr="006527BD">
        <w:rPr>
          <w:color w:val="FF0000"/>
        </w:rPr>
        <w:t>ote the ARHC Year-in-Review 2022 summary: (Annex B of report).</w:t>
      </w:r>
    </w:p>
    <w:p w14:paraId="70B6D896" w14:textId="0E7D0240" w:rsidR="00AD33F1" w:rsidRDefault="00AD33F1" w:rsidP="004060F6">
      <w:pPr>
        <w:spacing w:after="240"/>
        <w:ind w:left="1700" w:hanging="1138"/>
        <w:rPr>
          <w:color w:val="FF0000"/>
          <w:lang w:val="pt-PT"/>
        </w:rPr>
      </w:pPr>
      <w:r w:rsidRPr="00B867A8">
        <w:rPr>
          <w:color w:val="FF0000"/>
        </w:rPr>
        <w:t xml:space="preserve">Decision </w:t>
      </w:r>
      <w:r w:rsidR="00193EC4">
        <w:rPr>
          <w:color w:val="FF0000"/>
        </w:rPr>
        <w:t>16</w:t>
      </w:r>
      <w:r w:rsidR="00E77B7D">
        <w:rPr>
          <w:color w:val="FF0000"/>
        </w:rPr>
        <w:t>:</w:t>
      </w:r>
      <w:r w:rsidRPr="00B867A8">
        <w:rPr>
          <w:color w:val="FF0000"/>
        </w:rPr>
        <w:t xml:space="preserve"> </w:t>
      </w:r>
      <w:bookmarkEnd w:id="0"/>
      <w:r w:rsidR="00C32AB2">
        <w:rPr>
          <w:color w:val="FF0000"/>
        </w:rPr>
        <w:t>To n</w:t>
      </w:r>
      <w:r w:rsidRPr="005D2D62">
        <w:rPr>
          <w:color w:val="FF0000"/>
        </w:rPr>
        <w:t xml:space="preserve">ote all reports from agenda item </w:t>
      </w:r>
      <w:r>
        <w:rPr>
          <w:color w:val="FF0000"/>
        </w:rPr>
        <w:t>6</w:t>
      </w:r>
      <w:r w:rsidRPr="005D2D62">
        <w:rPr>
          <w:color w:val="FF0000"/>
        </w:rPr>
        <w:t xml:space="preserve"> (</w:t>
      </w:r>
      <w:r w:rsidRPr="00AD33F1">
        <w:rPr>
          <w:color w:val="FF0000"/>
        </w:rPr>
        <w:t xml:space="preserve">docs. </w:t>
      </w:r>
      <w:r w:rsidRPr="00AD33F1">
        <w:rPr>
          <w:color w:val="FF0000"/>
          <w:lang w:val="pt-PT"/>
        </w:rPr>
        <w:t>IRCC1</w:t>
      </w:r>
      <w:r w:rsidR="00D06204">
        <w:rPr>
          <w:color w:val="FF0000"/>
          <w:lang w:val="pt-PT"/>
        </w:rPr>
        <w:t>4</w:t>
      </w:r>
      <w:r w:rsidRPr="00AD33F1">
        <w:rPr>
          <w:color w:val="FF0000"/>
          <w:lang w:val="pt-PT"/>
        </w:rPr>
        <w:t>-06.1A, 06.1B, 06.1C, 06.1D, 06.1E, 06.1F, 06.1G, 06.1H, 06.1I, 06.1J, 06.1K, 06.1L, 06.1M, 06.1N , 06.1</w:t>
      </w:r>
      <w:r w:rsidR="00D06204">
        <w:rPr>
          <w:color w:val="FF0000"/>
          <w:lang w:val="pt-PT"/>
        </w:rPr>
        <w:t>O</w:t>
      </w:r>
      <w:r w:rsidRPr="00AD33F1">
        <w:rPr>
          <w:color w:val="FF0000"/>
          <w:lang w:val="pt-PT"/>
        </w:rPr>
        <w:t>)</w:t>
      </w:r>
    </w:p>
    <w:bookmarkEnd w:id="1"/>
    <w:p w14:paraId="26118F23" w14:textId="77777777" w:rsidR="00884B82" w:rsidRPr="00D06204" w:rsidRDefault="00884B82" w:rsidP="00884B82">
      <w:pPr>
        <w:ind w:left="1701" w:hanging="1134"/>
        <w:rPr>
          <w:color w:val="FF0000"/>
          <w:lang w:val="pt-PT"/>
        </w:rPr>
      </w:pPr>
    </w:p>
    <w:p w14:paraId="4315F46F" w14:textId="281F7C17" w:rsidR="00442195" w:rsidRDefault="00884B82" w:rsidP="00442195">
      <w:pPr>
        <w:spacing w:after="120"/>
        <w:ind w:left="426" w:hanging="426"/>
        <w:rPr>
          <w:b/>
          <w:bCs/>
          <w:spacing w:val="1"/>
        </w:rPr>
      </w:pPr>
      <w:r>
        <w:rPr>
          <w:b/>
          <w:bCs/>
          <w:spacing w:val="1"/>
        </w:rPr>
        <w:t xml:space="preserve">7. </w:t>
      </w:r>
      <w:r>
        <w:rPr>
          <w:b/>
          <w:bCs/>
          <w:spacing w:val="1"/>
        </w:rPr>
        <w:tab/>
      </w:r>
      <w:r w:rsidRPr="008C43A2">
        <w:rPr>
          <w:b/>
          <w:bCs/>
          <w:spacing w:val="1"/>
        </w:rPr>
        <w:t>Reports from IRCC Subordinate Bodies</w:t>
      </w:r>
    </w:p>
    <w:p w14:paraId="46CD2306" w14:textId="22C744CD" w:rsidR="006527BD" w:rsidRPr="006527BD" w:rsidRDefault="006527BD" w:rsidP="004060F6">
      <w:pPr>
        <w:spacing w:after="240"/>
        <w:ind w:left="1700" w:hanging="1138"/>
        <w:jc w:val="both"/>
        <w:rPr>
          <w:color w:val="FF0000"/>
        </w:rPr>
      </w:pPr>
      <w:r w:rsidRPr="00285757">
        <w:rPr>
          <w:color w:val="FF0000"/>
          <w:highlight w:val="yellow"/>
        </w:rPr>
        <w:t xml:space="preserve">Recommendation </w:t>
      </w:r>
      <w:r w:rsidR="008931EE" w:rsidRPr="00285757">
        <w:rPr>
          <w:color w:val="FF0000"/>
          <w:highlight w:val="yellow"/>
        </w:rPr>
        <w:t>3</w:t>
      </w:r>
      <w:r w:rsidR="0004555B" w:rsidRPr="00285757">
        <w:rPr>
          <w:color w:val="FF0000"/>
          <w:highlight w:val="yellow"/>
        </w:rPr>
        <w:t>:</w:t>
      </w:r>
      <w:r w:rsidRPr="00285757">
        <w:rPr>
          <w:color w:val="FF0000"/>
          <w:highlight w:val="yellow"/>
        </w:rPr>
        <w:t xml:space="preserve"> RHC to ask the MS </w:t>
      </w:r>
      <w:r w:rsidR="00BE0C82" w:rsidRPr="00285757">
        <w:rPr>
          <w:color w:val="FF0000"/>
          <w:highlight w:val="yellow"/>
        </w:rPr>
        <w:t xml:space="preserve">and potential contributors </w:t>
      </w:r>
      <w:r w:rsidRPr="00285757">
        <w:rPr>
          <w:color w:val="FF0000"/>
          <w:highlight w:val="yellow"/>
        </w:rPr>
        <w:t>to consider the extended activities in the implementation of the S-100 Roadmap</w:t>
      </w:r>
      <w:r w:rsidR="00BE0C82" w:rsidRPr="00285757">
        <w:rPr>
          <w:color w:val="FF0000"/>
          <w:highlight w:val="yellow"/>
        </w:rPr>
        <w:t xml:space="preserve"> for HCA region</w:t>
      </w:r>
      <w:r w:rsidRPr="00285757">
        <w:rPr>
          <w:color w:val="FF0000"/>
          <w:highlight w:val="yellow"/>
        </w:rPr>
        <w:t>.</w:t>
      </w:r>
      <w:r w:rsidRPr="006527BD">
        <w:rPr>
          <w:color w:val="FF0000"/>
        </w:rPr>
        <w:t xml:space="preserve"> </w:t>
      </w:r>
    </w:p>
    <w:p w14:paraId="46C57BBD" w14:textId="136A7FFD" w:rsidR="006527BD" w:rsidRPr="006527BD" w:rsidRDefault="006527BD" w:rsidP="004060F6">
      <w:pPr>
        <w:spacing w:after="240"/>
        <w:ind w:left="1700" w:hanging="1138"/>
        <w:jc w:val="both"/>
        <w:rPr>
          <w:color w:val="FF0000"/>
        </w:rPr>
      </w:pPr>
      <w:r w:rsidRPr="00285757">
        <w:rPr>
          <w:color w:val="FF0000"/>
          <w:highlight w:val="yellow"/>
        </w:rPr>
        <w:t xml:space="preserve">Recommendation </w:t>
      </w:r>
      <w:r w:rsidR="008931EE" w:rsidRPr="00285757">
        <w:rPr>
          <w:color w:val="FF0000"/>
          <w:highlight w:val="yellow"/>
        </w:rPr>
        <w:t>4</w:t>
      </w:r>
      <w:r w:rsidR="0004555B" w:rsidRPr="00285757">
        <w:rPr>
          <w:color w:val="FF0000"/>
          <w:highlight w:val="yellow"/>
        </w:rPr>
        <w:t>:</w:t>
      </w:r>
      <w:r w:rsidR="000D26BA" w:rsidRPr="00285757">
        <w:rPr>
          <w:color w:val="FF0000"/>
          <w:highlight w:val="yellow"/>
        </w:rPr>
        <w:t xml:space="preserve"> RHCs and Subordinate Bodies</w:t>
      </w:r>
      <w:r w:rsidRPr="00285757">
        <w:rPr>
          <w:color w:val="FF0000"/>
          <w:highlight w:val="yellow"/>
        </w:rPr>
        <w:t xml:space="preserve"> to consider to open the debate on future engagement in climate chance related activities in reference to strategic goal 3.</w:t>
      </w:r>
    </w:p>
    <w:p w14:paraId="0BD402E1" w14:textId="5AE859C2" w:rsidR="008931EE" w:rsidRPr="008931EE" w:rsidRDefault="008931EE" w:rsidP="004060F6">
      <w:pPr>
        <w:spacing w:after="240"/>
        <w:ind w:left="1700" w:hanging="1138"/>
        <w:jc w:val="both"/>
        <w:rPr>
          <w:color w:val="FF0000"/>
        </w:rPr>
      </w:pPr>
      <w:r w:rsidRPr="008931EE">
        <w:rPr>
          <w:color w:val="FF0000"/>
        </w:rPr>
        <w:t xml:space="preserve">Decision </w:t>
      </w:r>
      <w:r w:rsidR="00225CB2">
        <w:rPr>
          <w:color w:val="FF0000"/>
        </w:rPr>
        <w:t>1</w:t>
      </w:r>
      <w:r w:rsidR="00193EC4">
        <w:rPr>
          <w:color w:val="FF0000"/>
        </w:rPr>
        <w:t>7</w:t>
      </w:r>
      <w:r w:rsidR="0004555B">
        <w:rPr>
          <w:color w:val="FF0000"/>
        </w:rPr>
        <w:t>:</w:t>
      </w:r>
      <w:r w:rsidR="00C32AB2">
        <w:rPr>
          <w:color w:val="FF0000"/>
        </w:rPr>
        <w:t xml:space="preserve"> To n</w:t>
      </w:r>
      <w:r w:rsidRPr="008931EE">
        <w:rPr>
          <w:color w:val="FF0000"/>
        </w:rPr>
        <w:t>ote the information provided in this rep</w:t>
      </w:r>
      <w:r w:rsidR="00CA145B">
        <w:rPr>
          <w:color w:val="FF0000"/>
        </w:rPr>
        <w:t>ort on the outcomes of WWNWS14.</w:t>
      </w:r>
    </w:p>
    <w:p w14:paraId="5F7F219E" w14:textId="29B7A279" w:rsidR="008931EE" w:rsidRPr="008931EE" w:rsidRDefault="008931EE" w:rsidP="004060F6">
      <w:pPr>
        <w:spacing w:after="240"/>
        <w:ind w:left="1700" w:hanging="1138"/>
        <w:jc w:val="both"/>
        <w:rPr>
          <w:color w:val="FF0000"/>
        </w:rPr>
      </w:pPr>
      <w:r w:rsidRPr="008931EE">
        <w:rPr>
          <w:color w:val="FF0000"/>
        </w:rPr>
        <w:t xml:space="preserve">Decision </w:t>
      </w:r>
      <w:r w:rsidR="00193EC4">
        <w:rPr>
          <w:color w:val="FF0000"/>
        </w:rPr>
        <w:t>18</w:t>
      </w:r>
      <w:r w:rsidR="00E77B7D">
        <w:rPr>
          <w:color w:val="FF0000"/>
        </w:rPr>
        <w:t>:</w:t>
      </w:r>
      <w:r w:rsidRPr="008931EE">
        <w:rPr>
          <w:color w:val="FF0000"/>
        </w:rPr>
        <w:t xml:space="preserve"> </w:t>
      </w:r>
      <w:r w:rsidR="00C32AB2">
        <w:rPr>
          <w:color w:val="FF0000"/>
        </w:rPr>
        <w:t xml:space="preserve">To </w:t>
      </w:r>
      <w:r w:rsidRPr="008931EE">
        <w:rPr>
          <w:color w:val="FF0000"/>
        </w:rPr>
        <w:t>take note of the intention to have approved S-124 Ed 1.0.0 for submission to MS for endorsement.</w:t>
      </w:r>
    </w:p>
    <w:p w14:paraId="58465B01" w14:textId="17FA04D7" w:rsidR="008931EE" w:rsidRPr="008931EE" w:rsidRDefault="008931EE" w:rsidP="004060F6">
      <w:pPr>
        <w:spacing w:after="240"/>
        <w:ind w:left="1700" w:hanging="1138"/>
        <w:jc w:val="both"/>
        <w:rPr>
          <w:color w:val="FF0000"/>
        </w:rPr>
      </w:pPr>
      <w:r w:rsidRPr="00D2152C">
        <w:rPr>
          <w:color w:val="FF0000"/>
          <w:highlight w:val="yellow"/>
        </w:rPr>
        <w:t>Recommendation 5: RHC to encourage relevant Member States to report to the IMO Secretariat and the Chair of the EGC Coordinating Panel on the progress and status of implementation of newly recognized mobile satellite services by MSI providers.</w:t>
      </w:r>
    </w:p>
    <w:p w14:paraId="58F7854E" w14:textId="4E05880D" w:rsidR="008931EE" w:rsidRPr="00FE58A8" w:rsidRDefault="00193EC4" w:rsidP="004060F6">
      <w:pPr>
        <w:spacing w:after="240"/>
        <w:ind w:left="1700" w:hanging="1138"/>
        <w:jc w:val="both"/>
        <w:rPr>
          <w:color w:val="FF0000"/>
          <w:spacing w:val="2"/>
        </w:rPr>
      </w:pPr>
      <w:r w:rsidRPr="00D2152C">
        <w:rPr>
          <w:color w:val="FF0000"/>
          <w:highlight w:val="yellow"/>
        </w:rPr>
        <w:t>Decision 19</w:t>
      </w:r>
      <w:r w:rsidR="0004555B" w:rsidRPr="00D2152C">
        <w:rPr>
          <w:color w:val="FF0000"/>
          <w:highlight w:val="yellow"/>
        </w:rPr>
        <w:t>:</w:t>
      </w:r>
      <w:r w:rsidR="00C32AB2" w:rsidRPr="00D2152C">
        <w:rPr>
          <w:color w:val="FF0000"/>
          <w:highlight w:val="yellow"/>
        </w:rPr>
        <w:t xml:space="preserve"> To n</w:t>
      </w:r>
      <w:r w:rsidR="008931EE" w:rsidRPr="00D2152C">
        <w:rPr>
          <w:color w:val="FF0000"/>
          <w:highlight w:val="yellow"/>
        </w:rPr>
        <w:t xml:space="preserve">ote that MSI providers, should they implement Iridium </w:t>
      </w:r>
      <w:proofErr w:type="spellStart"/>
      <w:r w:rsidR="008931EE" w:rsidRPr="00D2152C">
        <w:rPr>
          <w:color w:val="FF0000"/>
          <w:highlight w:val="yellow"/>
        </w:rPr>
        <w:t>SafetyCast</w:t>
      </w:r>
      <w:proofErr w:type="spellEnd"/>
      <w:r w:rsidR="008931EE" w:rsidRPr="00D2152C">
        <w:rPr>
          <w:color w:val="FF0000"/>
          <w:highlight w:val="yellow"/>
        </w:rPr>
        <w:t xml:space="preserve"> services, are compelled to bear the burden of all additional costs, as a</w:t>
      </w:r>
      <w:r w:rsidR="008931EE" w:rsidRPr="008931EE">
        <w:rPr>
          <w:color w:val="FF0000"/>
        </w:rPr>
        <w:t xml:space="preserve"> </w:t>
      </w:r>
      <w:r w:rsidR="008931EE" w:rsidRPr="00D2152C">
        <w:rPr>
          <w:color w:val="FF0000"/>
          <w:highlight w:val="yellow"/>
        </w:rPr>
        <w:lastRenderedPageBreak/>
        <w:t>consequence of the approval by IMO</w:t>
      </w:r>
      <w:r w:rsidR="008931EE" w:rsidRPr="00D2152C">
        <w:rPr>
          <w:color w:val="FF0000"/>
          <w:spacing w:val="2"/>
          <w:highlight w:val="yellow"/>
        </w:rPr>
        <w:t xml:space="preserve"> Member States of the Iridium </w:t>
      </w:r>
      <w:proofErr w:type="spellStart"/>
      <w:r w:rsidR="008931EE" w:rsidRPr="00D2152C">
        <w:rPr>
          <w:color w:val="FF0000"/>
          <w:spacing w:val="2"/>
          <w:highlight w:val="yellow"/>
        </w:rPr>
        <w:t>SafetyCast</w:t>
      </w:r>
      <w:proofErr w:type="spellEnd"/>
      <w:r w:rsidR="008931EE" w:rsidRPr="00D2152C">
        <w:rPr>
          <w:color w:val="FF0000"/>
          <w:spacing w:val="2"/>
          <w:highlight w:val="yellow"/>
        </w:rPr>
        <w:t xml:space="preserve"> as an RMSS.</w:t>
      </w:r>
    </w:p>
    <w:p w14:paraId="7E15ED0B" w14:textId="70E95139" w:rsidR="008931EE" w:rsidRPr="008931EE" w:rsidRDefault="00193EC4" w:rsidP="004060F6">
      <w:pPr>
        <w:spacing w:after="240"/>
        <w:ind w:left="1700" w:hanging="1138"/>
        <w:jc w:val="both"/>
        <w:rPr>
          <w:color w:val="FF0000"/>
        </w:rPr>
      </w:pPr>
      <w:r>
        <w:rPr>
          <w:color w:val="FF0000"/>
        </w:rPr>
        <w:t>Decision 20</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approve the guidel</w:t>
      </w:r>
      <w:r w:rsidR="00BE0C82">
        <w:rPr>
          <w:color w:val="FF0000"/>
        </w:rPr>
        <w:t>ines for the IHO eLearning Cent</w:t>
      </w:r>
      <w:r w:rsidR="008931EE" w:rsidRPr="008931EE">
        <w:rPr>
          <w:color w:val="FF0000"/>
        </w:rPr>
        <w:t>e</w:t>
      </w:r>
      <w:r w:rsidR="00BE0C82">
        <w:rPr>
          <w:color w:val="FF0000"/>
        </w:rPr>
        <w:t>r</w:t>
      </w:r>
      <w:r w:rsidR="008931EE" w:rsidRPr="008931EE">
        <w:rPr>
          <w:color w:val="FF0000"/>
        </w:rPr>
        <w:t xml:space="preserve"> </w:t>
      </w:r>
    </w:p>
    <w:p w14:paraId="2A33CD70" w14:textId="7B823721" w:rsidR="008931EE" w:rsidRPr="008931EE" w:rsidRDefault="008931EE" w:rsidP="004060F6">
      <w:pPr>
        <w:spacing w:after="240"/>
        <w:ind w:left="1700" w:hanging="1138"/>
        <w:jc w:val="both"/>
        <w:rPr>
          <w:color w:val="FF0000"/>
        </w:rPr>
      </w:pPr>
      <w:r w:rsidRPr="001C4FF9">
        <w:rPr>
          <w:color w:val="FF0000"/>
          <w:highlight w:val="yellow"/>
        </w:rPr>
        <w:t>Action 2</w:t>
      </w:r>
      <w:r w:rsidR="0004555B" w:rsidRPr="001C4FF9">
        <w:rPr>
          <w:color w:val="FF0000"/>
          <w:highlight w:val="yellow"/>
        </w:rPr>
        <w:t>:</w:t>
      </w:r>
      <w:r w:rsidRPr="001C4FF9">
        <w:rPr>
          <w:color w:val="FF0000"/>
          <w:highlight w:val="yellow"/>
        </w:rPr>
        <w:t xml:space="preserve">  </w:t>
      </w:r>
      <w:r w:rsidR="00C32AB2" w:rsidRPr="001C4FF9">
        <w:rPr>
          <w:color w:val="FF0000"/>
          <w:highlight w:val="yellow"/>
        </w:rPr>
        <w:t>T</w:t>
      </w:r>
      <w:r w:rsidRPr="001C4FF9">
        <w:rPr>
          <w:color w:val="FF0000"/>
          <w:highlight w:val="yellow"/>
        </w:rPr>
        <w:t xml:space="preserve">ask CBSC </w:t>
      </w:r>
      <w:r w:rsidRPr="00D2152C">
        <w:rPr>
          <w:color w:val="FF0000"/>
          <w:highlight w:val="yellow"/>
        </w:rPr>
        <w:t>to liaise with the RENCS and the IHO Secretariat to investigate which Member States are currently not contributing CATZOC data to the IHO Secretariat via the RENCS and to proceed with the proposed solution as given to IRCC11 (to populate C-55 Status of Survey for Safety of Navigation Purpose).</w:t>
      </w:r>
    </w:p>
    <w:p w14:paraId="205D00B4" w14:textId="0F7871DD" w:rsidR="008931EE" w:rsidRPr="008931EE" w:rsidRDefault="008931EE" w:rsidP="004060F6">
      <w:pPr>
        <w:spacing w:after="240"/>
        <w:ind w:left="1700" w:hanging="1138"/>
        <w:jc w:val="both"/>
        <w:rPr>
          <w:color w:val="FF0000"/>
        </w:rPr>
      </w:pPr>
      <w:r w:rsidRPr="00BA69DD">
        <w:rPr>
          <w:color w:val="FF0000"/>
          <w:highlight w:val="yellow"/>
        </w:rPr>
        <w:t>Action 3</w:t>
      </w:r>
      <w:r w:rsidR="0004555B" w:rsidRPr="00BA69DD">
        <w:rPr>
          <w:color w:val="FF0000"/>
          <w:highlight w:val="yellow"/>
        </w:rPr>
        <w:t>:</w:t>
      </w:r>
      <w:r w:rsidR="00C32AB2" w:rsidRPr="00BA69DD">
        <w:rPr>
          <w:color w:val="FF0000"/>
          <w:highlight w:val="yellow"/>
        </w:rPr>
        <w:t xml:space="preserve"> A</w:t>
      </w:r>
      <w:r w:rsidRPr="00BA69DD">
        <w:rPr>
          <w:color w:val="FF0000"/>
          <w:highlight w:val="yellow"/>
        </w:rPr>
        <w:t>sk IHO Secretariat to issue a questionnaire on gender balance via Circular Letter every 3 years before the Assembly.</w:t>
      </w:r>
    </w:p>
    <w:p w14:paraId="2AF0CA04" w14:textId="54DA99A2" w:rsidR="008931EE" w:rsidRPr="008931EE" w:rsidRDefault="008931EE" w:rsidP="004060F6">
      <w:pPr>
        <w:spacing w:after="240"/>
        <w:ind w:left="1700" w:hanging="1138"/>
        <w:jc w:val="both"/>
        <w:rPr>
          <w:color w:val="FF0000"/>
        </w:rPr>
      </w:pPr>
      <w:r w:rsidRPr="007947C0">
        <w:rPr>
          <w:color w:val="FF0000"/>
          <w:highlight w:val="yellow"/>
        </w:rPr>
        <w:t>Recommendation 6</w:t>
      </w:r>
      <w:r w:rsidR="0004555B" w:rsidRPr="007947C0">
        <w:rPr>
          <w:color w:val="FF0000"/>
          <w:highlight w:val="yellow"/>
        </w:rPr>
        <w:t>:</w:t>
      </w:r>
      <w:r w:rsidRPr="007947C0">
        <w:rPr>
          <w:color w:val="FF0000"/>
          <w:highlight w:val="yellow"/>
        </w:rPr>
        <w:t xml:space="preserve"> RHCs to ensure representation of their region in the CBSC and encourage other IHO Member States to join in the work of the CBSC.</w:t>
      </w:r>
    </w:p>
    <w:p w14:paraId="7282C002" w14:textId="2A8A5137" w:rsidR="008931EE" w:rsidRPr="008931EE" w:rsidRDefault="00193EC4" w:rsidP="004060F6">
      <w:pPr>
        <w:spacing w:after="240"/>
        <w:ind w:left="1700" w:hanging="1138"/>
        <w:jc w:val="both"/>
        <w:rPr>
          <w:color w:val="FF0000"/>
        </w:rPr>
      </w:pPr>
      <w:r>
        <w:rPr>
          <w:color w:val="FF0000"/>
        </w:rPr>
        <w:t>Decision 21</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note the significant effort from CB Coordinators to assess the needs in the region, to identify national and regional projects that may contribute to the CBWP and to coordinate the support for countries in need.</w:t>
      </w:r>
    </w:p>
    <w:p w14:paraId="1D0D14A6" w14:textId="069ABE7B" w:rsidR="008931EE" w:rsidRPr="008931EE" w:rsidRDefault="00193EC4" w:rsidP="004060F6">
      <w:pPr>
        <w:spacing w:after="240"/>
        <w:ind w:left="1700" w:hanging="1138"/>
        <w:jc w:val="both"/>
        <w:rPr>
          <w:color w:val="FF0000"/>
        </w:rPr>
      </w:pPr>
      <w:r>
        <w:rPr>
          <w:color w:val="FF0000"/>
        </w:rPr>
        <w:t>Decision 22</w:t>
      </w:r>
      <w:r w:rsidR="0004555B">
        <w:rPr>
          <w:color w:val="FF0000"/>
        </w:rPr>
        <w:t>:</w:t>
      </w:r>
      <w:r w:rsidR="008931EE" w:rsidRPr="008931EE">
        <w:rPr>
          <w:color w:val="FF0000"/>
        </w:rPr>
        <w:t xml:space="preserve"> </w:t>
      </w:r>
      <w:r w:rsidR="00C32AB2">
        <w:rPr>
          <w:color w:val="FF0000"/>
        </w:rPr>
        <w:t xml:space="preserve">To </w:t>
      </w:r>
      <w:r w:rsidR="008931EE" w:rsidRPr="008931EE">
        <w:rPr>
          <w:color w:val="FF0000"/>
        </w:rPr>
        <w:t>recognize the contribution of Republic of Korea, Nippon Foundation of Japan and the Canadian Hydrographic Service to the Capacity Building Activities of the IHO.</w:t>
      </w:r>
    </w:p>
    <w:p w14:paraId="19DDEAF7" w14:textId="3567DEAB" w:rsidR="008931EE" w:rsidRPr="008931EE" w:rsidRDefault="004060F6" w:rsidP="004060F6">
      <w:pPr>
        <w:spacing w:after="240"/>
        <w:ind w:left="1700" w:hanging="1138"/>
        <w:jc w:val="both"/>
        <w:rPr>
          <w:color w:val="FF0000"/>
        </w:rPr>
      </w:pPr>
      <w:r>
        <w:rPr>
          <w:color w:val="FF0000"/>
        </w:rPr>
        <w:t>Action 4</w:t>
      </w:r>
      <w:r w:rsidR="0004555B">
        <w:rPr>
          <w:color w:val="FF0000"/>
        </w:rPr>
        <w:t>:</w:t>
      </w:r>
      <w:r w:rsidR="00C32AB2">
        <w:rPr>
          <w:color w:val="FF0000"/>
        </w:rPr>
        <w:t xml:space="preserve"> A</w:t>
      </w:r>
      <w:r w:rsidR="008931EE" w:rsidRPr="008931EE">
        <w:rPr>
          <w:color w:val="FF0000"/>
        </w:rPr>
        <w:t>sk IHO Secretariat to issue a CL wit</w:t>
      </w:r>
      <w:r w:rsidR="00BE0C82">
        <w:rPr>
          <w:color w:val="FF0000"/>
        </w:rPr>
        <w:t>h the constitution of the ELC</w:t>
      </w:r>
      <w:r w:rsidR="008931EE" w:rsidRPr="008931EE">
        <w:rPr>
          <w:color w:val="FF0000"/>
        </w:rPr>
        <w:t xml:space="preserve"> Steering Committee for the management of the eLearning Center inviting participation.</w:t>
      </w:r>
    </w:p>
    <w:p w14:paraId="718BC438" w14:textId="5F555496" w:rsidR="008931EE" w:rsidRPr="008931EE" w:rsidRDefault="004060F6" w:rsidP="004060F6">
      <w:pPr>
        <w:spacing w:after="240"/>
        <w:ind w:left="1700" w:hanging="1138"/>
        <w:jc w:val="both"/>
        <w:rPr>
          <w:color w:val="FF0000"/>
        </w:rPr>
      </w:pPr>
      <w:r w:rsidRPr="00E72BEC">
        <w:rPr>
          <w:color w:val="FF0000"/>
        </w:rPr>
        <w:t>Action 5</w:t>
      </w:r>
      <w:r w:rsidR="0004555B" w:rsidRPr="00E72BEC">
        <w:rPr>
          <w:color w:val="FF0000"/>
        </w:rPr>
        <w:t>:</w:t>
      </w:r>
      <w:r w:rsidR="008931EE" w:rsidRPr="00E72BEC">
        <w:rPr>
          <w:color w:val="FF0000"/>
        </w:rPr>
        <w:t xml:space="preserve"> IRCC to </w:t>
      </w:r>
      <w:r w:rsidR="00041FB2" w:rsidRPr="00E72BEC">
        <w:rPr>
          <w:color w:val="FF0000"/>
        </w:rPr>
        <w:t xml:space="preserve">report to </w:t>
      </w:r>
      <w:r w:rsidR="008931EE" w:rsidRPr="00E72BEC">
        <w:rPr>
          <w:color w:val="FF0000"/>
        </w:rPr>
        <w:t>Council</w:t>
      </w:r>
      <w:r w:rsidR="00041FB2" w:rsidRPr="00E72BEC">
        <w:rPr>
          <w:color w:val="FF0000"/>
        </w:rPr>
        <w:t xml:space="preserve"> C-7</w:t>
      </w:r>
      <w:r w:rsidR="008931EE" w:rsidRPr="00E72BEC">
        <w:rPr>
          <w:color w:val="FF0000"/>
        </w:rPr>
        <w:t xml:space="preserve"> </w:t>
      </w:r>
      <w:r w:rsidR="00041FB2" w:rsidRPr="00E72BEC">
        <w:rPr>
          <w:color w:val="FF0000"/>
        </w:rPr>
        <w:t>on the way ahead of the EWH project.</w:t>
      </w:r>
    </w:p>
    <w:p w14:paraId="6ED5694C" w14:textId="121B2D05" w:rsidR="004060F6" w:rsidRPr="004060F6" w:rsidRDefault="00193EC4" w:rsidP="004060F6">
      <w:pPr>
        <w:spacing w:after="240"/>
        <w:ind w:left="1700" w:hanging="1138"/>
        <w:jc w:val="both"/>
        <w:rPr>
          <w:color w:val="FF0000"/>
        </w:rPr>
      </w:pPr>
      <w:r>
        <w:rPr>
          <w:color w:val="FF0000"/>
        </w:rPr>
        <w:t>Decision 23</w:t>
      </w:r>
      <w:r w:rsidR="0004555B">
        <w:rPr>
          <w:color w:val="FF0000"/>
        </w:rPr>
        <w:t>:</w:t>
      </w:r>
      <w:r w:rsidR="004060F6" w:rsidRPr="004060F6">
        <w:rPr>
          <w:color w:val="FF0000"/>
        </w:rPr>
        <w:t xml:space="preserve"> </w:t>
      </w:r>
      <w:r w:rsidR="00C32AB2">
        <w:rPr>
          <w:color w:val="FF0000"/>
        </w:rPr>
        <w:t>To n</w:t>
      </w:r>
      <w:r w:rsidR="004060F6" w:rsidRPr="004060F6">
        <w:rPr>
          <w:color w:val="FF0000"/>
        </w:rPr>
        <w:t>ote the 2019-23 accomplishments of the WENDWG.</w:t>
      </w:r>
    </w:p>
    <w:p w14:paraId="0C357509" w14:textId="5EBDE80D" w:rsidR="004060F6" w:rsidRPr="004060F6" w:rsidRDefault="004060F6" w:rsidP="004060F6">
      <w:pPr>
        <w:spacing w:after="240"/>
        <w:ind w:left="1700" w:hanging="1138"/>
        <w:jc w:val="both"/>
        <w:rPr>
          <w:color w:val="FF0000"/>
        </w:rPr>
      </w:pPr>
      <w:r w:rsidRPr="004060F6">
        <w:rPr>
          <w:color w:val="FF0000"/>
        </w:rPr>
        <w:t xml:space="preserve">Recommendation </w:t>
      </w:r>
      <w:r>
        <w:rPr>
          <w:color w:val="FF0000"/>
        </w:rPr>
        <w:t>7</w:t>
      </w:r>
      <w:r w:rsidR="0004555B">
        <w:rPr>
          <w:color w:val="FF0000"/>
        </w:rPr>
        <w:t>:</w:t>
      </w:r>
      <w:r w:rsidRPr="004060F6">
        <w:rPr>
          <w:color w:val="FF0000"/>
        </w:rPr>
        <w:t xml:space="preserve"> RHCs to prioritize their participation in the WENDWG through the RHC Chart Coordinator or S-100 Coordinator.</w:t>
      </w:r>
    </w:p>
    <w:p w14:paraId="79D78773" w14:textId="0B995E02" w:rsidR="004060F6" w:rsidRPr="004060F6" w:rsidRDefault="00225CB2" w:rsidP="004060F6">
      <w:pPr>
        <w:spacing w:after="240"/>
        <w:ind w:left="1700" w:hanging="1138"/>
        <w:jc w:val="both"/>
        <w:rPr>
          <w:color w:val="FF0000"/>
        </w:rPr>
      </w:pPr>
      <w:r>
        <w:rPr>
          <w:color w:val="FF0000"/>
        </w:rPr>
        <w:t xml:space="preserve">Decision </w:t>
      </w:r>
      <w:r w:rsidR="00CA145B" w:rsidRPr="00CA145B">
        <w:rPr>
          <w:color w:val="FF0000"/>
        </w:rPr>
        <w:t>24</w:t>
      </w:r>
      <w:r w:rsidR="0004555B">
        <w:rPr>
          <w:color w:val="FF0000"/>
        </w:rPr>
        <w:t>:</w:t>
      </w:r>
      <w:r w:rsidR="00C32AB2">
        <w:rPr>
          <w:color w:val="FF0000"/>
        </w:rPr>
        <w:t xml:space="preserve"> To n</w:t>
      </w:r>
      <w:r w:rsidR="004060F6" w:rsidRPr="004060F6">
        <w:rPr>
          <w:color w:val="FF0000"/>
        </w:rPr>
        <w:t>ote the results of the WEND-100 IGIF Matrix, as of February 2023 and encourage the WENDWG to use it as a tool for monitoring the S-100 implementation, for each S-100-based top priority product, per RHC.</w:t>
      </w:r>
    </w:p>
    <w:p w14:paraId="5C7434EC" w14:textId="76054070" w:rsidR="004060F6" w:rsidRPr="004060F6" w:rsidRDefault="004060F6" w:rsidP="004060F6">
      <w:pPr>
        <w:spacing w:after="240"/>
        <w:ind w:left="1700" w:hanging="1138"/>
        <w:jc w:val="both"/>
        <w:rPr>
          <w:color w:val="FF0000"/>
        </w:rPr>
      </w:pPr>
      <w:r w:rsidRPr="0038195F">
        <w:rPr>
          <w:color w:val="FF0000"/>
          <w:highlight w:val="yellow"/>
        </w:rPr>
        <w:t>Recommendation 8</w:t>
      </w:r>
      <w:r w:rsidR="0004555B" w:rsidRPr="0038195F">
        <w:rPr>
          <w:color w:val="FF0000"/>
          <w:highlight w:val="yellow"/>
        </w:rPr>
        <w:t>:</w:t>
      </w:r>
      <w:r w:rsidRPr="0038195F">
        <w:rPr>
          <w:color w:val="FF0000"/>
          <w:highlight w:val="yellow"/>
        </w:rPr>
        <w:t xml:space="preserve"> RHCs, if not done already, establish the S-100 Coordinator role or assign S-100 Coordinator duties as appropriate.</w:t>
      </w:r>
    </w:p>
    <w:p w14:paraId="711F1C2C" w14:textId="29E2123B" w:rsidR="004060F6" w:rsidRPr="004060F6" w:rsidRDefault="004060F6" w:rsidP="004060F6">
      <w:pPr>
        <w:spacing w:after="240"/>
        <w:ind w:left="1700" w:hanging="1138"/>
        <w:jc w:val="both"/>
        <w:rPr>
          <w:color w:val="FF0000"/>
        </w:rPr>
      </w:pPr>
      <w:r w:rsidRPr="00172CD1">
        <w:rPr>
          <w:color w:val="FF0000"/>
          <w:highlight w:val="yellow"/>
        </w:rPr>
        <w:t>Recommendation 9</w:t>
      </w:r>
      <w:r w:rsidR="0004555B" w:rsidRPr="00172CD1">
        <w:rPr>
          <w:color w:val="FF0000"/>
          <w:highlight w:val="yellow"/>
        </w:rPr>
        <w:t>:</w:t>
      </w:r>
      <w:r w:rsidRPr="00172CD1">
        <w:rPr>
          <w:color w:val="FF0000"/>
          <w:highlight w:val="yellow"/>
        </w:rPr>
        <w:t xml:space="preserve"> RHC S-100 Coordinators to update their WEND-100 IGIF Matrix submissions every year and share their schedule and roadmap to meeting the 2026 IMO target (S-100 ECDIS) at every WENDWG meeting.</w:t>
      </w:r>
    </w:p>
    <w:p w14:paraId="5188A70A" w14:textId="476C95C9" w:rsidR="004060F6" w:rsidRPr="004060F6" w:rsidRDefault="00CA145B" w:rsidP="004060F6">
      <w:pPr>
        <w:spacing w:after="240"/>
        <w:ind w:left="1700" w:hanging="1138"/>
        <w:jc w:val="both"/>
        <w:rPr>
          <w:color w:val="FF0000"/>
        </w:rPr>
      </w:pPr>
      <w:r>
        <w:rPr>
          <w:color w:val="FF0000"/>
        </w:rPr>
        <w:t>Decision 25</w:t>
      </w:r>
      <w:r w:rsidR="0004555B">
        <w:rPr>
          <w:color w:val="FF0000"/>
        </w:rPr>
        <w:t>:</w:t>
      </w:r>
      <w:r w:rsidR="00C32AB2">
        <w:rPr>
          <w:color w:val="FF0000"/>
        </w:rPr>
        <w:t xml:space="preserve"> To n</w:t>
      </w:r>
      <w:r w:rsidR="004060F6" w:rsidRPr="004060F6">
        <w:rPr>
          <w:color w:val="FF0000"/>
        </w:rPr>
        <w:t xml:space="preserve">ote the impending importance of S-128, its relationship to the WENDWG and the joint concept paper with NIPWG/S-100WG.  </w:t>
      </w:r>
    </w:p>
    <w:p w14:paraId="11E4DED6" w14:textId="2E09DF5E" w:rsidR="004060F6" w:rsidRPr="004060F6" w:rsidRDefault="00CA145B" w:rsidP="004060F6">
      <w:pPr>
        <w:spacing w:after="240"/>
        <w:ind w:left="1700" w:hanging="1138"/>
        <w:jc w:val="both"/>
        <w:rPr>
          <w:color w:val="FF0000"/>
        </w:rPr>
      </w:pPr>
      <w:r>
        <w:rPr>
          <w:color w:val="FF0000"/>
        </w:rPr>
        <w:t>Decision 26</w:t>
      </w:r>
      <w:r w:rsidR="0004555B">
        <w:rPr>
          <w:color w:val="FF0000"/>
        </w:rPr>
        <w:t>:</w:t>
      </w:r>
      <w:r w:rsidR="00C32AB2">
        <w:rPr>
          <w:color w:val="FF0000"/>
        </w:rPr>
        <w:t xml:space="preserve"> To c</w:t>
      </w:r>
      <w:r w:rsidR="004060F6" w:rsidRPr="004060F6">
        <w:rPr>
          <w:color w:val="FF0000"/>
        </w:rPr>
        <w:t xml:space="preserve">ommend KHOA for the progress on advancing </w:t>
      </w:r>
      <w:proofErr w:type="spellStart"/>
      <w:r w:rsidR="004060F6" w:rsidRPr="004060F6">
        <w:rPr>
          <w:color w:val="FF0000"/>
        </w:rPr>
        <w:t>INToGIS</w:t>
      </w:r>
      <w:proofErr w:type="spellEnd"/>
      <w:r w:rsidR="004060F6" w:rsidRPr="004060F6">
        <w:rPr>
          <w:color w:val="FF0000"/>
        </w:rPr>
        <w:t xml:space="preserve"> III and encourage Member States to submit their S-128 test data sets for use in it.</w:t>
      </w:r>
    </w:p>
    <w:p w14:paraId="4A1D3EC1" w14:textId="4E68D77E" w:rsidR="004060F6" w:rsidRPr="004060F6" w:rsidRDefault="004060F6" w:rsidP="004060F6">
      <w:pPr>
        <w:spacing w:after="240"/>
        <w:ind w:left="1700" w:hanging="1138"/>
        <w:jc w:val="both"/>
        <w:rPr>
          <w:color w:val="FF0000"/>
        </w:rPr>
      </w:pPr>
      <w:r w:rsidRPr="00172CD1">
        <w:rPr>
          <w:color w:val="FF0000"/>
          <w:highlight w:val="yellow"/>
        </w:rPr>
        <w:t>Recommendation 10</w:t>
      </w:r>
      <w:r w:rsidR="0004555B" w:rsidRPr="00172CD1">
        <w:rPr>
          <w:color w:val="FF0000"/>
          <w:highlight w:val="yellow"/>
        </w:rPr>
        <w:t>:</w:t>
      </w:r>
      <w:r w:rsidRPr="00172CD1">
        <w:rPr>
          <w:color w:val="FF0000"/>
          <w:highlight w:val="yellow"/>
        </w:rPr>
        <w:t xml:space="preserve"> RHC Chart Coordinators/S-100 Coordinators report their planned S-101 chart schemes, usage bands 1 – 4, by 30 September. Request that submissions use </w:t>
      </w:r>
      <w:proofErr w:type="spellStart"/>
      <w:r w:rsidRPr="00172CD1">
        <w:rPr>
          <w:color w:val="FF0000"/>
          <w:highlight w:val="yellow"/>
        </w:rPr>
        <w:t>INToGIS</w:t>
      </w:r>
      <w:proofErr w:type="spellEnd"/>
      <w:r w:rsidRPr="00172CD1">
        <w:rPr>
          <w:color w:val="FF0000"/>
          <w:highlight w:val="yellow"/>
        </w:rPr>
        <w:t xml:space="preserve"> III when commissioned.</w:t>
      </w:r>
      <w:r w:rsidRPr="004060F6">
        <w:rPr>
          <w:color w:val="FF0000"/>
        </w:rPr>
        <w:t xml:space="preserve"> </w:t>
      </w:r>
    </w:p>
    <w:p w14:paraId="373AB719" w14:textId="2FAD0562" w:rsidR="004060F6" w:rsidRPr="004060F6" w:rsidRDefault="00CA145B" w:rsidP="004060F6">
      <w:pPr>
        <w:spacing w:after="240"/>
        <w:ind w:left="1700" w:hanging="1138"/>
        <w:jc w:val="both"/>
        <w:rPr>
          <w:color w:val="FF0000"/>
        </w:rPr>
      </w:pPr>
      <w:r>
        <w:rPr>
          <w:color w:val="FF0000"/>
        </w:rPr>
        <w:lastRenderedPageBreak/>
        <w:t>Decision 27</w:t>
      </w:r>
      <w:r w:rsidR="0004555B">
        <w:rPr>
          <w:color w:val="FF0000"/>
        </w:rPr>
        <w:t>:</w:t>
      </w:r>
      <w:r w:rsidR="00C32AB2">
        <w:rPr>
          <w:color w:val="FF0000"/>
        </w:rPr>
        <w:t xml:space="preserve"> To a</w:t>
      </w:r>
      <w:r w:rsidR="004060F6" w:rsidRPr="004060F6">
        <w:rPr>
          <w:color w:val="FF0000"/>
        </w:rPr>
        <w:t xml:space="preserve">pprove the </w:t>
      </w:r>
      <w:r w:rsidR="004060F6">
        <w:rPr>
          <w:color w:val="FF0000"/>
        </w:rPr>
        <w:t xml:space="preserve">WENDWG </w:t>
      </w:r>
      <w:r w:rsidR="004060F6" w:rsidRPr="004060F6">
        <w:rPr>
          <w:color w:val="FF0000"/>
        </w:rPr>
        <w:t>propo</w:t>
      </w:r>
      <w:r w:rsidR="001641BB">
        <w:rPr>
          <w:color w:val="FF0000"/>
        </w:rPr>
        <w:t>sed Terms of Reference</w:t>
      </w:r>
    </w:p>
    <w:p w14:paraId="7AD0F30C" w14:textId="47710C93" w:rsidR="004060F6" w:rsidRPr="004060F6" w:rsidRDefault="004060F6" w:rsidP="004060F6">
      <w:pPr>
        <w:spacing w:after="240"/>
        <w:ind w:left="1700" w:hanging="1138"/>
        <w:jc w:val="both"/>
        <w:rPr>
          <w:color w:val="FF0000"/>
        </w:rPr>
      </w:pPr>
      <w:r>
        <w:rPr>
          <w:color w:val="FF0000"/>
        </w:rPr>
        <w:t>Action 6</w:t>
      </w:r>
      <w:r w:rsidR="00C32AB2">
        <w:rPr>
          <w:color w:val="FF0000"/>
        </w:rPr>
        <w:t>:</w:t>
      </w:r>
      <w:r w:rsidR="001641BB">
        <w:rPr>
          <w:color w:val="FF0000"/>
        </w:rPr>
        <w:t xml:space="preserve"> WENDWG to li</w:t>
      </w:r>
      <w:r w:rsidR="001641BB" w:rsidRPr="004060F6">
        <w:rPr>
          <w:color w:val="FF0000"/>
        </w:rPr>
        <w:t>a</w:t>
      </w:r>
      <w:r w:rsidR="001641BB">
        <w:rPr>
          <w:color w:val="FF0000"/>
        </w:rPr>
        <w:t>i</w:t>
      </w:r>
      <w:r w:rsidR="001641BB" w:rsidRPr="004060F6">
        <w:rPr>
          <w:color w:val="FF0000"/>
        </w:rPr>
        <w:t>se</w:t>
      </w:r>
      <w:r w:rsidRPr="004060F6">
        <w:rPr>
          <w:color w:val="FF0000"/>
        </w:rPr>
        <w:t xml:space="preserve"> with HSSC on ho</w:t>
      </w:r>
      <w:r w:rsidR="001641BB">
        <w:rPr>
          <w:color w:val="FF0000"/>
        </w:rPr>
        <w:t>w to mirror</w:t>
      </w:r>
      <w:r w:rsidRPr="004060F6">
        <w:rPr>
          <w:color w:val="FF0000"/>
        </w:rPr>
        <w:t xml:space="preserve"> the HSSC ISO Cell on S-101 with the following scope: RHC S-101 production/coordination/distribution in the near future. </w:t>
      </w:r>
    </w:p>
    <w:p w14:paraId="59A3BB22" w14:textId="29345092" w:rsidR="004060F6" w:rsidRPr="004060F6" w:rsidRDefault="00CA145B" w:rsidP="004060F6">
      <w:pPr>
        <w:spacing w:after="240"/>
        <w:ind w:left="1700" w:hanging="1138"/>
        <w:jc w:val="both"/>
        <w:rPr>
          <w:color w:val="FF0000"/>
        </w:rPr>
      </w:pPr>
      <w:r>
        <w:rPr>
          <w:color w:val="FF0000"/>
        </w:rPr>
        <w:t>Decision 28</w:t>
      </w:r>
      <w:r w:rsidR="00C32AB2">
        <w:rPr>
          <w:color w:val="FF0000"/>
        </w:rPr>
        <w:t>: To a</w:t>
      </w:r>
      <w:r w:rsidR="004060F6" w:rsidRPr="004060F6">
        <w:rPr>
          <w:color w:val="FF0000"/>
        </w:rPr>
        <w:t>pprove the MSDIWG Terms of Reference version 2.0</w:t>
      </w:r>
    </w:p>
    <w:p w14:paraId="64BCC878" w14:textId="7FD4C320" w:rsidR="004060F6" w:rsidRPr="004060F6" w:rsidRDefault="00CA145B" w:rsidP="004060F6">
      <w:pPr>
        <w:spacing w:after="240"/>
        <w:ind w:left="1700" w:hanging="1138"/>
        <w:jc w:val="both"/>
        <w:rPr>
          <w:color w:val="FF0000"/>
        </w:rPr>
      </w:pPr>
      <w:r>
        <w:rPr>
          <w:color w:val="FF0000"/>
        </w:rPr>
        <w:t>Decision 29</w:t>
      </w:r>
      <w:r w:rsidR="0004555B">
        <w:rPr>
          <w:color w:val="FF0000"/>
        </w:rPr>
        <w:t>:</w:t>
      </w:r>
      <w:r w:rsidR="004060F6" w:rsidRPr="004060F6">
        <w:rPr>
          <w:color w:val="FF0000"/>
        </w:rPr>
        <w:t xml:space="preserve"> </w:t>
      </w:r>
      <w:r w:rsidR="00E77B7D">
        <w:rPr>
          <w:color w:val="FF0000"/>
        </w:rPr>
        <w:t>To e</w:t>
      </w:r>
      <w:r w:rsidR="004060F6" w:rsidRPr="004060F6">
        <w:rPr>
          <w:color w:val="FF0000"/>
        </w:rPr>
        <w:t>ndorse IHO C-17 version 3.0.</w:t>
      </w:r>
    </w:p>
    <w:p w14:paraId="39638022" w14:textId="2584282C" w:rsidR="004060F6" w:rsidRPr="004060F6" w:rsidRDefault="004060F6" w:rsidP="004060F6">
      <w:pPr>
        <w:spacing w:after="240"/>
        <w:ind w:left="1700" w:hanging="1138"/>
        <w:jc w:val="both"/>
        <w:rPr>
          <w:color w:val="FF0000"/>
        </w:rPr>
      </w:pPr>
      <w:r>
        <w:rPr>
          <w:color w:val="FF0000"/>
        </w:rPr>
        <w:t>Action 7</w:t>
      </w:r>
      <w:r w:rsidR="00C32AB2">
        <w:rPr>
          <w:color w:val="FF0000"/>
        </w:rPr>
        <w:t>:</w:t>
      </w:r>
      <w:r w:rsidRPr="004060F6">
        <w:rPr>
          <w:color w:val="FF0000"/>
        </w:rPr>
        <w:t xml:space="preserve"> Ask IHO Secretariat to issue a CL for the C-17 ed. 3.0 approval by the Member States.</w:t>
      </w:r>
    </w:p>
    <w:p w14:paraId="1B44E018" w14:textId="2F31A926" w:rsidR="004060F6" w:rsidRPr="004060F6" w:rsidRDefault="004060F6" w:rsidP="004060F6">
      <w:pPr>
        <w:spacing w:after="240"/>
        <w:ind w:left="1700" w:hanging="1138"/>
        <w:jc w:val="both"/>
        <w:rPr>
          <w:color w:val="FF0000"/>
        </w:rPr>
      </w:pPr>
      <w:r>
        <w:rPr>
          <w:color w:val="FF0000"/>
        </w:rPr>
        <w:t>Dec</w:t>
      </w:r>
      <w:r w:rsidR="00CA145B">
        <w:rPr>
          <w:color w:val="FF0000"/>
        </w:rPr>
        <w:t>ision 30</w:t>
      </w:r>
      <w:r w:rsidR="00C32AB2">
        <w:rPr>
          <w:color w:val="FF0000"/>
        </w:rPr>
        <w:t>:</w:t>
      </w:r>
      <w:r w:rsidRPr="004060F6">
        <w:rPr>
          <w:color w:val="FF0000"/>
        </w:rPr>
        <w:t xml:space="preserve"> </w:t>
      </w:r>
      <w:r w:rsidR="00E77B7D">
        <w:rPr>
          <w:color w:val="FF0000"/>
        </w:rPr>
        <w:t>To a</w:t>
      </w:r>
      <w:r w:rsidRPr="004060F6">
        <w:rPr>
          <w:color w:val="FF0000"/>
        </w:rPr>
        <w:t>pprove the application of ISO 9001</w:t>
      </w:r>
      <w:r>
        <w:rPr>
          <w:color w:val="FF0000"/>
        </w:rPr>
        <w:t>-</w:t>
      </w:r>
      <w:r w:rsidRPr="004060F6">
        <w:rPr>
          <w:color w:val="FF0000"/>
        </w:rPr>
        <w:t xml:space="preserve"> 7 Quality Management Principles from MSDI Perspective and for inclusion into IHO C-17 version 3.0, depending on the approval of the C-17 by the IHO Member States.</w:t>
      </w:r>
    </w:p>
    <w:p w14:paraId="3C55AE11" w14:textId="7ECE2C8D" w:rsidR="004060F6" w:rsidRPr="004060F6" w:rsidRDefault="004060F6" w:rsidP="004060F6">
      <w:pPr>
        <w:spacing w:after="240"/>
        <w:ind w:left="1700" w:hanging="1138"/>
        <w:jc w:val="both"/>
        <w:rPr>
          <w:color w:val="FF0000"/>
        </w:rPr>
      </w:pPr>
      <w:r w:rsidRPr="00DA330F">
        <w:rPr>
          <w:color w:val="FF0000"/>
          <w:highlight w:val="yellow"/>
        </w:rPr>
        <w:t>Recommendation 11</w:t>
      </w:r>
      <w:r w:rsidR="00C32AB2" w:rsidRPr="00DA330F">
        <w:rPr>
          <w:color w:val="FF0000"/>
          <w:highlight w:val="yellow"/>
        </w:rPr>
        <w:t>:</w:t>
      </w:r>
      <w:r w:rsidRPr="00DA330F">
        <w:rPr>
          <w:color w:val="FF0000"/>
          <w:highlight w:val="yellow"/>
        </w:rPr>
        <w:t xml:space="preserve"> RHCs to appoint MSDI ambassadors and inform the MSDIWG with contact details.</w:t>
      </w:r>
    </w:p>
    <w:p w14:paraId="0A0A7DA6" w14:textId="6D9C80CB" w:rsidR="004060F6" w:rsidRDefault="00CA145B" w:rsidP="004060F6">
      <w:pPr>
        <w:spacing w:after="240"/>
        <w:ind w:left="1700" w:hanging="1138"/>
        <w:jc w:val="both"/>
        <w:rPr>
          <w:spacing w:val="2"/>
        </w:rPr>
      </w:pPr>
      <w:r>
        <w:rPr>
          <w:color w:val="FF0000"/>
        </w:rPr>
        <w:t>Decision 31</w:t>
      </w:r>
      <w:r w:rsidR="00C32AB2">
        <w:rPr>
          <w:color w:val="FF0000"/>
        </w:rPr>
        <w:t xml:space="preserve">: </w:t>
      </w:r>
      <w:r w:rsidR="00E77B7D">
        <w:rPr>
          <w:color w:val="FF0000"/>
        </w:rPr>
        <w:t>To task</w:t>
      </w:r>
      <w:r w:rsidR="004060F6" w:rsidRPr="004060F6">
        <w:rPr>
          <w:color w:val="FF0000"/>
        </w:rPr>
        <w:t xml:space="preserve"> MSDI to stick with the content of</w:t>
      </w:r>
      <w:r w:rsidR="001A1D04">
        <w:rPr>
          <w:color w:val="FF0000"/>
        </w:rPr>
        <w:t xml:space="preserve"> the Portal to the existent IHO </w:t>
      </w:r>
      <w:r w:rsidR="004060F6" w:rsidRPr="004060F6">
        <w:rPr>
          <w:color w:val="FF0000"/>
        </w:rPr>
        <w:t>GIS layers in accordance with the Proposal 1.2 to the 3</w:t>
      </w:r>
      <w:r w:rsidR="004060F6" w:rsidRPr="001A1D04">
        <w:rPr>
          <w:color w:val="FF0000"/>
          <w:vertAlign w:val="superscript"/>
        </w:rPr>
        <w:t>rd</w:t>
      </w:r>
      <w:r w:rsidR="004060F6" w:rsidRPr="004060F6">
        <w:rPr>
          <w:color w:val="FF0000"/>
        </w:rPr>
        <w:t xml:space="preserve"> IHO Assembly and if new layers are identified by the MSD</w:t>
      </w:r>
      <w:r w:rsidR="004060F6">
        <w:rPr>
          <w:color w:val="FF0000"/>
          <w:spacing w:val="2"/>
        </w:rPr>
        <w:t>IWG they should be brought to IRCC to be endorsed and approved by the Council.</w:t>
      </w:r>
    </w:p>
    <w:p w14:paraId="7CF3D3A6" w14:textId="7780DCAF" w:rsidR="001A1D04" w:rsidRPr="001A1D04" w:rsidRDefault="00CA145B" w:rsidP="00D76A41">
      <w:pPr>
        <w:spacing w:after="240"/>
        <w:ind w:left="1700" w:hanging="1138"/>
        <w:jc w:val="both"/>
        <w:rPr>
          <w:color w:val="FF0000"/>
        </w:rPr>
      </w:pPr>
      <w:r w:rsidRPr="00630F94">
        <w:rPr>
          <w:color w:val="FF0000"/>
          <w:highlight w:val="yellow"/>
        </w:rPr>
        <w:t>Decision 32</w:t>
      </w:r>
      <w:r w:rsidR="0004555B" w:rsidRPr="00630F94">
        <w:rPr>
          <w:color w:val="FF0000"/>
          <w:highlight w:val="yellow"/>
        </w:rPr>
        <w:t>:</w:t>
      </w:r>
      <w:r w:rsidR="00E77B7D" w:rsidRPr="00630F94">
        <w:rPr>
          <w:color w:val="FF0000"/>
          <w:highlight w:val="yellow"/>
        </w:rPr>
        <w:t xml:space="preserve"> T</w:t>
      </w:r>
      <w:r w:rsidR="001A1D04" w:rsidRPr="00630F94">
        <w:rPr>
          <w:color w:val="FF0000"/>
          <w:highlight w:val="yellow"/>
        </w:rPr>
        <w:t>o take note of the IHO-EU Network Working Group review of the strategy and the way forward for the IENWG</w:t>
      </w:r>
      <w:r w:rsidR="00D76A41" w:rsidRPr="00630F94">
        <w:rPr>
          <w:color w:val="FF0000"/>
          <w:highlight w:val="yellow"/>
        </w:rPr>
        <w:t xml:space="preserve">, and </w:t>
      </w:r>
      <w:r w:rsidR="001A1D04" w:rsidRPr="00630F94">
        <w:rPr>
          <w:color w:val="FF0000"/>
          <w:highlight w:val="yellow"/>
        </w:rPr>
        <w:t>the proposal to connect the IENWG activities with other IRCC developments on extending CB funds.</w:t>
      </w:r>
    </w:p>
    <w:p w14:paraId="5DDFB7B2" w14:textId="051D07C2" w:rsidR="001A1D04" w:rsidRPr="001A1D04" w:rsidRDefault="00D76A41" w:rsidP="00D76A41">
      <w:pPr>
        <w:spacing w:after="240"/>
        <w:ind w:left="1700" w:hanging="1138"/>
        <w:jc w:val="both"/>
        <w:rPr>
          <w:color w:val="FF0000"/>
        </w:rPr>
      </w:pPr>
      <w:bookmarkStart w:id="2" w:name="_Hlk105509076"/>
      <w:r>
        <w:rPr>
          <w:color w:val="FF0000"/>
        </w:rPr>
        <w:t>De</w:t>
      </w:r>
      <w:r w:rsidR="00CA145B">
        <w:rPr>
          <w:color w:val="FF0000"/>
        </w:rPr>
        <w:t>cision 33</w:t>
      </w:r>
      <w:r w:rsidR="00C32AB2">
        <w:rPr>
          <w:color w:val="FF0000"/>
        </w:rPr>
        <w:t>:</w:t>
      </w:r>
      <w:r w:rsidR="00E77B7D">
        <w:rPr>
          <w:color w:val="FF0000"/>
        </w:rPr>
        <w:t xml:space="preserve"> T</w:t>
      </w:r>
      <w:r w:rsidR="001641BB">
        <w:rPr>
          <w:color w:val="FF0000"/>
        </w:rPr>
        <w:t>o a</w:t>
      </w:r>
      <w:r w:rsidR="001A1D04" w:rsidRPr="001A1D04">
        <w:rPr>
          <w:color w:val="FF0000"/>
        </w:rPr>
        <w:t>cknowledge the work done by the IBSC members, to review all 11 submissions received as well as offering intersessional revisions to 8</w:t>
      </w:r>
      <w:r w:rsidR="001641BB">
        <w:rPr>
          <w:color w:val="FF0000"/>
        </w:rPr>
        <w:t xml:space="preserve"> submissions</w:t>
      </w:r>
      <w:r w:rsidR="001A1D04" w:rsidRPr="001A1D04">
        <w:rPr>
          <w:color w:val="FF0000"/>
        </w:rPr>
        <w:t xml:space="preserve">. </w:t>
      </w:r>
    </w:p>
    <w:p w14:paraId="6A970339" w14:textId="5134C8DE" w:rsidR="001A1D04" w:rsidRPr="001A1D04" w:rsidRDefault="001A1D04" w:rsidP="001A1D04">
      <w:pPr>
        <w:spacing w:after="240"/>
        <w:ind w:left="1700" w:hanging="1138"/>
        <w:jc w:val="both"/>
        <w:rPr>
          <w:color w:val="FF0000"/>
        </w:rPr>
      </w:pPr>
      <w:r w:rsidRPr="00E43CEC">
        <w:rPr>
          <w:color w:val="FF0000"/>
          <w:highlight w:val="yellow"/>
        </w:rPr>
        <w:t>Action 8</w:t>
      </w:r>
      <w:r w:rsidR="0004555B" w:rsidRPr="00E43CEC">
        <w:rPr>
          <w:color w:val="FF0000"/>
          <w:highlight w:val="yellow"/>
        </w:rPr>
        <w:t>:</w:t>
      </w:r>
      <w:r w:rsidRPr="00E43CEC">
        <w:rPr>
          <w:color w:val="FF0000"/>
          <w:highlight w:val="yellow"/>
        </w:rPr>
        <w:t xml:space="preserve"> IBSC to organize a workshop inviting the potential submitting institutions to help in the preparations of the respective submissions.</w:t>
      </w:r>
    </w:p>
    <w:p w14:paraId="3E63A090" w14:textId="5566AB45" w:rsidR="001A1D04" w:rsidRPr="001A1D04" w:rsidRDefault="001A1D04" w:rsidP="001A1D04">
      <w:pPr>
        <w:spacing w:after="240"/>
        <w:ind w:left="1700" w:hanging="1138"/>
        <w:jc w:val="both"/>
        <w:rPr>
          <w:color w:val="FF0000"/>
        </w:rPr>
      </w:pPr>
      <w:r>
        <w:rPr>
          <w:color w:val="FF0000"/>
        </w:rPr>
        <w:t>Decision 3</w:t>
      </w:r>
      <w:r w:rsidR="00CA145B">
        <w:rPr>
          <w:color w:val="FF0000"/>
        </w:rPr>
        <w:t>4</w:t>
      </w:r>
      <w:r w:rsidR="00C32AB2">
        <w:rPr>
          <w:color w:val="FF0000"/>
        </w:rPr>
        <w:t>:</w:t>
      </w:r>
      <w:r w:rsidR="00E77B7D">
        <w:rPr>
          <w:color w:val="FF0000"/>
        </w:rPr>
        <w:t xml:space="preserve"> To a</w:t>
      </w:r>
      <w:r w:rsidRPr="001A1D04">
        <w:rPr>
          <w:color w:val="FF0000"/>
        </w:rPr>
        <w:t xml:space="preserve">pprove the IBSC Proposed Work Plan – Q2 2022 to Q2 </w:t>
      </w:r>
      <w:r w:rsidR="001641BB">
        <w:rPr>
          <w:color w:val="FF0000"/>
        </w:rPr>
        <w:t>2023</w:t>
      </w:r>
      <w:r w:rsidRPr="001A1D04">
        <w:rPr>
          <w:color w:val="FF0000"/>
        </w:rPr>
        <w:t xml:space="preserve">. </w:t>
      </w:r>
    </w:p>
    <w:p w14:paraId="0F137BA6" w14:textId="1D0E941D" w:rsidR="001A1D04" w:rsidRPr="001A1D04" w:rsidRDefault="00CA145B" w:rsidP="001A1D04">
      <w:pPr>
        <w:spacing w:after="240"/>
        <w:ind w:left="1700" w:hanging="1138"/>
        <w:jc w:val="both"/>
        <w:rPr>
          <w:color w:val="FF0000"/>
        </w:rPr>
      </w:pPr>
      <w:r>
        <w:rPr>
          <w:color w:val="FF0000"/>
        </w:rPr>
        <w:t>Decision 35</w:t>
      </w:r>
      <w:r w:rsidR="0004555B">
        <w:rPr>
          <w:color w:val="FF0000"/>
        </w:rPr>
        <w:t>:</w:t>
      </w:r>
      <w:r w:rsidR="00E77B7D">
        <w:rPr>
          <w:color w:val="FF0000"/>
        </w:rPr>
        <w:t xml:space="preserve"> To n</w:t>
      </w:r>
      <w:r w:rsidR="001A1D04" w:rsidRPr="001A1D04">
        <w:rPr>
          <w:color w:val="FF0000"/>
        </w:rPr>
        <w:t xml:space="preserve">ote the Revised Rules of Procedure </w:t>
      </w:r>
      <w:r w:rsidR="001A1D04">
        <w:rPr>
          <w:color w:val="FF0000"/>
        </w:rPr>
        <w:t xml:space="preserve">of the IBSC </w:t>
      </w:r>
      <w:r w:rsidR="001A1D04" w:rsidRPr="001A1D04">
        <w:rPr>
          <w:color w:val="FF0000"/>
        </w:rPr>
        <w:t xml:space="preserve">with the increase in the annual </w:t>
      </w:r>
      <w:r w:rsidR="001641BB">
        <w:rPr>
          <w:color w:val="FF0000"/>
        </w:rPr>
        <w:t>fees from 450 to 600 €</w:t>
      </w:r>
      <w:r w:rsidR="001A1D04" w:rsidRPr="001A1D04">
        <w:rPr>
          <w:color w:val="FF0000"/>
        </w:rPr>
        <w:t>.</w:t>
      </w:r>
    </w:p>
    <w:p w14:paraId="797B3FC8" w14:textId="007AB2D7" w:rsidR="001A1D04" w:rsidRPr="001A1D04" w:rsidRDefault="00CA145B" w:rsidP="001A1D04">
      <w:pPr>
        <w:spacing w:after="240"/>
        <w:ind w:left="1700" w:hanging="1138"/>
        <w:jc w:val="both"/>
        <w:rPr>
          <w:color w:val="FF0000"/>
        </w:rPr>
      </w:pPr>
      <w:r w:rsidRPr="00E43CEC">
        <w:rPr>
          <w:color w:val="FF0000"/>
          <w:highlight w:val="yellow"/>
        </w:rPr>
        <w:t>Decision 36</w:t>
      </w:r>
      <w:r w:rsidR="0004555B" w:rsidRPr="00E43CEC">
        <w:rPr>
          <w:color w:val="FF0000"/>
          <w:highlight w:val="yellow"/>
        </w:rPr>
        <w:t>:</w:t>
      </w:r>
      <w:r w:rsidR="00E77B7D" w:rsidRPr="00E43CEC">
        <w:rPr>
          <w:color w:val="FF0000"/>
          <w:highlight w:val="yellow"/>
        </w:rPr>
        <w:t xml:space="preserve"> To n</w:t>
      </w:r>
      <w:r w:rsidR="001A1D04" w:rsidRPr="00E43CEC">
        <w:rPr>
          <w:color w:val="FF0000"/>
          <w:highlight w:val="yellow"/>
        </w:rPr>
        <w:t xml:space="preserve">ote the intention of the IBSC to develop a pathway to recognize Subjects of the S-5 Standards (S-5A &amp; S-5B) in addition to the recognition of full </w:t>
      </w:r>
      <w:proofErr w:type="spellStart"/>
      <w:r w:rsidR="001A1D04" w:rsidRPr="00E43CEC">
        <w:rPr>
          <w:color w:val="FF0000"/>
          <w:highlight w:val="yellow"/>
        </w:rPr>
        <w:t>programmes</w:t>
      </w:r>
      <w:proofErr w:type="spellEnd"/>
      <w:r w:rsidR="001A1D04" w:rsidRPr="00E43CEC">
        <w:rPr>
          <w:color w:val="FF0000"/>
          <w:highlight w:val="yellow"/>
        </w:rPr>
        <w:t>.</w:t>
      </w:r>
    </w:p>
    <w:bookmarkEnd w:id="2"/>
    <w:p w14:paraId="77C2BF7C" w14:textId="1044ABBF" w:rsidR="001A1D04" w:rsidRPr="001A1D04" w:rsidRDefault="00CA145B" w:rsidP="001A1D04">
      <w:pPr>
        <w:spacing w:after="240"/>
        <w:ind w:left="1700" w:hanging="1138"/>
        <w:jc w:val="both"/>
        <w:rPr>
          <w:color w:val="FF0000"/>
        </w:rPr>
      </w:pPr>
      <w:r>
        <w:rPr>
          <w:color w:val="FF0000"/>
        </w:rPr>
        <w:t>Decision 37</w:t>
      </w:r>
      <w:r w:rsidR="0004555B">
        <w:rPr>
          <w:color w:val="FF0000"/>
        </w:rPr>
        <w:t>:</w:t>
      </w:r>
      <w:r w:rsidR="001A1D04" w:rsidRPr="001A1D04">
        <w:rPr>
          <w:color w:val="FF0000"/>
        </w:rPr>
        <w:t xml:space="preserve"> </w:t>
      </w:r>
      <w:r w:rsidR="00E77B7D">
        <w:rPr>
          <w:color w:val="FF0000"/>
        </w:rPr>
        <w:t>To a</w:t>
      </w:r>
      <w:r w:rsidR="001A1D04" w:rsidRPr="001A1D04">
        <w:rPr>
          <w:color w:val="FF0000"/>
        </w:rPr>
        <w:t xml:space="preserve">pprove the </w:t>
      </w:r>
      <w:r w:rsidR="001A1D04">
        <w:rPr>
          <w:color w:val="FF0000"/>
        </w:rPr>
        <w:t xml:space="preserve">CSBWG </w:t>
      </w:r>
      <w:r w:rsidR="001641BB">
        <w:rPr>
          <w:color w:val="FF0000"/>
        </w:rPr>
        <w:t>new Terms of Reference</w:t>
      </w:r>
      <w:r w:rsidR="001A1D04">
        <w:rPr>
          <w:color w:val="FF0000"/>
        </w:rPr>
        <w:t>.</w:t>
      </w:r>
    </w:p>
    <w:p w14:paraId="0538EBD1" w14:textId="56BBF93B" w:rsidR="001A1D04" w:rsidRPr="001A1D04" w:rsidRDefault="001A1D04" w:rsidP="001A1D04">
      <w:pPr>
        <w:spacing w:after="240"/>
        <w:ind w:left="1700" w:hanging="1138"/>
        <w:jc w:val="both"/>
        <w:rPr>
          <w:color w:val="FF0000"/>
        </w:rPr>
      </w:pPr>
      <w:r w:rsidRPr="001A1D04">
        <w:rPr>
          <w:color w:val="FF0000"/>
        </w:rPr>
        <w:t xml:space="preserve">Recommendation </w:t>
      </w:r>
      <w:r>
        <w:rPr>
          <w:color w:val="FF0000"/>
        </w:rPr>
        <w:t>12</w:t>
      </w:r>
      <w:r w:rsidR="00C32AB2">
        <w:rPr>
          <w:color w:val="FF0000"/>
        </w:rPr>
        <w:t>:</w:t>
      </w:r>
      <w:r w:rsidRPr="001A1D04">
        <w:rPr>
          <w:color w:val="FF0000"/>
        </w:rPr>
        <w:t xml:space="preserve"> RHC to encourage Member States to have more CSBWG participation.</w:t>
      </w:r>
    </w:p>
    <w:p w14:paraId="73BB5676" w14:textId="6ADE1F03" w:rsidR="001A1D04" w:rsidRPr="001A1D04" w:rsidRDefault="001A1D04" w:rsidP="001A1D04">
      <w:pPr>
        <w:spacing w:after="240"/>
        <w:ind w:left="1700" w:hanging="1138"/>
        <w:jc w:val="both"/>
        <w:rPr>
          <w:color w:val="FF0000"/>
        </w:rPr>
      </w:pPr>
      <w:r w:rsidRPr="001A1D04">
        <w:rPr>
          <w:color w:val="FF0000"/>
        </w:rPr>
        <w:t xml:space="preserve">Decision </w:t>
      </w:r>
      <w:r w:rsidR="00CA145B">
        <w:rPr>
          <w:color w:val="FF0000"/>
        </w:rPr>
        <w:t>38</w:t>
      </w:r>
      <w:r w:rsidR="0004555B">
        <w:rPr>
          <w:color w:val="FF0000"/>
        </w:rPr>
        <w:t>:</w:t>
      </w:r>
      <w:r w:rsidRPr="001A1D04">
        <w:rPr>
          <w:color w:val="FF0000"/>
        </w:rPr>
        <w:t xml:space="preserve"> </w:t>
      </w:r>
      <w:r w:rsidR="00E77B7D">
        <w:rPr>
          <w:color w:val="FF0000"/>
        </w:rPr>
        <w:t>To a</w:t>
      </w:r>
      <w:r w:rsidRPr="001A1D04">
        <w:rPr>
          <w:color w:val="FF0000"/>
        </w:rPr>
        <w:t>cknowledge the CSBWG meeting regime of every 8 months, but</w:t>
      </w:r>
      <w:r>
        <w:rPr>
          <w:color w:val="FF0000"/>
        </w:rPr>
        <w:t xml:space="preserve"> recommend to have </w:t>
      </w:r>
      <w:r w:rsidR="001641BB">
        <w:rPr>
          <w:color w:val="FF0000"/>
        </w:rPr>
        <w:t xml:space="preserve">not </w:t>
      </w:r>
      <w:r>
        <w:rPr>
          <w:color w:val="FF0000"/>
        </w:rPr>
        <w:t>more than one meeting per</w:t>
      </w:r>
      <w:r w:rsidRPr="001A1D04">
        <w:rPr>
          <w:color w:val="FF0000"/>
        </w:rPr>
        <w:t xml:space="preserve"> year in person</w:t>
      </w:r>
      <w:r w:rsidR="001641BB">
        <w:rPr>
          <w:color w:val="FF0000"/>
        </w:rPr>
        <w:t xml:space="preserve"> and use VTC means in between</w:t>
      </w:r>
      <w:r w:rsidRPr="001A1D04">
        <w:rPr>
          <w:color w:val="FF0000"/>
        </w:rPr>
        <w:t>.</w:t>
      </w:r>
    </w:p>
    <w:p w14:paraId="74F0ED24" w14:textId="4B737153" w:rsidR="001A1D04" w:rsidRPr="001A1D04" w:rsidRDefault="00E77B7D" w:rsidP="001A1D04">
      <w:pPr>
        <w:spacing w:after="240"/>
        <w:ind w:left="1700" w:hanging="1138"/>
        <w:jc w:val="both"/>
        <w:rPr>
          <w:color w:val="FF0000"/>
        </w:rPr>
      </w:pPr>
      <w:r w:rsidRPr="00B62A0C">
        <w:rPr>
          <w:color w:val="FF0000"/>
          <w:highlight w:val="yellow"/>
        </w:rPr>
        <w:t>Action 9:</w:t>
      </w:r>
      <w:r w:rsidR="00041FB2" w:rsidRPr="00B62A0C">
        <w:rPr>
          <w:color w:val="FF0000"/>
          <w:highlight w:val="yellow"/>
        </w:rPr>
        <w:t xml:space="preserve"> </w:t>
      </w:r>
      <w:r w:rsidR="000E2376" w:rsidRPr="00B62A0C">
        <w:rPr>
          <w:color w:val="FF0000"/>
          <w:highlight w:val="yellow"/>
        </w:rPr>
        <w:t xml:space="preserve">CSBWG in liaison with the IHO Secretariat </w:t>
      </w:r>
      <w:r w:rsidR="00041FB2" w:rsidRPr="00B62A0C">
        <w:rPr>
          <w:color w:val="FF0000"/>
          <w:highlight w:val="yellow"/>
        </w:rPr>
        <w:t>to host</w:t>
      </w:r>
      <w:r w:rsidR="001A1D04" w:rsidRPr="00B62A0C">
        <w:rPr>
          <w:color w:val="FF0000"/>
          <w:highlight w:val="yellow"/>
        </w:rPr>
        <w:t xml:space="preserve"> a</w:t>
      </w:r>
      <w:r w:rsidR="000E2376" w:rsidRPr="00B62A0C">
        <w:rPr>
          <w:color w:val="FF0000"/>
          <w:highlight w:val="yellow"/>
        </w:rPr>
        <w:t>n IRCC</w:t>
      </w:r>
      <w:r w:rsidR="001A1D04" w:rsidRPr="00B62A0C">
        <w:rPr>
          <w:color w:val="FF0000"/>
          <w:highlight w:val="yellow"/>
        </w:rPr>
        <w:t xml:space="preserve"> worksho</w:t>
      </w:r>
      <w:r w:rsidR="00041FB2" w:rsidRPr="00B62A0C">
        <w:rPr>
          <w:color w:val="FF0000"/>
          <w:highlight w:val="yellow"/>
        </w:rPr>
        <w:t>p on the benefits of CSB</w:t>
      </w:r>
      <w:r w:rsidR="000E2376" w:rsidRPr="00B62A0C">
        <w:rPr>
          <w:color w:val="FF0000"/>
          <w:highlight w:val="yellow"/>
        </w:rPr>
        <w:t xml:space="preserve"> and to extend the contribution to the CSB</w:t>
      </w:r>
      <w:r w:rsidR="001A1D04" w:rsidRPr="00041FB2">
        <w:rPr>
          <w:color w:val="FF0000"/>
        </w:rPr>
        <w:t xml:space="preserve">. </w:t>
      </w:r>
    </w:p>
    <w:p w14:paraId="59C67D15" w14:textId="7336B9EC" w:rsidR="001A1D04" w:rsidRDefault="001A1D04" w:rsidP="001A1D04">
      <w:pPr>
        <w:spacing w:after="240"/>
        <w:ind w:left="1700" w:hanging="1138"/>
        <w:jc w:val="both"/>
        <w:rPr>
          <w:color w:val="FF0000"/>
        </w:rPr>
      </w:pPr>
      <w:r w:rsidRPr="00B62A0C">
        <w:rPr>
          <w:color w:val="FF0000"/>
          <w:highlight w:val="yellow"/>
        </w:rPr>
        <w:lastRenderedPageBreak/>
        <w:t>Recommendation 13</w:t>
      </w:r>
      <w:r w:rsidR="00E77B7D" w:rsidRPr="00B62A0C">
        <w:rPr>
          <w:color w:val="FF0000"/>
          <w:highlight w:val="yellow"/>
        </w:rPr>
        <w:t>:</w:t>
      </w:r>
      <w:r w:rsidRPr="00B62A0C">
        <w:rPr>
          <w:color w:val="FF0000"/>
          <w:highlight w:val="yellow"/>
        </w:rPr>
        <w:t xml:space="preserve"> RHC to encourage Member States to support the CSB initiative with positive actions, such as requiring all research vessels to collect bathymetric data for late uploading, when on passage or when it does not interfere with other research activities.</w:t>
      </w:r>
    </w:p>
    <w:p w14:paraId="2FDC9FC0" w14:textId="08AFF45C" w:rsidR="001A1D04" w:rsidRPr="001A1D04" w:rsidRDefault="00225CB2" w:rsidP="001A1D04">
      <w:pPr>
        <w:spacing w:after="240"/>
        <w:ind w:left="1700" w:hanging="1138"/>
        <w:jc w:val="both"/>
        <w:rPr>
          <w:color w:val="FF0000"/>
        </w:rPr>
      </w:pPr>
      <w:r w:rsidRPr="00332E75">
        <w:rPr>
          <w:color w:val="FF0000"/>
          <w:highlight w:val="yellow"/>
        </w:rPr>
        <w:t>Recommendation 14</w:t>
      </w:r>
      <w:r w:rsidR="0004555B" w:rsidRPr="00332E75">
        <w:rPr>
          <w:color w:val="FF0000"/>
          <w:highlight w:val="yellow"/>
        </w:rPr>
        <w:t>:</w:t>
      </w:r>
      <w:r w:rsidR="001A1D04" w:rsidRPr="00332E75">
        <w:rPr>
          <w:color w:val="FF0000"/>
          <w:highlight w:val="yellow"/>
        </w:rPr>
        <w:t xml:space="preserve"> RHCs to encourage Member State and stakeholder bathymetric data contributions to</w:t>
      </w:r>
      <w:r w:rsidRPr="00332E75">
        <w:rPr>
          <w:color w:val="FF0000"/>
          <w:highlight w:val="yellow"/>
        </w:rPr>
        <w:t xml:space="preserve"> the DCDB, regardless of origin.</w:t>
      </w:r>
    </w:p>
    <w:p w14:paraId="503C29F1" w14:textId="2758AB0A" w:rsidR="001A1D04" w:rsidRDefault="00225CB2" w:rsidP="001A1D04">
      <w:pPr>
        <w:spacing w:after="240"/>
        <w:ind w:left="1700" w:hanging="1138"/>
        <w:jc w:val="both"/>
        <w:rPr>
          <w:color w:val="FF0000"/>
        </w:rPr>
      </w:pPr>
      <w:r>
        <w:rPr>
          <w:color w:val="FF0000"/>
        </w:rPr>
        <w:t>Recommendation 15</w:t>
      </w:r>
      <w:r w:rsidR="0004555B">
        <w:rPr>
          <w:color w:val="FF0000"/>
        </w:rPr>
        <w:t>:</w:t>
      </w:r>
      <w:r w:rsidR="001A1D04" w:rsidRPr="001A1D04">
        <w:rPr>
          <w:color w:val="FF0000"/>
        </w:rPr>
        <w:t xml:space="preserve"> RHCs to collaborate with the DCDB on developing and highlighting annual regional breakdowns of data holdings as part of SPI reporting.</w:t>
      </w:r>
    </w:p>
    <w:p w14:paraId="1859A49E" w14:textId="6C5B0F16" w:rsidR="00225CB2" w:rsidRPr="00225CB2" w:rsidRDefault="00CA145B" w:rsidP="00225CB2">
      <w:pPr>
        <w:spacing w:after="240"/>
        <w:ind w:left="1700" w:hanging="1138"/>
        <w:jc w:val="both"/>
        <w:rPr>
          <w:color w:val="FF0000"/>
        </w:rPr>
      </w:pPr>
      <w:bookmarkStart w:id="3" w:name="_Hlk105509232"/>
      <w:r>
        <w:rPr>
          <w:color w:val="FF0000"/>
        </w:rPr>
        <w:t>Decision 39</w:t>
      </w:r>
      <w:r w:rsidR="00E77B7D">
        <w:rPr>
          <w:color w:val="FF0000"/>
        </w:rPr>
        <w:t>: T</w:t>
      </w:r>
      <w:r w:rsidR="001641BB">
        <w:rPr>
          <w:color w:val="FF0000"/>
        </w:rPr>
        <w:t>o</w:t>
      </w:r>
      <w:r w:rsidR="00225CB2" w:rsidRPr="00225CB2">
        <w:rPr>
          <w:color w:val="FF0000"/>
        </w:rPr>
        <w:t xml:space="preserve"> endorse the GEBCO Code of Conduct.</w:t>
      </w:r>
    </w:p>
    <w:p w14:paraId="420CFF84" w14:textId="14540D62" w:rsidR="00225CB2" w:rsidRPr="00225CB2" w:rsidRDefault="00E77B7D" w:rsidP="00225CB2">
      <w:pPr>
        <w:spacing w:after="240"/>
        <w:ind w:left="1700" w:hanging="1138"/>
        <w:jc w:val="both"/>
        <w:rPr>
          <w:color w:val="FF0000"/>
        </w:rPr>
      </w:pPr>
      <w:r w:rsidRPr="00332E75">
        <w:rPr>
          <w:color w:val="FF0000"/>
          <w:highlight w:val="yellow"/>
        </w:rPr>
        <w:t>Recommendation 16:</w:t>
      </w:r>
      <w:r w:rsidR="00225CB2" w:rsidRPr="00332E75">
        <w:rPr>
          <w:color w:val="FF0000"/>
          <w:highlight w:val="yellow"/>
        </w:rPr>
        <w:t xml:space="preserve"> </w:t>
      </w:r>
      <w:r w:rsidRPr="00332E75">
        <w:rPr>
          <w:color w:val="FF0000"/>
          <w:highlight w:val="yellow"/>
        </w:rPr>
        <w:t>T</w:t>
      </w:r>
      <w:r w:rsidR="001641BB" w:rsidRPr="00332E75">
        <w:rPr>
          <w:color w:val="FF0000"/>
          <w:highlight w:val="yellow"/>
        </w:rPr>
        <w:t>o e</w:t>
      </w:r>
      <w:r w:rsidR="00225CB2" w:rsidRPr="00332E75">
        <w:rPr>
          <w:color w:val="FF0000"/>
          <w:highlight w:val="yellow"/>
        </w:rPr>
        <w:t>ncourage RHCs to actively contribute with new data to GEBCO.</w:t>
      </w:r>
    </w:p>
    <w:bookmarkEnd w:id="3"/>
    <w:p w14:paraId="0E73D0B0" w14:textId="1BCF51CF" w:rsidR="001D606D" w:rsidRPr="001F617C" w:rsidRDefault="001D606D" w:rsidP="00D76A41">
      <w:pPr>
        <w:spacing w:after="240"/>
        <w:ind w:left="1700" w:hanging="1138"/>
        <w:jc w:val="both"/>
        <w:rPr>
          <w:color w:val="FF0000"/>
          <w:lang w:val="pt-PT"/>
        </w:rPr>
      </w:pPr>
      <w:r w:rsidRPr="00D76A41">
        <w:rPr>
          <w:color w:val="FF0000"/>
        </w:rPr>
        <w:t xml:space="preserve">Decision </w:t>
      </w:r>
      <w:r w:rsidR="00CA145B">
        <w:rPr>
          <w:color w:val="FF0000"/>
        </w:rPr>
        <w:t>40</w:t>
      </w:r>
      <w:r w:rsidR="0004555B">
        <w:rPr>
          <w:color w:val="FF0000"/>
        </w:rPr>
        <w:t>:</w:t>
      </w:r>
      <w:r w:rsidRPr="00D76A41">
        <w:rPr>
          <w:color w:val="FF0000"/>
        </w:rPr>
        <w:t xml:space="preserve"> </w:t>
      </w:r>
      <w:r w:rsidR="00E77B7D">
        <w:rPr>
          <w:color w:val="FF0000"/>
        </w:rPr>
        <w:t>To n</w:t>
      </w:r>
      <w:r w:rsidRPr="00D76A41">
        <w:rPr>
          <w:color w:val="FF0000"/>
        </w:rPr>
        <w:t xml:space="preserve">ote all reports from agenda item 7 (docs. </w:t>
      </w:r>
      <w:r w:rsidRPr="001F617C">
        <w:rPr>
          <w:color w:val="FF0000"/>
          <w:lang w:val="pt-PT"/>
        </w:rPr>
        <w:t>IRCC1</w:t>
      </w:r>
      <w:r w:rsidR="003850AC" w:rsidRPr="001F617C">
        <w:rPr>
          <w:color w:val="FF0000"/>
          <w:lang w:val="pt-PT"/>
        </w:rPr>
        <w:t>4</w:t>
      </w:r>
      <w:r w:rsidRPr="001F617C">
        <w:rPr>
          <w:color w:val="FF0000"/>
          <w:lang w:val="pt-PT"/>
        </w:rPr>
        <w:t>-07A, 07B, 07C, 07D1, 07D2, 07E, 07F, 07G, 07H, 07I</w:t>
      </w:r>
      <w:r w:rsidR="003850AC" w:rsidRPr="001F617C">
        <w:rPr>
          <w:color w:val="FF0000"/>
          <w:lang w:val="pt-PT"/>
        </w:rPr>
        <w:t xml:space="preserve"> and</w:t>
      </w:r>
      <w:r w:rsidRPr="001F617C">
        <w:rPr>
          <w:color w:val="FF0000"/>
          <w:lang w:val="pt-PT"/>
        </w:rPr>
        <w:t xml:space="preserve"> 07J).</w:t>
      </w:r>
    </w:p>
    <w:p w14:paraId="509034CE" w14:textId="77777777" w:rsidR="001D606D" w:rsidRPr="00A30335" w:rsidRDefault="001D606D" w:rsidP="00EC7901">
      <w:pPr>
        <w:spacing w:after="120"/>
        <w:ind w:left="426" w:hanging="426"/>
        <w:rPr>
          <w:b/>
          <w:bCs/>
          <w:spacing w:val="1"/>
          <w:lang w:val="pt-PT"/>
        </w:rPr>
      </w:pPr>
    </w:p>
    <w:p w14:paraId="5E102DA3" w14:textId="0C86E1DB" w:rsidR="001D606D" w:rsidRPr="00EC7901" w:rsidRDefault="001D606D" w:rsidP="00EC7901">
      <w:pPr>
        <w:spacing w:after="120"/>
        <w:ind w:left="426" w:hanging="426"/>
        <w:rPr>
          <w:b/>
          <w:bCs/>
          <w:spacing w:val="1"/>
        </w:rPr>
      </w:pPr>
      <w:r w:rsidRPr="00EC7901">
        <w:rPr>
          <w:b/>
          <w:bCs/>
          <w:spacing w:val="1"/>
        </w:rPr>
        <w:t>8.</w:t>
      </w:r>
      <w:r w:rsidRPr="00EC7901">
        <w:rPr>
          <w:b/>
          <w:bCs/>
          <w:spacing w:val="1"/>
        </w:rPr>
        <w:tab/>
        <w:t>Strategic Issues of the IRCC</w:t>
      </w:r>
    </w:p>
    <w:p w14:paraId="0DE07608" w14:textId="4710B9D3" w:rsidR="003850AC" w:rsidRDefault="002464F7" w:rsidP="003850AC">
      <w:pPr>
        <w:spacing w:after="120"/>
        <w:ind w:left="1701" w:hanging="1134"/>
        <w:rPr>
          <w:b/>
          <w:bCs/>
        </w:rPr>
      </w:pPr>
      <w:r>
        <w:rPr>
          <w:b/>
          <w:bCs/>
        </w:rPr>
        <w:t>8.1</w:t>
      </w:r>
      <w:r w:rsidR="001D606D">
        <w:rPr>
          <w:b/>
          <w:bCs/>
        </w:rPr>
        <w:t xml:space="preserve"> IRCC SPI's</w:t>
      </w:r>
    </w:p>
    <w:p w14:paraId="3EBF589A" w14:textId="2CFCC019" w:rsidR="002464F7" w:rsidRPr="002464F7" w:rsidRDefault="002464F7" w:rsidP="003850AC">
      <w:pPr>
        <w:spacing w:after="120"/>
        <w:ind w:left="1701" w:hanging="1134"/>
        <w:rPr>
          <w:bCs/>
          <w:color w:val="FF0000"/>
        </w:rPr>
      </w:pPr>
      <w:r w:rsidRPr="002464F7">
        <w:rPr>
          <w:bCs/>
          <w:color w:val="FF0000"/>
        </w:rPr>
        <w:t>XXX</w:t>
      </w:r>
    </w:p>
    <w:p w14:paraId="7D189BFF" w14:textId="12DFC106" w:rsidR="002464F7" w:rsidRPr="003850AC" w:rsidRDefault="002464F7" w:rsidP="002464F7">
      <w:pPr>
        <w:spacing w:after="120"/>
        <w:ind w:left="1701" w:hanging="1134"/>
        <w:rPr>
          <w:b/>
          <w:bCs/>
        </w:rPr>
      </w:pPr>
      <w:r>
        <w:rPr>
          <w:b/>
          <w:bCs/>
        </w:rPr>
        <w:t xml:space="preserve">8.2 </w:t>
      </w:r>
      <w:r w:rsidRPr="000D1CC0">
        <w:rPr>
          <w:b/>
        </w:rPr>
        <w:t>IRCC Strategy – Outcomes of Assembly 3</w:t>
      </w:r>
    </w:p>
    <w:p w14:paraId="10D418BD" w14:textId="5853DB7B" w:rsidR="001F617C" w:rsidRPr="00E74B73" w:rsidRDefault="001F617C" w:rsidP="001F617C">
      <w:pPr>
        <w:spacing w:after="240"/>
        <w:ind w:left="1700" w:hanging="1138"/>
        <w:jc w:val="both"/>
        <w:rPr>
          <w:color w:val="FF0000"/>
        </w:rPr>
      </w:pPr>
      <w:r w:rsidRPr="003D733F">
        <w:rPr>
          <w:color w:val="FF0000"/>
          <w:highlight w:val="yellow"/>
        </w:rPr>
        <w:t>Decision</w:t>
      </w:r>
      <w:r w:rsidR="00CA145B" w:rsidRPr="003D733F">
        <w:rPr>
          <w:color w:val="FF0000"/>
          <w:highlight w:val="yellow"/>
        </w:rPr>
        <w:t xml:space="preserve"> 41</w:t>
      </w:r>
      <w:r w:rsidR="00E77B7D" w:rsidRPr="003D733F">
        <w:rPr>
          <w:color w:val="FF0000"/>
          <w:highlight w:val="yellow"/>
        </w:rPr>
        <w:t>:</w:t>
      </w:r>
      <w:r w:rsidR="008A6133" w:rsidRPr="003D733F">
        <w:rPr>
          <w:color w:val="FF0000"/>
          <w:highlight w:val="yellow"/>
        </w:rPr>
        <w:t xml:space="preserve"> </w:t>
      </w:r>
      <w:r w:rsidR="00E77B7D" w:rsidRPr="003D733F">
        <w:rPr>
          <w:color w:val="FF0000"/>
          <w:highlight w:val="yellow"/>
        </w:rPr>
        <w:t>T</w:t>
      </w:r>
      <w:r w:rsidR="001641BB" w:rsidRPr="003D733F">
        <w:rPr>
          <w:color w:val="FF0000"/>
          <w:highlight w:val="yellow"/>
        </w:rPr>
        <w:t>o establish a</w:t>
      </w:r>
      <w:r w:rsidRPr="003D733F">
        <w:rPr>
          <w:color w:val="FF0000"/>
          <w:highlight w:val="yellow"/>
        </w:rPr>
        <w:t xml:space="preserve"> </w:t>
      </w:r>
      <w:r w:rsidR="00F04973" w:rsidRPr="003D733F">
        <w:rPr>
          <w:color w:val="FF0000"/>
          <w:highlight w:val="yellow"/>
        </w:rPr>
        <w:t>sc</w:t>
      </w:r>
      <w:r w:rsidRPr="003D733F">
        <w:rPr>
          <w:color w:val="FF0000"/>
          <w:highlight w:val="yellow"/>
        </w:rPr>
        <w:t>oping Team under the leadership of Dr. John Nyberg to investigate potential additional sources of funding and the Project Team’s objectives for the following presentation to C-7.</w:t>
      </w:r>
    </w:p>
    <w:p w14:paraId="14FE27F0" w14:textId="77777777" w:rsidR="00FA03E9" w:rsidRPr="00397340" w:rsidRDefault="00FA03E9" w:rsidP="00884B82">
      <w:pPr>
        <w:widowControl w:val="0"/>
        <w:tabs>
          <w:tab w:val="left" w:pos="680"/>
        </w:tabs>
        <w:autoSpaceDE w:val="0"/>
        <w:autoSpaceDN w:val="0"/>
        <w:adjustRightInd w:val="0"/>
        <w:spacing w:before="60" w:after="60"/>
        <w:ind w:left="648" w:hanging="709"/>
        <w:rPr>
          <w:b/>
          <w:bCs/>
          <w:spacing w:val="1"/>
        </w:rPr>
      </w:pPr>
    </w:p>
    <w:p w14:paraId="1E9FE6B3" w14:textId="251AAED9" w:rsidR="00475CCF" w:rsidRDefault="00884B82" w:rsidP="00475CCF">
      <w:pPr>
        <w:spacing w:after="120"/>
        <w:ind w:left="426" w:hanging="426"/>
        <w:rPr>
          <w:b/>
          <w:bCs/>
          <w:color w:val="2F5496" w:themeColor="accent1" w:themeShade="BF"/>
        </w:rPr>
      </w:pPr>
      <w:r w:rsidRPr="00EC7901">
        <w:rPr>
          <w:b/>
          <w:bCs/>
          <w:spacing w:val="1"/>
        </w:rPr>
        <w:t>9.</w:t>
      </w:r>
      <w:r w:rsidRPr="00EC7901">
        <w:rPr>
          <w:b/>
          <w:bCs/>
          <w:spacing w:val="1"/>
        </w:rPr>
        <w:tab/>
      </w:r>
      <w:r w:rsidR="001D606D" w:rsidRPr="00396677">
        <w:rPr>
          <w:b/>
          <w:bCs/>
          <w:spacing w:val="1"/>
        </w:rPr>
        <w:t>Other information papers</w:t>
      </w:r>
    </w:p>
    <w:p w14:paraId="641E420B" w14:textId="3DAEECA9" w:rsidR="007912D9" w:rsidRDefault="002464F7" w:rsidP="003850AC">
      <w:pPr>
        <w:spacing w:after="120"/>
        <w:ind w:left="1701" w:hanging="1134"/>
        <w:rPr>
          <w:b/>
          <w:sz w:val="23"/>
          <w:szCs w:val="23"/>
          <w:shd w:val="clear" w:color="auto" w:fill="FFFFFF"/>
        </w:rPr>
      </w:pPr>
      <w:r w:rsidRPr="002464F7">
        <w:rPr>
          <w:b/>
        </w:rPr>
        <w:t xml:space="preserve">9.1 </w:t>
      </w:r>
      <w:r>
        <w:rPr>
          <w:b/>
          <w:sz w:val="23"/>
          <w:szCs w:val="23"/>
          <w:shd w:val="clear" w:color="auto" w:fill="FFFFFF"/>
        </w:rPr>
        <w:t>Effects of</w:t>
      </w:r>
      <w:r w:rsidRPr="002464F7">
        <w:rPr>
          <w:b/>
          <w:sz w:val="23"/>
          <w:szCs w:val="23"/>
          <w:shd w:val="clear" w:color="auto" w:fill="FFFFFF"/>
        </w:rPr>
        <w:t xml:space="preserve"> amended paper chart production practice (Germany)</w:t>
      </w:r>
    </w:p>
    <w:p w14:paraId="77C71471" w14:textId="51210E51" w:rsidR="00052455" w:rsidRPr="00D97A8C" w:rsidRDefault="00052455" w:rsidP="00052455">
      <w:pPr>
        <w:spacing w:after="240"/>
        <w:ind w:left="1700" w:hanging="1138"/>
        <w:jc w:val="both"/>
        <w:rPr>
          <w:color w:val="FF0000"/>
        </w:rPr>
      </w:pPr>
      <w:r w:rsidRPr="00D97A8C">
        <w:rPr>
          <w:color w:val="FF0000"/>
        </w:rPr>
        <w:t>Decision</w:t>
      </w:r>
      <w:r w:rsidR="00CA145B">
        <w:rPr>
          <w:color w:val="FF0000"/>
        </w:rPr>
        <w:t xml:space="preserve"> 42</w:t>
      </w:r>
      <w:r w:rsidR="00E77B7D">
        <w:rPr>
          <w:color w:val="FF0000"/>
        </w:rPr>
        <w:t>: To</w:t>
      </w:r>
      <w:r w:rsidRPr="00D97A8C">
        <w:rPr>
          <w:color w:val="FF0000"/>
        </w:rPr>
        <w:t xml:space="preserve"> </w:t>
      </w:r>
      <w:r>
        <w:rPr>
          <w:color w:val="FF0000"/>
        </w:rPr>
        <w:t>note the paper</w:t>
      </w:r>
      <w:r w:rsidRPr="00D97A8C">
        <w:t xml:space="preserve"> </w:t>
      </w:r>
      <w:r w:rsidRPr="00D97A8C">
        <w:rPr>
          <w:color w:val="FF0000"/>
        </w:rPr>
        <w:t>on the effects of amended paper chart production practice</w:t>
      </w:r>
      <w:r>
        <w:rPr>
          <w:color w:val="FF0000"/>
        </w:rPr>
        <w:t xml:space="preserve"> presented by Germany.</w:t>
      </w:r>
    </w:p>
    <w:p w14:paraId="2B682638" w14:textId="34846F11" w:rsidR="00052455" w:rsidRPr="00D97A8C" w:rsidRDefault="00E77B7D" w:rsidP="00052455">
      <w:pPr>
        <w:spacing w:after="240"/>
        <w:ind w:left="1700" w:hanging="1138"/>
        <w:jc w:val="both"/>
        <w:rPr>
          <w:color w:val="FF0000"/>
        </w:rPr>
      </w:pPr>
      <w:r>
        <w:rPr>
          <w:color w:val="FF0000"/>
        </w:rPr>
        <w:t xml:space="preserve">Recommendation </w:t>
      </w:r>
      <w:r w:rsidR="00052455">
        <w:rPr>
          <w:color w:val="FF0000"/>
        </w:rPr>
        <w:t>17</w:t>
      </w:r>
      <w:r>
        <w:rPr>
          <w:color w:val="FF0000"/>
        </w:rPr>
        <w:t>:</w:t>
      </w:r>
      <w:r w:rsidR="00052455" w:rsidRPr="00D97A8C">
        <w:rPr>
          <w:color w:val="FF0000"/>
        </w:rPr>
        <w:t xml:space="preserve"> </w:t>
      </w:r>
      <w:r>
        <w:rPr>
          <w:color w:val="FF0000"/>
        </w:rPr>
        <w:t>T</w:t>
      </w:r>
      <w:r w:rsidR="007F4022">
        <w:rPr>
          <w:color w:val="FF0000"/>
        </w:rPr>
        <w:t>o invite RHCs</w:t>
      </w:r>
      <w:r w:rsidR="00052455" w:rsidRPr="00D97A8C">
        <w:rPr>
          <w:color w:val="FF0000"/>
        </w:rPr>
        <w:t xml:space="preserve"> to assign the INT paper chart scheme appropriateness check an</w:t>
      </w:r>
      <w:r w:rsidR="00B05D4B">
        <w:rPr>
          <w:color w:val="FF0000"/>
        </w:rPr>
        <w:t xml:space="preserve">d possible </w:t>
      </w:r>
      <w:r w:rsidR="007F4022">
        <w:rPr>
          <w:color w:val="FF0000"/>
        </w:rPr>
        <w:t>amendment</w:t>
      </w:r>
      <w:r w:rsidR="00B05D4B">
        <w:rPr>
          <w:color w:val="FF0000"/>
        </w:rPr>
        <w:t xml:space="preserve"> of the scheme.</w:t>
      </w:r>
    </w:p>
    <w:p w14:paraId="558EECDD" w14:textId="7E6EB862" w:rsidR="00052455" w:rsidRPr="00D97A8C" w:rsidRDefault="00CA145B" w:rsidP="00052455">
      <w:pPr>
        <w:spacing w:after="240"/>
        <w:ind w:left="1700" w:hanging="1138"/>
        <w:jc w:val="both"/>
        <w:rPr>
          <w:color w:val="FF0000"/>
        </w:rPr>
      </w:pPr>
      <w:r>
        <w:rPr>
          <w:color w:val="FF0000"/>
        </w:rPr>
        <w:t>Decision 43</w:t>
      </w:r>
      <w:r w:rsidR="00E77B7D">
        <w:rPr>
          <w:color w:val="FF0000"/>
        </w:rPr>
        <w:t>:</w:t>
      </w:r>
      <w:r w:rsidR="00052455" w:rsidRPr="000E2376">
        <w:rPr>
          <w:color w:val="FF0000"/>
        </w:rPr>
        <w:t xml:space="preserve"> </w:t>
      </w:r>
      <w:r w:rsidR="00E77B7D">
        <w:rPr>
          <w:color w:val="FF0000"/>
        </w:rPr>
        <w:t>T</w:t>
      </w:r>
      <w:r w:rsidR="007F4022">
        <w:rPr>
          <w:color w:val="FF0000"/>
        </w:rPr>
        <w:t xml:space="preserve">o </w:t>
      </w:r>
      <w:r w:rsidR="00FE7900" w:rsidRPr="000E2376">
        <w:rPr>
          <w:color w:val="FF0000"/>
        </w:rPr>
        <w:t>agree to discuss RHC requirements regarding the future of all paper products (charts and publications) at IRCC 16</w:t>
      </w:r>
      <w:r w:rsidR="00FE7900">
        <w:rPr>
          <w:color w:val="FF0000"/>
        </w:rPr>
        <w:t>.</w:t>
      </w:r>
    </w:p>
    <w:p w14:paraId="6721AECD" w14:textId="453200C0" w:rsidR="00052455" w:rsidRDefault="00052455" w:rsidP="00052455">
      <w:pPr>
        <w:spacing w:after="240"/>
        <w:ind w:left="1700" w:hanging="1138"/>
        <w:jc w:val="both"/>
        <w:rPr>
          <w:color w:val="FF0000"/>
        </w:rPr>
      </w:pPr>
      <w:r w:rsidRPr="00901152">
        <w:rPr>
          <w:color w:val="FF0000"/>
          <w:highlight w:val="yellow"/>
        </w:rPr>
        <w:t>Recommendation 18</w:t>
      </w:r>
      <w:r w:rsidR="00E77B7D" w:rsidRPr="00901152">
        <w:rPr>
          <w:color w:val="FF0000"/>
          <w:highlight w:val="yellow"/>
        </w:rPr>
        <w:t>:</w:t>
      </w:r>
      <w:r w:rsidRPr="00901152">
        <w:rPr>
          <w:color w:val="FF0000"/>
          <w:highlight w:val="yellow"/>
        </w:rPr>
        <w:t xml:space="preserve"> </w:t>
      </w:r>
      <w:r w:rsidR="00E77B7D" w:rsidRPr="00901152">
        <w:rPr>
          <w:color w:val="FF0000"/>
          <w:highlight w:val="yellow"/>
        </w:rPr>
        <w:t>T</w:t>
      </w:r>
      <w:r w:rsidR="007F4022" w:rsidRPr="00901152">
        <w:rPr>
          <w:color w:val="FF0000"/>
          <w:highlight w:val="yellow"/>
        </w:rPr>
        <w:t xml:space="preserve">o </w:t>
      </w:r>
      <w:r w:rsidR="000E2376" w:rsidRPr="00901152">
        <w:rPr>
          <w:color w:val="FF0000"/>
          <w:highlight w:val="yellow"/>
        </w:rPr>
        <w:t xml:space="preserve">encourage </w:t>
      </w:r>
      <w:r w:rsidRPr="00901152">
        <w:rPr>
          <w:color w:val="FF0000"/>
          <w:highlight w:val="yellow"/>
        </w:rPr>
        <w:t xml:space="preserve">RHCs to invite </w:t>
      </w:r>
      <w:r w:rsidR="007F4022" w:rsidRPr="00901152">
        <w:rPr>
          <w:color w:val="FF0000"/>
          <w:highlight w:val="yellow"/>
        </w:rPr>
        <w:t>Member States</w:t>
      </w:r>
      <w:r w:rsidRPr="00901152">
        <w:rPr>
          <w:color w:val="FF0000"/>
          <w:highlight w:val="yellow"/>
        </w:rPr>
        <w:t xml:space="preserve"> to consider the provision of paper chart </w:t>
      </w:r>
      <w:r w:rsidR="00B05D4B" w:rsidRPr="00901152">
        <w:rPr>
          <w:color w:val="FF0000"/>
          <w:highlight w:val="yellow"/>
        </w:rPr>
        <w:t>updating</w:t>
      </w:r>
      <w:r w:rsidRPr="00901152">
        <w:rPr>
          <w:color w:val="FF0000"/>
          <w:highlight w:val="yellow"/>
        </w:rPr>
        <w:t xml:space="preserve"> </w:t>
      </w:r>
      <w:r w:rsidR="00B05D4B" w:rsidRPr="00901152">
        <w:rPr>
          <w:color w:val="FF0000"/>
          <w:highlight w:val="yellow"/>
        </w:rPr>
        <w:t xml:space="preserve">procedures </w:t>
      </w:r>
      <w:r w:rsidRPr="00901152">
        <w:rPr>
          <w:color w:val="FF0000"/>
          <w:highlight w:val="yellow"/>
        </w:rPr>
        <w:t>depending on the findings of NCWG.</w:t>
      </w:r>
    </w:p>
    <w:p w14:paraId="121128C3" w14:textId="5017B12D" w:rsidR="00FE7900" w:rsidRPr="00FE7900" w:rsidRDefault="00E77B7D" w:rsidP="00FE7900">
      <w:pPr>
        <w:spacing w:after="240"/>
        <w:ind w:left="1700" w:hanging="1138"/>
        <w:jc w:val="both"/>
        <w:rPr>
          <w:color w:val="FF0000"/>
        </w:rPr>
      </w:pPr>
      <w:r w:rsidRPr="00901152">
        <w:rPr>
          <w:color w:val="FF0000"/>
          <w:highlight w:val="yellow"/>
        </w:rPr>
        <w:t>Recommendation 19:</w:t>
      </w:r>
      <w:r w:rsidR="00FE7900" w:rsidRPr="00901152">
        <w:rPr>
          <w:color w:val="FF0000"/>
          <w:highlight w:val="yellow"/>
        </w:rPr>
        <w:t xml:space="preserve"> </w:t>
      </w:r>
      <w:r w:rsidRPr="00901152">
        <w:rPr>
          <w:color w:val="FF0000"/>
          <w:highlight w:val="yellow"/>
        </w:rPr>
        <w:t>T</w:t>
      </w:r>
      <w:r w:rsidR="007F4022" w:rsidRPr="00901152">
        <w:rPr>
          <w:color w:val="FF0000"/>
          <w:highlight w:val="yellow"/>
        </w:rPr>
        <w:t xml:space="preserve">o </w:t>
      </w:r>
      <w:r w:rsidR="00FE7900" w:rsidRPr="00901152">
        <w:rPr>
          <w:color w:val="FF0000"/>
          <w:highlight w:val="yellow"/>
        </w:rPr>
        <w:t>enc</w:t>
      </w:r>
      <w:r w:rsidR="000E2376" w:rsidRPr="00901152">
        <w:rPr>
          <w:color w:val="FF0000"/>
          <w:highlight w:val="yellow"/>
        </w:rPr>
        <w:t>ourage</w:t>
      </w:r>
      <w:r w:rsidR="00FE7900" w:rsidRPr="00901152">
        <w:rPr>
          <w:color w:val="FF0000"/>
          <w:highlight w:val="yellow"/>
        </w:rPr>
        <w:t xml:space="preserve"> </w:t>
      </w:r>
      <w:r w:rsidR="000E2376" w:rsidRPr="00901152">
        <w:rPr>
          <w:color w:val="FF0000"/>
          <w:highlight w:val="yellow"/>
        </w:rPr>
        <w:t xml:space="preserve">RHCs </w:t>
      </w:r>
      <w:r w:rsidR="00FE7900" w:rsidRPr="00901152">
        <w:rPr>
          <w:color w:val="FF0000"/>
          <w:highlight w:val="yellow"/>
        </w:rPr>
        <w:t xml:space="preserve">to invite </w:t>
      </w:r>
      <w:r w:rsidR="007F4022" w:rsidRPr="00901152">
        <w:rPr>
          <w:color w:val="FF0000"/>
          <w:highlight w:val="yellow"/>
        </w:rPr>
        <w:t>Member States</w:t>
      </w:r>
      <w:r w:rsidR="00FE7900" w:rsidRPr="00901152">
        <w:rPr>
          <w:color w:val="FF0000"/>
          <w:highlight w:val="yellow"/>
        </w:rPr>
        <w:t xml:space="preserve"> to consider the </w:t>
      </w:r>
      <w:r w:rsidR="00102894" w:rsidRPr="00901152">
        <w:rPr>
          <w:color w:val="FF0000"/>
          <w:highlight w:val="yellow"/>
        </w:rPr>
        <w:t xml:space="preserve">requirements (including regulations) </w:t>
      </w:r>
      <w:r w:rsidR="00FE7900" w:rsidRPr="00901152">
        <w:rPr>
          <w:color w:val="FF0000"/>
          <w:highlight w:val="yellow"/>
        </w:rPr>
        <w:t xml:space="preserve">for non-ECDIS mandated vessels </w:t>
      </w:r>
      <w:r w:rsidR="00041FB2" w:rsidRPr="00901152">
        <w:rPr>
          <w:color w:val="FF0000"/>
          <w:highlight w:val="yellow"/>
        </w:rPr>
        <w:t xml:space="preserve">(e.g. small commercial, fishing, leisure, </w:t>
      </w:r>
      <w:proofErr w:type="spellStart"/>
      <w:r w:rsidR="00041FB2" w:rsidRPr="00901152">
        <w:rPr>
          <w:color w:val="FF0000"/>
          <w:highlight w:val="yellow"/>
        </w:rPr>
        <w:t>etc</w:t>
      </w:r>
      <w:proofErr w:type="spellEnd"/>
      <w:r w:rsidR="00041FB2" w:rsidRPr="00901152">
        <w:rPr>
          <w:color w:val="FF0000"/>
          <w:highlight w:val="yellow"/>
        </w:rPr>
        <w:t xml:space="preserve">) </w:t>
      </w:r>
      <w:r w:rsidR="00FE7900" w:rsidRPr="00901152">
        <w:rPr>
          <w:color w:val="FF0000"/>
          <w:highlight w:val="yellow"/>
        </w:rPr>
        <w:t>within national, regional and global discussions on this topic</w:t>
      </w:r>
      <w:r w:rsidR="00041FB2" w:rsidRPr="00901152">
        <w:rPr>
          <w:color w:val="FF0000"/>
          <w:highlight w:val="yellow"/>
        </w:rPr>
        <w:t xml:space="preserve"> (</w:t>
      </w:r>
      <w:r w:rsidR="00102894" w:rsidRPr="00901152">
        <w:rPr>
          <w:color w:val="FF0000"/>
          <w:highlight w:val="yellow"/>
        </w:rPr>
        <w:t>HSSC15 decision 7</w:t>
      </w:r>
      <w:r w:rsidR="00041FB2" w:rsidRPr="00901152">
        <w:rPr>
          <w:color w:val="FF0000"/>
          <w:highlight w:val="yellow"/>
        </w:rPr>
        <w:t xml:space="preserve"> regarding Electronic Chart Systems </w:t>
      </w:r>
      <w:r w:rsidR="007F4022" w:rsidRPr="00901152">
        <w:rPr>
          <w:color w:val="FF0000"/>
          <w:highlight w:val="yellow"/>
        </w:rPr>
        <w:t xml:space="preserve">PT </w:t>
      </w:r>
      <w:r w:rsidR="00041FB2" w:rsidRPr="00901152">
        <w:rPr>
          <w:color w:val="FF0000"/>
          <w:highlight w:val="yellow"/>
        </w:rPr>
        <w:t>refers).</w:t>
      </w:r>
      <w:r w:rsidR="00041FB2">
        <w:rPr>
          <w:color w:val="FF0000"/>
        </w:rPr>
        <w:t xml:space="preserve"> </w:t>
      </w:r>
    </w:p>
    <w:p w14:paraId="1748BFF0" w14:textId="77777777" w:rsidR="00FE7900" w:rsidRDefault="00FE7900" w:rsidP="00052455">
      <w:pPr>
        <w:spacing w:after="240"/>
        <w:ind w:left="1700" w:hanging="1138"/>
        <w:jc w:val="both"/>
        <w:rPr>
          <w:color w:val="FF0000"/>
        </w:rPr>
      </w:pPr>
    </w:p>
    <w:p w14:paraId="123BEA7B" w14:textId="50C5A952" w:rsidR="00052455" w:rsidRPr="00D97A8C" w:rsidRDefault="00052455" w:rsidP="00052455">
      <w:pPr>
        <w:spacing w:after="240"/>
        <w:ind w:left="1700" w:hanging="1138"/>
        <w:jc w:val="both"/>
        <w:rPr>
          <w:color w:val="FF0000"/>
        </w:rPr>
      </w:pPr>
      <w:r w:rsidRPr="00C84FB4">
        <w:rPr>
          <w:color w:val="FF0000"/>
          <w:highlight w:val="yellow"/>
        </w:rPr>
        <w:lastRenderedPageBreak/>
        <w:t xml:space="preserve">Action </w:t>
      </w:r>
      <w:r w:rsidR="00B05D4B" w:rsidRPr="00C84FB4">
        <w:rPr>
          <w:color w:val="FF0000"/>
          <w:highlight w:val="yellow"/>
        </w:rPr>
        <w:t>10</w:t>
      </w:r>
      <w:r w:rsidR="0004555B" w:rsidRPr="00C84FB4">
        <w:rPr>
          <w:color w:val="FF0000"/>
          <w:highlight w:val="yellow"/>
        </w:rPr>
        <w:t>:</w:t>
      </w:r>
      <w:r w:rsidRPr="00C84FB4">
        <w:rPr>
          <w:color w:val="FF0000"/>
          <w:highlight w:val="yellow"/>
        </w:rPr>
        <w:t xml:space="preserve"> Ask HSSC to direct NCWG to liaise with the WWNWS for the definition of the impact of the future of the paper chart production on the navigational warnings.</w:t>
      </w:r>
      <w:r>
        <w:rPr>
          <w:color w:val="FF0000"/>
        </w:rPr>
        <w:t xml:space="preserve"> </w:t>
      </w:r>
    </w:p>
    <w:p w14:paraId="0869D986" w14:textId="4CF366DA" w:rsidR="00B66039" w:rsidRPr="00561858" w:rsidRDefault="00E77B7D" w:rsidP="00B66039">
      <w:pPr>
        <w:spacing w:after="240"/>
        <w:ind w:left="1700" w:hanging="1138"/>
        <w:jc w:val="both"/>
        <w:rPr>
          <w:color w:val="FF0000"/>
        </w:rPr>
      </w:pPr>
      <w:r>
        <w:rPr>
          <w:color w:val="FF0000"/>
        </w:rPr>
        <w:t>Action 11</w:t>
      </w:r>
      <w:r w:rsidR="0004555B">
        <w:rPr>
          <w:color w:val="FF0000"/>
        </w:rPr>
        <w:t>:</w:t>
      </w:r>
      <w:r w:rsidR="00B66039">
        <w:rPr>
          <w:color w:val="FF0000"/>
        </w:rPr>
        <w:t xml:space="preserve"> </w:t>
      </w:r>
      <w:r>
        <w:rPr>
          <w:color w:val="FF0000"/>
        </w:rPr>
        <w:t>A</w:t>
      </w:r>
      <w:r w:rsidR="00B66039">
        <w:rPr>
          <w:color w:val="FF0000"/>
        </w:rPr>
        <w:t>sk IHO Se</w:t>
      </w:r>
      <w:r w:rsidR="00B66039" w:rsidRPr="00561858">
        <w:rPr>
          <w:color w:val="FF0000"/>
        </w:rPr>
        <w:t>c</w:t>
      </w:r>
      <w:r w:rsidR="00B66039">
        <w:rPr>
          <w:color w:val="FF0000"/>
        </w:rPr>
        <w:t>r</w:t>
      </w:r>
      <w:r w:rsidR="00B66039" w:rsidRPr="00561858">
        <w:rPr>
          <w:color w:val="FF0000"/>
        </w:rPr>
        <w:t xml:space="preserve">etariat </w:t>
      </w:r>
      <w:r w:rsidR="000E2376">
        <w:rPr>
          <w:color w:val="FF0000"/>
        </w:rPr>
        <w:t xml:space="preserve">to investigate </w:t>
      </w:r>
      <w:r w:rsidR="00B66039" w:rsidRPr="00561858">
        <w:rPr>
          <w:color w:val="FF0000"/>
        </w:rPr>
        <w:t xml:space="preserve">in liaison with MS </w:t>
      </w:r>
      <w:r w:rsidR="000E2376">
        <w:rPr>
          <w:color w:val="FF0000"/>
        </w:rPr>
        <w:t xml:space="preserve">the utility of </w:t>
      </w:r>
      <w:r w:rsidR="00B66039" w:rsidRPr="00561858">
        <w:rPr>
          <w:color w:val="FF0000"/>
        </w:rPr>
        <w:t>dev</w:t>
      </w:r>
      <w:r w:rsidR="00B66039">
        <w:rPr>
          <w:color w:val="FF0000"/>
        </w:rPr>
        <w:t>e</w:t>
      </w:r>
      <w:r w:rsidR="00B66039" w:rsidRPr="00561858">
        <w:rPr>
          <w:color w:val="FF0000"/>
        </w:rPr>
        <w:t>lop</w:t>
      </w:r>
      <w:r w:rsidR="000E2376">
        <w:rPr>
          <w:color w:val="FF0000"/>
        </w:rPr>
        <w:t>ing</w:t>
      </w:r>
      <w:r w:rsidR="00B66039" w:rsidRPr="00561858">
        <w:rPr>
          <w:color w:val="FF0000"/>
        </w:rPr>
        <w:t xml:space="preserve"> a glossary for G</w:t>
      </w:r>
      <w:r w:rsidR="000E2376">
        <w:rPr>
          <w:color w:val="FF0000"/>
        </w:rPr>
        <w:t>ender N</w:t>
      </w:r>
      <w:r w:rsidR="00B66039">
        <w:rPr>
          <w:color w:val="FF0000"/>
        </w:rPr>
        <w:t>eutral</w:t>
      </w:r>
      <w:r w:rsidR="00B66039" w:rsidRPr="00561858">
        <w:rPr>
          <w:color w:val="FF0000"/>
        </w:rPr>
        <w:t xml:space="preserve"> </w:t>
      </w:r>
      <w:r w:rsidR="00B66039">
        <w:rPr>
          <w:color w:val="FF0000"/>
        </w:rPr>
        <w:t>language.</w:t>
      </w:r>
    </w:p>
    <w:p w14:paraId="3957A959" w14:textId="661D5938" w:rsidR="00475CCF" w:rsidRDefault="003850AC" w:rsidP="00475CCF">
      <w:pPr>
        <w:spacing w:after="120"/>
        <w:ind w:left="426" w:hanging="426"/>
        <w:rPr>
          <w:b/>
          <w:bCs/>
          <w:spacing w:val="1"/>
        </w:rPr>
      </w:pPr>
      <w:r w:rsidRPr="00EC7901">
        <w:rPr>
          <w:b/>
          <w:bCs/>
          <w:spacing w:val="1"/>
        </w:rPr>
        <w:t xml:space="preserve">10. </w:t>
      </w:r>
      <w:r w:rsidRPr="00EC7901">
        <w:rPr>
          <w:b/>
          <w:bCs/>
          <w:spacing w:val="1"/>
        </w:rPr>
        <w:tab/>
        <w:t>Any other bus</w:t>
      </w:r>
      <w:r w:rsidRPr="00A5067F">
        <w:rPr>
          <w:b/>
          <w:bCs/>
          <w:spacing w:val="1"/>
        </w:rPr>
        <w:t>i</w:t>
      </w:r>
      <w:r w:rsidRPr="00EC7901">
        <w:rPr>
          <w:b/>
          <w:bCs/>
          <w:spacing w:val="1"/>
        </w:rPr>
        <w:t>ness</w:t>
      </w:r>
    </w:p>
    <w:p w14:paraId="77AFF054" w14:textId="77777777" w:rsidR="00FE7900" w:rsidRDefault="00FE7900" w:rsidP="00FE7900">
      <w:pPr>
        <w:spacing w:after="120"/>
        <w:ind w:left="1701" w:hanging="1134"/>
        <w:rPr>
          <w:b/>
        </w:rPr>
      </w:pPr>
      <w:r w:rsidRPr="007E6F80">
        <w:rPr>
          <w:color w:val="FF0000"/>
          <w:spacing w:val="2"/>
        </w:rPr>
        <w:t>XXX</w:t>
      </w:r>
    </w:p>
    <w:p w14:paraId="5CC50E5E" w14:textId="2C02B0A0" w:rsidR="00EC7901" w:rsidRPr="00A30335" w:rsidRDefault="003850AC" w:rsidP="000E3607">
      <w:pPr>
        <w:spacing w:after="120"/>
        <w:ind w:left="426" w:hanging="426"/>
        <w:rPr>
          <w:b/>
        </w:rPr>
      </w:pPr>
      <w:r w:rsidRPr="00EC7901">
        <w:rPr>
          <w:b/>
          <w:bCs/>
          <w:spacing w:val="1"/>
        </w:rPr>
        <w:t>11</w:t>
      </w:r>
      <w:bookmarkStart w:id="4" w:name="_Hlk105560762"/>
      <w:r w:rsidRPr="00EC7901">
        <w:rPr>
          <w:b/>
          <w:bCs/>
          <w:spacing w:val="1"/>
        </w:rPr>
        <w:t xml:space="preserve">. </w:t>
      </w:r>
      <w:r w:rsidRPr="00EC7901">
        <w:rPr>
          <w:b/>
          <w:bCs/>
          <w:spacing w:val="1"/>
        </w:rPr>
        <w:tab/>
        <w:t>Draft Report from IRCC to the C-</w:t>
      </w:r>
      <w:bookmarkEnd w:id="4"/>
      <w:r w:rsidR="002464F7">
        <w:rPr>
          <w:b/>
          <w:bCs/>
          <w:spacing w:val="1"/>
        </w:rPr>
        <w:t>7</w:t>
      </w:r>
    </w:p>
    <w:p w14:paraId="63E029D5" w14:textId="3F26F34D" w:rsidR="003850AC" w:rsidRDefault="00F32941" w:rsidP="007E6F80">
      <w:pPr>
        <w:spacing w:after="120"/>
        <w:ind w:left="1701" w:hanging="1134"/>
        <w:rPr>
          <w:b/>
        </w:rPr>
      </w:pPr>
      <w:r w:rsidRPr="007E6F80">
        <w:rPr>
          <w:color w:val="FF0000"/>
          <w:spacing w:val="2"/>
        </w:rPr>
        <w:t>XXX</w:t>
      </w:r>
    </w:p>
    <w:p w14:paraId="23B30BCA" w14:textId="64112DF0" w:rsidR="003850AC" w:rsidRDefault="003850AC" w:rsidP="00475CCF">
      <w:pPr>
        <w:spacing w:after="120"/>
        <w:ind w:left="426" w:hanging="426"/>
        <w:rPr>
          <w:b/>
        </w:rPr>
      </w:pPr>
      <w:bookmarkStart w:id="5" w:name="_Hlk105560777"/>
      <w:r w:rsidRPr="00EC7901">
        <w:rPr>
          <w:b/>
          <w:bCs/>
          <w:spacing w:val="1"/>
        </w:rPr>
        <w:t>1</w:t>
      </w:r>
      <w:r w:rsidR="00EC7901" w:rsidRPr="00EC7901">
        <w:rPr>
          <w:b/>
          <w:bCs/>
          <w:spacing w:val="1"/>
        </w:rPr>
        <w:t>2</w:t>
      </w:r>
      <w:r w:rsidRPr="00EC7901">
        <w:rPr>
          <w:b/>
          <w:bCs/>
          <w:spacing w:val="1"/>
        </w:rPr>
        <w:t>.  Review the List of Actions, Decisions and Recommendations</w:t>
      </w:r>
      <w:r>
        <w:rPr>
          <w:b/>
        </w:rPr>
        <w:t xml:space="preserve"> </w:t>
      </w:r>
    </w:p>
    <w:p w14:paraId="0B404FBD" w14:textId="7FDF0ADA" w:rsidR="00EC7901" w:rsidRDefault="007E6F80" w:rsidP="007E6F80">
      <w:pPr>
        <w:spacing w:after="120"/>
        <w:ind w:left="1701" w:hanging="1134"/>
        <w:rPr>
          <w:b/>
        </w:rPr>
      </w:pPr>
      <w:r w:rsidRPr="007E6F80">
        <w:rPr>
          <w:color w:val="FF0000"/>
          <w:spacing w:val="2"/>
        </w:rPr>
        <w:t>XXX</w:t>
      </w:r>
    </w:p>
    <w:p w14:paraId="07DF1F24" w14:textId="205EDDC6" w:rsidR="00EC7901" w:rsidRDefault="00EC7901" w:rsidP="00475CCF">
      <w:pPr>
        <w:spacing w:after="120"/>
        <w:ind w:left="426" w:hanging="426"/>
        <w:rPr>
          <w:b/>
          <w:bCs/>
        </w:rPr>
      </w:pPr>
      <w:r w:rsidRPr="00FE61AA">
        <w:rPr>
          <w:b/>
          <w:bCs/>
        </w:rPr>
        <w:t>1</w:t>
      </w:r>
      <w:r>
        <w:rPr>
          <w:b/>
          <w:bCs/>
        </w:rPr>
        <w:t>3</w:t>
      </w:r>
      <w:r w:rsidRPr="00FE61AA">
        <w:rPr>
          <w:b/>
          <w:bCs/>
        </w:rPr>
        <w:t>.  IR</w:t>
      </w:r>
      <w:r w:rsidRPr="00FE61AA">
        <w:rPr>
          <w:b/>
          <w:bCs/>
          <w:spacing w:val="-2"/>
        </w:rPr>
        <w:t>C</w:t>
      </w:r>
      <w:r w:rsidRPr="00FE61AA">
        <w:rPr>
          <w:b/>
          <w:bCs/>
        </w:rPr>
        <w:t>C</w:t>
      </w:r>
      <w:r w:rsidRPr="00FE61AA">
        <w:rPr>
          <w:b/>
          <w:bCs/>
          <w:spacing w:val="1"/>
        </w:rPr>
        <w:t xml:space="preserve"> </w:t>
      </w:r>
      <w:r w:rsidRPr="00FE61AA">
        <w:rPr>
          <w:b/>
          <w:bCs/>
        </w:rPr>
        <w:t>Wo</w:t>
      </w:r>
      <w:r w:rsidRPr="00FE61AA">
        <w:rPr>
          <w:b/>
          <w:bCs/>
          <w:spacing w:val="-2"/>
        </w:rPr>
        <w:t>r</w:t>
      </w:r>
      <w:r w:rsidRPr="00FE61AA">
        <w:rPr>
          <w:b/>
          <w:bCs/>
        </w:rPr>
        <w:t xml:space="preserve">k </w:t>
      </w:r>
      <w:proofErr w:type="spellStart"/>
      <w:r w:rsidRPr="00FE61AA">
        <w:rPr>
          <w:b/>
          <w:bCs/>
          <w:spacing w:val="-5"/>
        </w:rPr>
        <w:t>P</w:t>
      </w:r>
      <w:r w:rsidRPr="00FE61AA">
        <w:rPr>
          <w:b/>
          <w:bCs/>
          <w:spacing w:val="-2"/>
        </w:rPr>
        <w:t>r</w:t>
      </w:r>
      <w:r w:rsidRPr="00FE61AA">
        <w:rPr>
          <w:b/>
          <w:bCs/>
        </w:rPr>
        <w:t>og</w:t>
      </w:r>
      <w:r w:rsidRPr="00FE61AA">
        <w:rPr>
          <w:b/>
          <w:bCs/>
          <w:spacing w:val="3"/>
        </w:rPr>
        <w:t>r</w:t>
      </w:r>
      <w:r w:rsidRPr="00FE61AA">
        <w:rPr>
          <w:b/>
          <w:bCs/>
        </w:rPr>
        <w:t>a</w:t>
      </w:r>
      <w:r w:rsidRPr="00FE61AA">
        <w:rPr>
          <w:b/>
          <w:bCs/>
          <w:spacing w:val="-2"/>
        </w:rPr>
        <w:t>m</w:t>
      </w:r>
      <w:r w:rsidRPr="00FE61AA">
        <w:rPr>
          <w:b/>
          <w:bCs/>
          <w:spacing w:val="-6"/>
        </w:rPr>
        <w:t>m</w:t>
      </w:r>
      <w:r w:rsidRPr="00FE61AA">
        <w:rPr>
          <w:b/>
          <w:bCs/>
        </w:rPr>
        <w:t>e</w:t>
      </w:r>
      <w:proofErr w:type="spellEnd"/>
      <w:r w:rsidRPr="00FE61AA">
        <w:rPr>
          <w:b/>
          <w:bCs/>
        </w:rPr>
        <w:t xml:space="preserve"> </w:t>
      </w:r>
      <w:r w:rsidRPr="00FE61AA">
        <w:rPr>
          <w:b/>
          <w:bCs/>
          <w:spacing w:val="3"/>
        </w:rPr>
        <w:t>M</w:t>
      </w:r>
      <w:r w:rsidRPr="00FE61AA">
        <w:rPr>
          <w:b/>
          <w:bCs/>
        </w:rPr>
        <w:t>a</w:t>
      </w:r>
      <w:r w:rsidRPr="00FE61AA">
        <w:rPr>
          <w:b/>
          <w:bCs/>
          <w:spacing w:val="-3"/>
        </w:rPr>
        <w:t>n</w:t>
      </w:r>
      <w:r w:rsidRPr="00FE61AA">
        <w:rPr>
          <w:b/>
          <w:bCs/>
        </w:rPr>
        <w:t>ag</w:t>
      </w:r>
      <w:r w:rsidRPr="00FE61AA">
        <w:rPr>
          <w:b/>
          <w:bCs/>
          <w:spacing w:val="3"/>
        </w:rPr>
        <w:t>e</w:t>
      </w:r>
      <w:r w:rsidRPr="00FE61AA">
        <w:rPr>
          <w:b/>
          <w:bCs/>
          <w:spacing w:val="-6"/>
        </w:rPr>
        <w:t>m</w:t>
      </w:r>
      <w:r w:rsidRPr="00FE61AA">
        <w:rPr>
          <w:b/>
          <w:bCs/>
          <w:spacing w:val="3"/>
        </w:rPr>
        <w:t>e</w:t>
      </w:r>
      <w:r w:rsidRPr="00FE61AA">
        <w:rPr>
          <w:b/>
          <w:bCs/>
          <w:spacing w:val="-3"/>
        </w:rPr>
        <w:t>n</w:t>
      </w:r>
      <w:r w:rsidRPr="00FE61AA">
        <w:rPr>
          <w:b/>
          <w:bCs/>
        </w:rPr>
        <w:t>t</w:t>
      </w:r>
      <w:bookmarkEnd w:id="5"/>
    </w:p>
    <w:p w14:paraId="726EC89F" w14:textId="74FDA395" w:rsidR="00EC7901" w:rsidRDefault="003F2ECB" w:rsidP="003F2ECB">
      <w:pPr>
        <w:spacing w:after="120"/>
        <w:ind w:left="1701" w:hanging="1134"/>
        <w:rPr>
          <w:b/>
          <w:bCs/>
        </w:rPr>
      </w:pPr>
      <w:r w:rsidRPr="001517B1">
        <w:rPr>
          <w:color w:val="FF0000"/>
          <w:spacing w:val="2"/>
        </w:rPr>
        <w:t xml:space="preserve">Decision </w:t>
      </w:r>
      <w:r w:rsidR="00CA145B">
        <w:rPr>
          <w:color w:val="FF0000"/>
          <w:spacing w:val="2"/>
        </w:rPr>
        <w:t>45</w:t>
      </w:r>
      <w:r w:rsidR="0004555B">
        <w:rPr>
          <w:color w:val="FF0000"/>
          <w:spacing w:val="2"/>
        </w:rPr>
        <w:t>:</w:t>
      </w:r>
      <w:r w:rsidRPr="001517B1">
        <w:rPr>
          <w:color w:val="FF0000"/>
          <w:spacing w:val="2"/>
        </w:rPr>
        <w:t xml:space="preserve"> </w:t>
      </w:r>
      <w:r w:rsidR="00E77B7D">
        <w:rPr>
          <w:color w:val="FF0000"/>
          <w:spacing w:val="2"/>
        </w:rPr>
        <w:t>T</w:t>
      </w:r>
      <w:r w:rsidR="007E6F80">
        <w:rPr>
          <w:color w:val="FF0000"/>
          <w:spacing w:val="2"/>
        </w:rPr>
        <w:t>o adopt t</w:t>
      </w:r>
      <w:r w:rsidR="000D26BA">
        <w:rPr>
          <w:color w:val="FF0000"/>
          <w:spacing w:val="2"/>
        </w:rPr>
        <w:t xml:space="preserve">he IRCC Work </w:t>
      </w:r>
      <w:proofErr w:type="spellStart"/>
      <w:r w:rsidR="000D26BA">
        <w:rPr>
          <w:color w:val="FF0000"/>
          <w:spacing w:val="2"/>
        </w:rPr>
        <w:t>P</w:t>
      </w:r>
      <w:r w:rsidRPr="003F2ECB">
        <w:rPr>
          <w:color w:val="FF0000"/>
          <w:spacing w:val="2"/>
        </w:rPr>
        <w:t>rogramme</w:t>
      </w:r>
      <w:proofErr w:type="spellEnd"/>
      <w:r w:rsidRPr="003F2ECB">
        <w:rPr>
          <w:color w:val="FF0000"/>
          <w:spacing w:val="2"/>
        </w:rPr>
        <w:t xml:space="preserve"> 2022-2023.</w:t>
      </w:r>
    </w:p>
    <w:p w14:paraId="26E76453" w14:textId="25460311" w:rsidR="00EC7901" w:rsidRDefault="00EC7901" w:rsidP="00475CCF">
      <w:pPr>
        <w:spacing w:after="120"/>
        <w:ind w:left="426" w:hanging="426"/>
        <w:rPr>
          <w:b/>
          <w:bCs/>
          <w:color w:val="2F5496" w:themeColor="accent1" w:themeShade="BF"/>
        </w:rPr>
      </w:pPr>
      <w:r w:rsidRPr="00A5067F">
        <w:rPr>
          <w:b/>
          <w:bCs/>
        </w:rPr>
        <w:t>1</w:t>
      </w:r>
      <w:r>
        <w:rPr>
          <w:b/>
          <w:bCs/>
        </w:rPr>
        <w:t>4</w:t>
      </w:r>
      <w:r w:rsidRPr="00A5067F">
        <w:rPr>
          <w:b/>
          <w:bCs/>
        </w:rPr>
        <w:t>.</w:t>
      </w:r>
      <w:r w:rsidRPr="00A5067F">
        <w:rPr>
          <w:b/>
          <w:bCs/>
        </w:rPr>
        <w:tab/>
      </w:r>
      <w:r w:rsidRPr="00A5067F">
        <w:rPr>
          <w:b/>
          <w:bCs/>
          <w:spacing w:val="-1"/>
        </w:rPr>
        <w:t>N</w:t>
      </w:r>
      <w:r w:rsidRPr="00A5067F">
        <w:rPr>
          <w:b/>
          <w:bCs/>
          <w:spacing w:val="-2"/>
        </w:rPr>
        <w:t>e</w:t>
      </w:r>
      <w:r w:rsidRPr="00A5067F">
        <w:rPr>
          <w:b/>
          <w:bCs/>
        </w:rPr>
        <w:t>xt</w:t>
      </w:r>
      <w:r w:rsidRPr="00A5067F">
        <w:rPr>
          <w:b/>
          <w:bCs/>
          <w:spacing w:val="1"/>
        </w:rPr>
        <w:t xml:space="preserve"> </w:t>
      </w:r>
      <w:r w:rsidRPr="00A5067F">
        <w:rPr>
          <w:b/>
          <w:bCs/>
        </w:rPr>
        <w:t>IR</w:t>
      </w:r>
      <w:r w:rsidRPr="00A5067F">
        <w:rPr>
          <w:b/>
          <w:bCs/>
          <w:spacing w:val="-2"/>
        </w:rPr>
        <w:t>C</w:t>
      </w:r>
      <w:r w:rsidRPr="00A5067F">
        <w:rPr>
          <w:b/>
          <w:bCs/>
        </w:rPr>
        <w:t>C</w:t>
      </w:r>
      <w:r w:rsidRPr="00A5067F">
        <w:rPr>
          <w:b/>
          <w:bCs/>
          <w:spacing w:val="1"/>
        </w:rPr>
        <w:t xml:space="preserve"> </w:t>
      </w:r>
      <w:r w:rsidRPr="00A5067F">
        <w:rPr>
          <w:b/>
          <w:bCs/>
          <w:spacing w:val="-2"/>
        </w:rPr>
        <w:t>Mee</w:t>
      </w:r>
      <w:r w:rsidRPr="00A5067F">
        <w:rPr>
          <w:b/>
          <w:bCs/>
          <w:spacing w:val="3"/>
        </w:rPr>
        <w:t>t</w:t>
      </w:r>
      <w:r w:rsidRPr="00A5067F">
        <w:rPr>
          <w:b/>
          <w:bCs/>
          <w:spacing w:val="1"/>
        </w:rPr>
        <w:t>i</w:t>
      </w:r>
      <w:r w:rsidRPr="00A5067F">
        <w:rPr>
          <w:b/>
          <w:bCs/>
          <w:spacing w:val="-8"/>
        </w:rPr>
        <w:t>n</w:t>
      </w:r>
      <w:r w:rsidRPr="00A5067F">
        <w:rPr>
          <w:b/>
          <w:bCs/>
        </w:rPr>
        <w:t>gs</w:t>
      </w:r>
      <w:r w:rsidRPr="00A5067F">
        <w:rPr>
          <w:b/>
          <w:bCs/>
          <w:spacing w:val="3"/>
        </w:rPr>
        <w:t xml:space="preserve"> </w:t>
      </w:r>
      <w:r w:rsidRPr="00A5067F">
        <w:rPr>
          <w:b/>
          <w:bCs/>
          <w:spacing w:val="-2"/>
        </w:rPr>
        <w:t>(</w:t>
      </w:r>
      <w:r w:rsidRPr="00A5067F">
        <w:rPr>
          <w:b/>
          <w:bCs/>
          <w:spacing w:val="-1"/>
        </w:rPr>
        <w:t>V</w:t>
      </w:r>
      <w:r w:rsidRPr="00A5067F">
        <w:rPr>
          <w:b/>
          <w:bCs/>
          <w:spacing w:val="3"/>
        </w:rPr>
        <w:t>e</w:t>
      </w:r>
      <w:r w:rsidRPr="00A5067F">
        <w:rPr>
          <w:b/>
          <w:bCs/>
          <w:spacing w:val="-3"/>
        </w:rPr>
        <w:t>nu</w:t>
      </w:r>
      <w:r w:rsidRPr="00A5067F">
        <w:rPr>
          <w:b/>
          <w:bCs/>
        </w:rPr>
        <w:t>e</w:t>
      </w:r>
      <w:r w:rsidRPr="00A5067F">
        <w:rPr>
          <w:b/>
          <w:bCs/>
          <w:spacing w:val="5"/>
        </w:rPr>
        <w:t xml:space="preserve"> </w:t>
      </w:r>
      <w:r w:rsidRPr="00A5067F">
        <w:rPr>
          <w:b/>
          <w:bCs/>
        </w:rPr>
        <w:t>a</w:t>
      </w:r>
      <w:r w:rsidRPr="00A5067F">
        <w:rPr>
          <w:b/>
          <w:bCs/>
          <w:spacing w:val="-3"/>
        </w:rPr>
        <w:t>n</w:t>
      </w:r>
      <w:r w:rsidRPr="00A5067F">
        <w:rPr>
          <w:b/>
          <w:bCs/>
        </w:rPr>
        <w:t xml:space="preserve">d </w:t>
      </w:r>
      <w:r w:rsidRPr="00A5067F">
        <w:rPr>
          <w:b/>
          <w:bCs/>
          <w:spacing w:val="-1"/>
        </w:rPr>
        <w:t>D</w:t>
      </w:r>
      <w:r w:rsidRPr="00A5067F">
        <w:rPr>
          <w:b/>
          <w:bCs/>
          <w:spacing w:val="-5"/>
        </w:rPr>
        <w:t>a</w:t>
      </w:r>
      <w:r w:rsidRPr="00A5067F">
        <w:rPr>
          <w:b/>
          <w:bCs/>
          <w:spacing w:val="3"/>
        </w:rPr>
        <w:t>t</w:t>
      </w:r>
      <w:r w:rsidRPr="00A5067F">
        <w:rPr>
          <w:b/>
          <w:bCs/>
          <w:spacing w:val="-2"/>
        </w:rPr>
        <w:t>e</w:t>
      </w:r>
      <w:r w:rsidRPr="00A5067F">
        <w:rPr>
          <w:b/>
          <w:bCs/>
        </w:rPr>
        <w:t>)</w:t>
      </w:r>
    </w:p>
    <w:p w14:paraId="2A9980B8" w14:textId="524CB31A" w:rsidR="00C74102" w:rsidRPr="00A6674E" w:rsidRDefault="00C74102" w:rsidP="00EC7901">
      <w:pPr>
        <w:spacing w:after="120"/>
        <w:ind w:left="1701" w:hanging="1134"/>
        <w:rPr>
          <w:color w:val="FF0000"/>
          <w:spacing w:val="2"/>
        </w:rPr>
      </w:pPr>
      <w:bookmarkStart w:id="6" w:name="_Hlk105561814"/>
      <w:r w:rsidRPr="00A6674E">
        <w:rPr>
          <w:color w:val="FF0000"/>
          <w:spacing w:val="2"/>
        </w:rPr>
        <w:t>Decision</w:t>
      </w:r>
      <w:r w:rsidR="008878D2" w:rsidRPr="00A6674E">
        <w:rPr>
          <w:color w:val="FF0000"/>
          <w:spacing w:val="2"/>
        </w:rPr>
        <w:t xml:space="preserve"> </w:t>
      </w:r>
      <w:r w:rsidR="00CA145B">
        <w:rPr>
          <w:color w:val="FF0000"/>
          <w:spacing w:val="2"/>
        </w:rPr>
        <w:t>46</w:t>
      </w:r>
      <w:r w:rsidR="0004555B">
        <w:rPr>
          <w:color w:val="FF0000"/>
          <w:spacing w:val="2"/>
        </w:rPr>
        <w:t>:</w:t>
      </w:r>
      <w:r w:rsidRPr="00A6674E">
        <w:rPr>
          <w:color w:val="FF0000"/>
          <w:spacing w:val="2"/>
        </w:rPr>
        <w:t xml:space="preserve"> </w:t>
      </w:r>
      <w:r w:rsidR="00E77B7D">
        <w:rPr>
          <w:color w:val="FF0000"/>
          <w:spacing w:val="2"/>
        </w:rPr>
        <w:t>To h</w:t>
      </w:r>
      <w:r w:rsidRPr="00A6674E">
        <w:rPr>
          <w:color w:val="FF0000"/>
          <w:spacing w:val="2"/>
        </w:rPr>
        <w:t xml:space="preserve">old the next </w:t>
      </w:r>
      <w:r w:rsidR="00767BC9" w:rsidRPr="00A6674E">
        <w:rPr>
          <w:color w:val="FF0000"/>
          <w:spacing w:val="2"/>
        </w:rPr>
        <w:t>IRCC</w:t>
      </w:r>
      <w:r w:rsidRPr="00A6674E">
        <w:rPr>
          <w:color w:val="FF0000"/>
          <w:spacing w:val="2"/>
        </w:rPr>
        <w:t xml:space="preserve"> meetings</w:t>
      </w:r>
      <w:r w:rsidR="00517F8C" w:rsidRPr="00A6674E">
        <w:rPr>
          <w:color w:val="FF0000"/>
          <w:spacing w:val="2"/>
        </w:rPr>
        <w:t xml:space="preserve"> back to back with CBSC</w:t>
      </w:r>
      <w:r w:rsidRPr="00A6674E">
        <w:rPr>
          <w:color w:val="FF0000"/>
          <w:spacing w:val="2"/>
        </w:rPr>
        <w:t xml:space="preserve"> as</w:t>
      </w:r>
      <w:r w:rsidR="00174706" w:rsidRPr="00A6674E">
        <w:rPr>
          <w:color w:val="FF0000"/>
          <w:spacing w:val="2"/>
        </w:rPr>
        <w:t xml:space="preserve"> follows</w:t>
      </w:r>
      <w:r w:rsidRPr="00A6674E">
        <w:rPr>
          <w:color w:val="FF0000"/>
          <w:spacing w:val="2"/>
        </w:rPr>
        <w:t>:</w:t>
      </w:r>
    </w:p>
    <w:p w14:paraId="10B5488D" w14:textId="32BEAA5F" w:rsidR="008D1948" w:rsidRPr="00A6674E" w:rsidRDefault="00767BC9" w:rsidP="00025C97">
      <w:pPr>
        <w:widowControl w:val="0"/>
        <w:spacing w:before="60" w:after="60"/>
        <w:ind w:left="1701"/>
        <w:rPr>
          <w:color w:val="FF0000"/>
          <w:lang w:val="es-AR" w:eastAsia="en-GB"/>
        </w:rPr>
      </w:pPr>
      <w:r w:rsidRPr="00A6674E">
        <w:rPr>
          <w:color w:val="FF0000"/>
          <w:lang w:val="es-AR" w:eastAsia="en-GB"/>
        </w:rPr>
        <w:t>IRCC16</w:t>
      </w:r>
      <w:r w:rsidR="008D1948" w:rsidRPr="00A6674E">
        <w:rPr>
          <w:color w:val="FF0000"/>
          <w:lang w:val="es-AR" w:eastAsia="en-GB"/>
        </w:rPr>
        <w:t xml:space="preserve">: </w:t>
      </w:r>
      <w:r w:rsidR="002A56B4">
        <w:rPr>
          <w:color w:val="FF0000"/>
          <w:lang w:val="es-AR" w:eastAsia="en-GB"/>
        </w:rPr>
        <w:t>1</w:t>
      </w:r>
      <w:r w:rsidR="00A0159A">
        <w:rPr>
          <w:color w:val="FF0000"/>
          <w:lang w:val="es-AR" w:eastAsia="en-GB"/>
        </w:rPr>
        <w:t>0</w:t>
      </w:r>
      <w:r w:rsidR="002A56B4">
        <w:rPr>
          <w:color w:val="FF0000"/>
          <w:lang w:val="es-AR" w:eastAsia="en-GB"/>
        </w:rPr>
        <w:t>-1</w:t>
      </w:r>
      <w:r w:rsidR="00A0159A">
        <w:rPr>
          <w:color w:val="FF0000"/>
          <w:lang w:val="es-AR" w:eastAsia="en-GB"/>
        </w:rPr>
        <w:t>2</w:t>
      </w:r>
      <w:r w:rsidR="002A56B4">
        <w:rPr>
          <w:color w:val="FF0000"/>
          <w:lang w:val="es-AR" w:eastAsia="en-GB"/>
        </w:rPr>
        <w:t xml:space="preserve"> June 2024 – Ecuador, </w:t>
      </w:r>
      <w:proofErr w:type="spellStart"/>
      <w:r w:rsidR="002A56B4">
        <w:rPr>
          <w:color w:val="FF0000"/>
          <w:lang w:val="es-AR" w:eastAsia="en-GB"/>
        </w:rPr>
        <w:t>Galapagos</w:t>
      </w:r>
      <w:proofErr w:type="spellEnd"/>
    </w:p>
    <w:p w14:paraId="6DDE06EE" w14:textId="5A4CB0CB" w:rsidR="00F0786B" w:rsidRPr="001F617C" w:rsidRDefault="00EC7901" w:rsidP="00025C97">
      <w:pPr>
        <w:widowControl w:val="0"/>
        <w:spacing w:before="60" w:after="60"/>
        <w:ind w:left="1701"/>
        <w:rPr>
          <w:color w:val="FF0000"/>
          <w:lang w:val="pt-PT" w:eastAsia="en-GB"/>
        </w:rPr>
      </w:pPr>
      <w:r w:rsidRPr="001F617C">
        <w:rPr>
          <w:color w:val="FF0000"/>
          <w:lang w:val="pt-PT" w:eastAsia="en-GB"/>
        </w:rPr>
        <w:t xml:space="preserve">IRCC17: May / June 2025 – </w:t>
      </w:r>
      <w:r w:rsidR="00A6674E" w:rsidRPr="001F617C">
        <w:rPr>
          <w:color w:val="FF0000"/>
          <w:lang w:val="pt-PT" w:eastAsia="en-GB"/>
        </w:rPr>
        <w:t>Nigeria</w:t>
      </w:r>
    </w:p>
    <w:p w14:paraId="633E1830" w14:textId="096B56A2" w:rsidR="00A6674E" w:rsidRDefault="00A6674E" w:rsidP="00A6674E">
      <w:pPr>
        <w:widowControl w:val="0"/>
        <w:spacing w:before="60" w:after="60"/>
        <w:ind w:left="1701"/>
        <w:rPr>
          <w:color w:val="FF0000"/>
          <w:lang w:eastAsia="en-GB"/>
        </w:rPr>
      </w:pPr>
      <w:r w:rsidRPr="00A6674E">
        <w:rPr>
          <w:color w:val="FF0000"/>
          <w:lang w:eastAsia="en-GB"/>
        </w:rPr>
        <w:t>IRCC18: May / June 2026 – Peru</w:t>
      </w:r>
      <w:bookmarkEnd w:id="6"/>
    </w:p>
    <w:p w14:paraId="633E7FB9" w14:textId="21B89B35" w:rsidR="00FE7900" w:rsidRPr="009355C7" w:rsidRDefault="00FE7900" w:rsidP="00A6674E">
      <w:pPr>
        <w:widowControl w:val="0"/>
        <w:spacing w:before="60" w:after="60"/>
        <w:ind w:left="1701"/>
        <w:rPr>
          <w:color w:val="FF0000"/>
          <w:lang w:eastAsia="en-GB"/>
        </w:rPr>
      </w:pPr>
      <w:r w:rsidRPr="00FE7900">
        <w:rPr>
          <w:color w:val="FF0000"/>
          <w:lang w:eastAsia="en-GB"/>
        </w:rPr>
        <w:t>IRCC19: May / June 2027 – Australia or New Zealand</w:t>
      </w:r>
    </w:p>
    <w:p w14:paraId="5E2F9A44" w14:textId="77777777" w:rsidR="00A6674E" w:rsidRPr="009355C7" w:rsidRDefault="00A6674E" w:rsidP="00025C97">
      <w:pPr>
        <w:widowControl w:val="0"/>
        <w:spacing w:before="60" w:after="60"/>
        <w:ind w:left="1701"/>
        <w:rPr>
          <w:color w:val="FF0000"/>
          <w:lang w:eastAsia="en-GB"/>
        </w:rPr>
      </w:pPr>
    </w:p>
    <w:p w14:paraId="123BF833" w14:textId="77777777" w:rsidR="00193EC4" w:rsidRDefault="00193EC4" w:rsidP="00193EC4">
      <w:pPr>
        <w:autoSpaceDE w:val="0"/>
        <w:autoSpaceDN w:val="0"/>
        <w:adjustRightInd w:val="0"/>
        <w:spacing w:before="60" w:after="60"/>
        <w:rPr>
          <w:b/>
          <w:bCs/>
          <w:spacing w:val="-1"/>
        </w:rPr>
      </w:pPr>
      <w:r w:rsidRPr="008B1D47">
        <w:rPr>
          <w:b/>
          <w:bCs/>
        </w:rPr>
        <w:t xml:space="preserve">15. </w:t>
      </w:r>
      <w:r w:rsidRPr="008B1D47">
        <w:rPr>
          <w:b/>
          <w:bCs/>
        </w:rPr>
        <w:tab/>
      </w:r>
      <w:r w:rsidRPr="008B1D47">
        <w:rPr>
          <w:b/>
          <w:bCs/>
          <w:spacing w:val="-1"/>
        </w:rPr>
        <w:t>Election of IRCC Chair and Vice-Chair (IRCC ROP 3.)</w:t>
      </w:r>
    </w:p>
    <w:p w14:paraId="1FA4F34E" w14:textId="6F41E948" w:rsidR="00193EC4" w:rsidRPr="00032437" w:rsidRDefault="00CA145B" w:rsidP="00193EC4">
      <w:pPr>
        <w:spacing w:before="120"/>
        <w:ind w:left="1701" w:hanging="1134"/>
        <w:rPr>
          <w:bCs/>
          <w:color w:val="FF0000"/>
        </w:rPr>
      </w:pPr>
      <w:r>
        <w:rPr>
          <w:bCs/>
          <w:color w:val="FF0000"/>
        </w:rPr>
        <w:t>Decision 47</w:t>
      </w:r>
      <w:r w:rsidR="00E77B7D">
        <w:rPr>
          <w:bCs/>
          <w:color w:val="FF0000"/>
        </w:rPr>
        <w:t>:</w:t>
      </w:r>
      <w:r w:rsidR="00193EC4" w:rsidRPr="00032437">
        <w:rPr>
          <w:bCs/>
          <w:color w:val="FF0000"/>
        </w:rPr>
        <w:t xml:space="preserve"> </w:t>
      </w:r>
      <w:r w:rsidR="00E77B7D">
        <w:rPr>
          <w:bCs/>
          <w:color w:val="FF0000"/>
        </w:rPr>
        <w:t>T</w:t>
      </w:r>
      <w:r>
        <w:rPr>
          <w:bCs/>
          <w:color w:val="FF0000"/>
        </w:rPr>
        <w:t xml:space="preserve">o re-elected </w:t>
      </w:r>
      <w:proofErr w:type="spellStart"/>
      <w:r w:rsidR="00193EC4">
        <w:rPr>
          <w:bCs/>
          <w:color w:val="FF0000"/>
        </w:rPr>
        <w:t>Mr</w:t>
      </w:r>
      <w:proofErr w:type="spellEnd"/>
      <w:r w:rsidR="00193EC4">
        <w:rPr>
          <w:bCs/>
          <w:color w:val="FF0000"/>
        </w:rPr>
        <w:t xml:space="preserve"> Thomas Dehling</w:t>
      </w:r>
      <w:r w:rsidR="00193EC4" w:rsidRPr="00032437">
        <w:rPr>
          <w:bCs/>
          <w:color w:val="FF0000"/>
        </w:rPr>
        <w:t xml:space="preserve"> (</w:t>
      </w:r>
      <w:r w:rsidR="008B5DE4">
        <w:rPr>
          <w:bCs/>
          <w:color w:val="FF0000"/>
        </w:rPr>
        <w:t>G</w:t>
      </w:r>
      <w:r w:rsidR="00193EC4">
        <w:rPr>
          <w:bCs/>
          <w:color w:val="FF0000"/>
        </w:rPr>
        <w:t>ermany</w:t>
      </w:r>
      <w:r w:rsidR="00193EC4" w:rsidRPr="00032437">
        <w:rPr>
          <w:bCs/>
          <w:color w:val="FF0000"/>
        </w:rPr>
        <w:t>)</w:t>
      </w:r>
      <w:r w:rsidR="008B5DE4">
        <w:rPr>
          <w:bCs/>
          <w:color w:val="FF0000"/>
        </w:rPr>
        <w:t xml:space="preserve"> as Chair and </w:t>
      </w:r>
      <w:r>
        <w:rPr>
          <w:bCs/>
          <w:color w:val="FF0000"/>
        </w:rPr>
        <w:t xml:space="preserve">elect </w:t>
      </w:r>
      <w:proofErr w:type="spellStart"/>
      <w:r w:rsidR="008B5DE4">
        <w:rPr>
          <w:bCs/>
          <w:color w:val="FF0000"/>
        </w:rPr>
        <w:t>Ms</w:t>
      </w:r>
      <w:proofErr w:type="spellEnd"/>
      <w:r w:rsidR="00193EC4" w:rsidRPr="00032437">
        <w:rPr>
          <w:bCs/>
          <w:color w:val="FF0000"/>
        </w:rPr>
        <w:t xml:space="preserve"> </w:t>
      </w:r>
      <w:r w:rsidR="008B5DE4">
        <w:rPr>
          <w:bCs/>
          <w:color w:val="FF0000"/>
        </w:rPr>
        <w:t>Jennifer Jenks (USA</w:t>
      </w:r>
      <w:r w:rsidR="00193EC4" w:rsidRPr="00032437">
        <w:rPr>
          <w:bCs/>
          <w:color w:val="FF0000"/>
        </w:rPr>
        <w:t>) as Vice-Chair by unanimity.</w:t>
      </w:r>
    </w:p>
    <w:p w14:paraId="6F620D4B" w14:textId="77777777" w:rsidR="00193EC4" w:rsidRPr="00193EC4" w:rsidRDefault="00193EC4" w:rsidP="00193EC4">
      <w:pPr>
        <w:autoSpaceDE w:val="0"/>
        <w:autoSpaceDN w:val="0"/>
        <w:adjustRightInd w:val="0"/>
        <w:spacing w:before="60" w:after="60"/>
        <w:rPr>
          <w:rFonts w:eastAsia="MS Mincho"/>
        </w:rPr>
      </w:pPr>
    </w:p>
    <w:p w14:paraId="5F5168D4" w14:textId="165E0026" w:rsidR="00C17589" w:rsidRDefault="00C17589" w:rsidP="008D1948">
      <w:pPr>
        <w:spacing w:after="120"/>
        <w:ind w:left="426" w:hanging="426"/>
        <w:rPr>
          <w:b/>
          <w:bCs/>
          <w:spacing w:val="-1"/>
        </w:rPr>
      </w:pPr>
      <w:r w:rsidRPr="00330D08">
        <w:rPr>
          <w:b/>
          <w:bCs/>
        </w:rPr>
        <w:t>1</w:t>
      </w:r>
      <w:r w:rsidR="00193EC4">
        <w:rPr>
          <w:b/>
          <w:bCs/>
        </w:rPr>
        <w:t>6</w:t>
      </w:r>
      <w:r w:rsidRPr="00330D08">
        <w:rPr>
          <w:b/>
          <w:bCs/>
        </w:rPr>
        <w:t>.</w:t>
      </w:r>
      <w:r w:rsidRPr="00330D08">
        <w:rPr>
          <w:b/>
        </w:rPr>
        <w:tab/>
      </w:r>
      <w:r w:rsidRPr="00330D08">
        <w:rPr>
          <w:b/>
          <w:bCs/>
          <w:spacing w:val="-1"/>
        </w:rPr>
        <w:t>Closure</w:t>
      </w:r>
    </w:p>
    <w:p w14:paraId="512F6C40" w14:textId="77777777" w:rsidR="00502AC2" w:rsidRPr="001F617C" w:rsidRDefault="00502AC2" w:rsidP="00581AA9">
      <w:pPr>
        <w:spacing w:after="120"/>
        <w:ind w:left="1701" w:hanging="1134"/>
        <w:rPr>
          <w:b/>
          <w:color w:val="00B0F0"/>
        </w:rPr>
      </w:pPr>
      <w:r w:rsidRPr="00581AA9">
        <w:rPr>
          <w:color w:val="FF0000"/>
          <w:spacing w:val="2"/>
        </w:rPr>
        <w:t>XXX</w:t>
      </w:r>
    </w:p>
    <w:sectPr w:rsidR="00502AC2" w:rsidRPr="001F617C" w:rsidSect="00974205">
      <w:headerReference w:type="default" r:id="rId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52930" w14:textId="77777777" w:rsidR="0010484D" w:rsidRDefault="0010484D" w:rsidP="00C74102">
      <w:r>
        <w:separator/>
      </w:r>
    </w:p>
  </w:endnote>
  <w:endnote w:type="continuationSeparator" w:id="0">
    <w:p w14:paraId="0DCAC3A4" w14:textId="77777777" w:rsidR="0010484D" w:rsidRDefault="0010484D"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7ED0A" w14:textId="77777777" w:rsidR="0010484D" w:rsidRDefault="0010484D" w:rsidP="00C74102">
      <w:r>
        <w:separator/>
      </w:r>
    </w:p>
  </w:footnote>
  <w:footnote w:type="continuationSeparator" w:id="0">
    <w:p w14:paraId="0A2A8C7E" w14:textId="77777777" w:rsidR="0010484D" w:rsidRDefault="0010484D"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0EF35" w14:textId="74F100E0" w:rsidR="00C74102" w:rsidRDefault="003C59B0" w:rsidP="00C74102">
    <w:pPr>
      <w:pStyle w:val="Header"/>
      <w:jc w:val="right"/>
    </w:pPr>
    <w:r>
      <w:t>IRCC</w:t>
    </w:r>
    <w:r w:rsidR="00394861">
      <w:t>16</w:t>
    </w:r>
    <w:r w:rsidR="00C74102">
      <w:t>-</w:t>
    </w:r>
    <w:r w:rsidR="00394861">
      <w:t>03C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2A8C"/>
    <w:multiLevelType w:val="hybridMultilevel"/>
    <w:tmpl w:val="FA56734E"/>
    <w:lvl w:ilvl="0" w:tplc="DE6C5A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06FD1"/>
    <w:multiLevelType w:val="hybridMultilevel"/>
    <w:tmpl w:val="097A05A4"/>
    <w:lvl w:ilvl="0" w:tplc="A85422D4">
      <w:start w:val="1"/>
      <w:numFmt w:val="bullet"/>
      <w:lvlText w:val="•"/>
      <w:lvlJc w:val="left"/>
      <w:pPr>
        <w:tabs>
          <w:tab w:val="num" w:pos="720"/>
        </w:tabs>
        <w:ind w:left="720" w:hanging="360"/>
      </w:pPr>
      <w:rPr>
        <w:rFonts w:ascii="Arial" w:hAnsi="Arial" w:hint="default"/>
      </w:rPr>
    </w:lvl>
    <w:lvl w:ilvl="1" w:tplc="74EC083E" w:tentative="1">
      <w:start w:val="1"/>
      <w:numFmt w:val="bullet"/>
      <w:lvlText w:val="•"/>
      <w:lvlJc w:val="left"/>
      <w:pPr>
        <w:tabs>
          <w:tab w:val="num" w:pos="1440"/>
        </w:tabs>
        <w:ind w:left="1440" w:hanging="360"/>
      </w:pPr>
      <w:rPr>
        <w:rFonts w:ascii="Arial" w:hAnsi="Arial" w:hint="default"/>
      </w:rPr>
    </w:lvl>
    <w:lvl w:ilvl="2" w:tplc="91107994" w:tentative="1">
      <w:start w:val="1"/>
      <w:numFmt w:val="bullet"/>
      <w:lvlText w:val="•"/>
      <w:lvlJc w:val="left"/>
      <w:pPr>
        <w:tabs>
          <w:tab w:val="num" w:pos="2160"/>
        </w:tabs>
        <w:ind w:left="2160" w:hanging="360"/>
      </w:pPr>
      <w:rPr>
        <w:rFonts w:ascii="Arial" w:hAnsi="Arial" w:hint="default"/>
      </w:rPr>
    </w:lvl>
    <w:lvl w:ilvl="3" w:tplc="93A8FF1A" w:tentative="1">
      <w:start w:val="1"/>
      <w:numFmt w:val="bullet"/>
      <w:lvlText w:val="•"/>
      <w:lvlJc w:val="left"/>
      <w:pPr>
        <w:tabs>
          <w:tab w:val="num" w:pos="2880"/>
        </w:tabs>
        <w:ind w:left="2880" w:hanging="360"/>
      </w:pPr>
      <w:rPr>
        <w:rFonts w:ascii="Arial" w:hAnsi="Arial" w:hint="default"/>
      </w:rPr>
    </w:lvl>
    <w:lvl w:ilvl="4" w:tplc="0F98B69E" w:tentative="1">
      <w:start w:val="1"/>
      <w:numFmt w:val="bullet"/>
      <w:lvlText w:val="•"/>
      <w:lvlJc w:val="left"/>
      <w:pPr>
        <w:tabs>
          <w:tab w:val="num" w:pos="3600"/>
        </w:tabs>
        <w:ind w:left="3600" w:hanging="360"/>
      </w:pPr>
      <w:rPr>
        <w:rFonts w:ascii="Arial" w:hAnsi="Arial" w:hint="default"/>
      </w:rPr>
    </w:lvl>
    <w:lvl w:ilvl="5" w:tplc="5288C404" w:tentative="1">
      <w:start w:val="1"/>
      <w:numFmt w:val="bullet"/>
      <w:lvlText w:val="•"/>
      <w:lvlJc w:val="left"/>
      <w:pPr>
        <w:tabs>
          <w:tab w:val="num" w:pos="4320"/>
        </w:tabs>
        <w:ind w:left="4320" w:hanging="360"/>
      </w:pPr>
      <w:rPr>
        <w:rFonts w:ascii="Arial" w:hAnsi="Arial" w:hint="default"/>
      </w:rPr>
    </w:lvl>
    <w:lvl w:ilvl="6" w:tplc="5026233E" w:tentative="1">
      <w:start w:val="1"/>
      <w:numFmt w:val="bullet"/>
      <w:lvlText w:val="•"/>
      <w:lvlJc w:val="left"/>
      <w:pPr>
        <w:tabs>
          <w:tab w:val="num" w:pos="5040"/>
        </w:tabs>
        <w:ind w:left="5040" w:hanging="360"/>
      </w:pPr>
      <w:rPr>
        <w:rFonts w:ascii="Arial" w:hAnsi="Arial" w:hint="default"/>
      </w:rPr>
    </w:lvl>
    <w:lvl w:ilvl="7" w:tplc="52DACA50" w:tentative="1">
      <w:start w:val="1"/>
      <w:numFmt w:val="bullet"/>
      <w:lvlText w:val="•"/>
      <w:lvlJc w:val="left"/>
      <w:pPr>
        <w:tabs>
          <w:tab w:val="num" w:pos="5760"/>
        </w:tabs>
        <w:ind w:left="5760" w:hanging="360"/>
      </w:pPr>
      <w:rPr>
        <w:rFonts w:ascii="Arial" w:hAnsi="Arial" w:hint="default"/>
      </w:rPr>
    </w:lvl>
    <w:lvl w:ilvl="8" w:tplc="DDC42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278D3"/>
    <w:multiLevelType w:val="hybridMultilevel"/>
    <w:tmpl w:val="24F098C0"/>
    <w:lvl w:ilvl="0" w:tplc="786094FE">
      <w:start w:val="1"/>
      <w:numFmt w:val="lowerRoman"/>
      <w:lvlText w:val="%1."/>
      <w:lvlJc w:val="right"/>
      <w:pPr>
        <w:tabs>
          <w:tab w:val="num" w:pos="720"/>
        </w:tabs>
        <w:ind w:left="720" w:hanging="360"/>
      </w:pPr>
    </w:lvl>
    <w:lvl w:ilvl="1" w:tplc="599E8FD0">
      <w:start w:val="1"/>
      <w:numFmt w:val="lowerRoman"/>
      <w:lvlText w:val="%2."/>
      <w:lvlJc w:val="right"/>
      <w:pPr>
        <w:tabs>
          <w:tab w:val="num" w:pos="1440"/>
        </w:tabs>
        <w:ind w:left="1440" w:hanging="360"/>
      </w:pPr>
    </w:lvl>
    <w:lvl w:ilvl="2" w:tplc="A19ECC84" w:tentative="1">
      <w:start w:val="1"/>
      <w:numFmt w:val="lowerRoman"/>
      <w:lvlText w:val="%3."/>
      <w:lvlJc w:val="right"/>
      <w:pPr>
        <w:tabs>
          <w:tab w:val="num" w:pos="2160"/>
        </w:tabs>
        <w:ind w:left="2160" w:hanging="360"/>
      </w:pPr>
    </w:lvl>
    <w:lvl w:ilvl="3" w:tplc="671401B6" w:tentative="1">
      <w:start w:val="1"/>
      <w:numFmt w:val="lowerRoman"/>
      <w:lvlText w:val="%4."/>
      <w:lvlJc w:val="right"/>
      <w:pPr>
        <w:tabs>
          <w:tab w:val="num" w:pos="2880"/>
        </w:tabs>
        <w:ind w:left="2880" w:hanging="360"/>
      </w:pPr>
    </w:lvl>
    <w:lvl w:ilvl="4" w:tplc="FC8409F4" w:tentative="1">
      <w:start w:val="1"/>
      <w:numFmt w:val="lowerRoman"/>
      <w:lvlText w:val="%5."/>
      <w:lvlJc w:val="right"/>
      <w:pPr>
        <w:tabs>
          <w:tab w:val="num" w:pos="3600"/>
        </w:tabs>
        <w:ind w:left="3600" w:hanging="360"/>
      </w:pPr>
    </w:lvl>
    <w:lvl w:ilvl="5" w:tplc="10A4D568" w:tentative="1">
      <w:start w:val="1"/>
      <w:numFmt w:val="lowerRoman"/>
      <w:lvlText w:val="%6."/>
      <w:lvlJc w:val="right"/>
      <w:pPr>
        <w:tabs>
          <w:tab w:val="num" w:pos="4320"/>
        </w:tabs>
        <w:ind w:left="4320" w:hanging="360"/>
      </w:pPr>
    </w:lvl>
    <w:lvl w:ilvl="6" w:tplc="B882050C" w:tentative="1">
      <w:start w:val="1"/>
      <w:numFmt w:val="lowerRoman"/>
      <w:lvlText w:val="%7."/>
      <w:lvlJc w:val="right"/>
      <w:pPr>
        <w:tabs>
          <w:tab w:val="num" w:pos="5040"/>
        </w:tabs>
        <w:ind w:left="5040" w:hanging="360"/>
      </w:pPr>
    </w:lvl>
    <w:lvl w:ilvl="7" w:tplc="EDA69220" w:tentative="1">
      <w:start w:val="1"/>
      <w:numFmt w:val="lowerRoman"/>
      <w:lvlText w:val="%8."/>
      <w:lvlJc w:val="right"/>
      <w:pPr>
        <w:tabs>
          <w:tab w:val="num" w:pos="5760"/>
        </w:tabs>
        <w:ind w:left="5760" w:hanging="360"/>
      </w:pPr>
    </w:lvl>
    <w:lvl w:ilvl="8" w:tplc="608EA9DA" w:tentative="1">
      <w:start w:val="1"/>
      <w:numFmt w:val="lowerRoman"/>
      <w:lvlText w:val="%9."/>
      <w:lvlJc w:val="right"/>
      <w:pPr>
        <w:tabs>
          <w:tab w:val="num" w:pos="6480"/>
        </w:tabs>
        <w:ind w:left="6480" w:hanging="360"/>
      </w:pPr>
    </w:lvl>
  </w:abstractNum>
  <w:abstractNum w:abstractNumId="3" w15:restartNumberingAfterBreak="0">
    <w:nsid w:val="31BE7980"/>
    <w:multiLevelType w:val="hybridMultilevel"/>
    <w:tmpl w:val="0CF80734"/>
    <w:lvl w:ilvl="0" w:tplc="B9C42E32">
      <w:start w:val="1"/>
      <w:numFmt w:val="decimal"/>
      <w:lvlText w:val="%1."/>
      <w:lvlJc w:val="left"/>
      <w:pPr>
        <w:tabs>
          <w:tab w:val="num" w:pos="720"/>
        </w:tabs>
        <w:ind w:left="720" w:hanging="360"/>
      </w:pPr>
    </w:lvl>
    <w:lvl w:ilvl="1" w:tplc="87BCC39A" w:tentative="1">
      <w:start w:val="1"/>
      <w:numFmt w:val="decimal"/>
      <w:lvlText w:val="%2."/>
      <w:lvlJc w:val="left"/>
      <w:pPr>
        <w:tabs>
          <w:tab w:val="num" w:pos="1440"/>
        </w:tabs>
        <w:ind w:left="1440" w:hanging="360"/>
      </w:pPr>
    </w:lvl>
    <w:lvl w:ilvl="2" w:tplc="9B5A39BC" w:tentative="1">
      <w:start w:val="1"/>
      <w:numFmt w:val="decimal"/>
      <w:lvlText w:val="%3."/>
      <w:lvlJc w:val="left"/>
      <w:pPr>
        <w:tabs>
          <w:tab w:val="num" w:pos="2160"/>
        </w:tabs>
        <w:ind w:left="2160" w:hanging="360"/>
      </w:pPr>
    </w:lvl>
    <w:lvl w:ilvl="3" w:tplc="65DC298A" w:tentative="1">
      <w:start w:val="1"/>
      <w:numFmt w:val="decimal"/>
      <w:lvlText w:val="%4."/>
      <w:lvlJc w:val="left"/>
      <w:pPr>
        <w:tabs>
          <w:tab w:val="num" w:pos="2880"/>
        </w:tabs>
        <w:ind w:left="2880" w:hanging="360"/>
      </w:pPr>
    </w:lvl>
    <w:lvl w:ilvl="4" w:tplc="FA5EB4EE" w:tentative="1">
      <w:start w:val="1"/>
      <w:numFmt w:val="decimal"/>
      <w:lvlText w:val="%5."/>
      <w:lvlJc w:val="left"/>
      <w:pPr>
        <w:tabs>
          <w:tab w:val="num" w:pos="3600"/>
        </w:tabs>
        <w:ind w:left="3600" w:hanging="360"/>
      </w:pPr>
    </w:lvl>
    <w:lvl w:ilvl="5" w:tplc="962812FC" w:tentative="1">
      <w:start w:val="1"/>
      <w:numFmt w:val="decimal"/>
      <w:lvlText w:val="%6."/>
      <w:lvlJc w:val="left"/>
      <w:pPr>
        <w:tabs>
          <w:tab w:val="num" w:pos="4320"/>
        </w:tabs>
        <w:ind w:left="4320" w:hanging="360"/>
      </w:pPr>
    </w:lvl>
    <w:lvl w:ilvl="6" w:tplc="A25AE0F0" w:tentative="1">
      <w:start w:val="1"/>
      <w:numFmt w:val="decimal"/>
      <w:lvlText w:val="%7."/>
      <w:lvlJc w:val="left"/>
      <w:pPr>
        <w:tabs>
          <w:tab w:val="num" w:pos="5040"/>
        </w:tabs>
        <w:ind w:left="5040" w:hanging="360"/>
      </w:pPr>
    </w:lvl>
    <w:lvl w:ilvl="7" w:tplc="04D834FA" w:tentative="1">
      <w:start w:val="1"/>
      <w:numFmt w:val="decimal"/>
      <w:lvlText w:val="%8."/>
      <w:lvlJc w:val="left"/>
      <w:pPr>
        <w:tabs>
          <w:tab w:val="num" w:pos="5760"/>
        </w:tabs>
        <w:ind w:left="5760" w:hanging="360"/>
      </w:pPr>
    </w:lvl>
    <w:lvl w:ilvl="8" w:tplc="B40A8DFE" w:tentative="1">
      <w:start w:val="1"/>
      <w:numFmt w:val="decimal"/>
      <w:lvlText w:val="%9."/>
      <w:lvlJc w:val="left"/>
      <w:pPr>
        <w:tabs>
          <w:tab w:val="num" w:pos="6480"/>
        </w:tabs>
        <w:ind w:left="6480" w:hanging="360"/>
      </w:pPr>
    </w:lvl>
  </w:abstractNum>
  <w:abstractNum w:abstractNumId="4" w15:restartNumberingAfterBreak="0">
    <w:nsid w:val="324953D1"/>
    <w:multiLevelType w:val="hybridMultilevel"/>
    <w:tmpl w:val="A0BE39AC"/>
    <w:lvl w:ilvl="0" w:tplc="DFCC1D9E">
      <w:start w:val="1"/>
      <w:numFmt w:val="bullet"/>
      <w:lvlText w:val="•"/>
      <w:lvlJc w:val="left"/>
      <w:pPr>
        <w:tabs>
          <w:tab w:val="num" w:pos="720"/>
        </w:tabs>
        <w:ind w:left="720" w:hanging="360"/>
      </w:pPr>
      <w:rPr>
        <w:rFonts w:ascii="Arial" w:hAnsi="Arial" w:hint="default"/>
      </w:rPr>
    </w:lvl>
    <w:lvl w:ilvl="1" w:tplc="7F6E0FA0">
      <w:start w:val="1"/>
      <w:numFmt w:val="bullet"/>
      <w:lvlText w:val="•"/>
      <w:lvlJc w:val="left"/>
      <w:pPr>
        <w:tabs>
          <w:tab w:val="num" w:pos="1440"/>
        </w:tabs>
        <w:ind w:left="1440" w:hanging="360"/>
      </w:pPr>
      <w:rPr>
        <w:rFonts w:ascii="Arial" w:hAnsi="Arial" w:hint="default"/>
      </w:rPr>
    </w:lvl>
    <w:lvl w:ilvl="2" w:tplc="D99841DA" w:tentative="1">
      <w:start w:val="1"/>
      <w:numFmt w:val="bullet"/>
      <w:lvlText w:val="•"/>
      <w:lvlJc w:val="left"/>
      <w:pPr>
        <w:tabs>
          <w:tab w:val="num" w:pos="2160"/>
        </w:tabs>
        <w:ind w:left="2160" w:hanging="360"/>
      </w:pPr>
      <w:rPr>
        <w:rFonts w:ascii="Arial" w:hAnsi="Arial" w:hint="default"/>
      </w:rPr>
    </w:lvl>
    <w:lvl w:ilvl="3" w:tplc="D6B448C6" w:tentative="1">
      <w:start w:val="1"/>
      <w:numFmt w:val="bullet"/>
      <w:lvlText w:val="•"/>
      <w:lvlJc w:val="left"/>
      <w:pPr>
        <w:tabs>
          <w:tab w:val="num" w:pos="2880"/>
        </w:tabs>
        <w:ind w:left="2880" w:hanging="360"/>
      </w:pPr>
      <w:rPr>
        <w:rFonts w:ascii="Arial" w:hAnsi="Arial" w:hint="default"/>
      </w:rPr>
    </w:lvl>
    <w:lvl w:ilvl="4" w:tplc="65D0441A" w:tentative="1">
      <w:start w:val="1"/>
      <w:numFmt w:val="bullet"/>
      <w:lvlText w:val="•"/>
      <w:lvlJc w:val="left"/>
      <w:pPr>
        <w:tabs>
          <w:tab w:val="num" w:pos="3600"/>
        </w:tabs>
        <w:ind w:left="3600" w:hanging="360"/>
      </w:pPr>
      <w:rPr>
        <w:rFonts w:ascii="Arial" w:hAnsi="Arial" w:hint="default"/>
      </w:rPr>
    </w:lvl>
    <w:lvl w:ilvl="5" w:tplc="1CDA5260" w:tentative="1">
      <w:start w:val="1"/>
      <w:numFmt w:val="bullet"/>
      <w:lvlText w:val="•"/>
      <w:lvlJc w:val="left"/>
      <w:pPr>
        <w:tabs>
          <w:tab w:val="num" w:pos="4320"/>
        </w:tabs>
        <w:ind w:left="4320" w:hanging="360"/>
      </w:pPr>
      <w:rPr>
        <w:rFonts w:ascii="Arial" w:hAnsi="Arial" w:hint="default"/>
      </w:rPr>
    </w:lvl>
    <w:lvl w:ilvl="6" w:tplc="8FDECBE8" w:tentative="1">
      <w:start w:val="1"/>
      <w:numFmt w:val="bullet"/>
      <w:lvlText w:val="•"/>
      <w:lvlJc w:val="left"/>
      <w:pPr>
        <w:tabs>
          <w:tab w:val="num" w:pos="5040"/>
        </w:tabs>
        <w:ind w:left="5040" w:hanging="360"/>
      </w:pPr>
      <w:rPr>
        <w:rFonts w:ascii="Arial" w:hAnsi="Arial" w:hint="default"/>
      </w:rPr>
    </w:lvl>
    <w:lvl w:ilvl="7" w:tplc="00647AEA" w:tentative="1">
      <w:start w:val="1"/>
      <w:numFmt w:val="bullet"/>
      <w:lvlText w:val="•"/>
      <w:lvlJc w:val="left"/>
      <w:pPr>
        <w:tabs>
          <w:tab w:val="num" w:pos="5760"/>
        </w:tabs>
        <w:ind w:left="5760" w:hanging="360"/>
      </w:pPr>
      <w:rPr>
        <w:rFonts w:ascii="Arial" w:hAnsi="Arial" w:hint="default"/>
      </w:rPr>
    </w:lvl>
    <w:lvl w:ilvl="8" w:tplc="F2287A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22679"/>
    <w:multiLevelType w:val="hybridMultilevel"/>
    <w:tmpl w:val="4C642158"/>
    <w:lvl w:ilvl="0" w:tplc="7BA287C6">
      <w:start w:val="1"/>
      <w:numFmt w:val="bullet"/>
      <w:lvlText w:val="-"/>
      <w:lvlJc w:val="left"/>
      <w:pPr>
        <w:tabs>
          <w:tab w:val="num" w:pos="720"/>
        </w:tabs>
        <w:ind w:left="720" w:hanging="360"/>
      </w:pPr>
      <w:rPr>
        <w:rFonts w:ascii="Times New Roman" w:hAnsi="Times New Roman" w:hint="default"/>
      </w:rPr>
    </w:lvl>
    <w:lvl w:ilvl="1" w:tplc="4E4E7058" w:tentative="1">
      <w:start w:val="1"/>
      <w:numFmt w:val="bullet"/>
      <w:lvlText w:val="-"/>
      <w:lvlJc w:val="left"/>
      <w:pPr>
        <w:tabs>
          <w:tab w:val="num" w:pos="1440"/>
        </w:tabs>
        <w:ind w:left="1440" w:hanging="360"/>
      </w:pPr>
      <w:rPr>
        <w:rFonts w:ascii="Times New Roman" w:hAnsi="Times New Roman" w:hint="default"/>
      </w:rPr>
    </w:lvl>
    <w:lvl w:ilvl="2" w:tplc="68BA2012" w:tentative="1">
      <w:start w:val="1"/>
      <w:numFmt w:val="bullet"/>
      <w:lvlText w:val="-"/>
      <w:lvlJc w:val="left"/>
      <w:pPr>
        <w:tabs>
          <w:tab w:val="num" w:pos="2160"/>
        </w:tabs>
        <w:ind w:left="2160" w:hanging="360"/>
      </w:pPr>
      <w:rPr>
        <w:rFonts w:ascii="Times New Roman" w:hAnsi="Times New Roman" w:hint="default"/>
      </w:rPr>
    </w:lvl>
    <w:lvl w:ilvl="3" w:tplc="C8FAB922" w:tentative="1">
      <w:start w:val="1"/>
      <w:numFmt w:val="bullet"/>
      <w:lvlText w:val="-"/>
      <w:lvlJc w:val="left"/>
      <w:pPr>
        <w:tabs>
          <w:tab w:val="num" w:pos="2880"/>
        </w:tabs>
        <w:ind w:left="2880" w:hanging="360"/>
      </w:pPr>
      <w:rPr>
        <w:rFonts w:ascii="Times New Roman" w:hAnsi="Times New Roman" w:hint="default"/>
      </w:rPr>
    </w:lvl>
    <w:lvl w:ilvl="4" w:tplc="E6304FAA" w:tentative="1">
      <w:start w:val="1"/>
      <w:numFmt w:val="bullet"/>
      <w:lvlText w:val="-"/>
      <w:lvlJc w:val="left"/>
      <w:pPr>
        <w:tabs>
          <w:tab w:val="num" w:pos="3600"/>
        </w:tabs>
        <w:ind w:left="3600" w:hanging="360"/>
      </w:pPr>
      <w:rPr>
        <w:rFonts w:ascii="Times New Roman" w:hAnsi="Times New Roman" w:hint="default"/>
      </w:rPr>
    </w:lvl>
    <w:lvl w:ilvl="5" w:tplc="99108BF0" w:tentative="1">
      <w:start w:val="1"/>
      <w:numFmt w:val="bullet"/>
      <w:lvlText w:val="-"/>
      <w:lvlJc w:val="left"/>
      <w:pPr>
        <w:tabs>
          <w:tab w:val="num" w:pos="4320"/>
        </w:tabs>
        <w:ind w:left="4320" w:hanging="360"/>
      </w:pPr>
      <w:rPr>
        <w:rFonts w:ascii="Times New Roman" w:hAnsi="Times New Roman" w:hint="default"/>
      </w:rPr>
    </w:lvl>
    <w:lvl w:ilvl="6" w:tplc="DB0E5A08" w:tentative="1">
      <w:start w:val="1"/>
      <w:numFmt w:val="bullet"/>
      <w:lvlText w:val="-"/>
      <w:lvlJc w:val="left"/>
      <w:pPr>
        <w:tabs>
          <w:tab w:val="num" w:pos="5040"/>
        </w:tabs>
        <w:ind w:left="5040" w:hanging="360"/>
      </w:pPr>
      <w:rPr>
        <w:rFonts w:ascii="Times New Roman" w:hAnsi="Times New Roman" w:hint="default"/>
      </w:rPr>
    </w:lvl>
    <w:lvl w:ilvl="7" w:tplc="55FE8224" w:tentative="1">
      <w:start w:val="1"/>
      <w:numFmt w:val="bullet"/>
      <w:lvlText w:val="-"/>
      <w:lvlJc w:val="left"/>
      <w:pPr>
        <w:tabs>
          <w:tab w:val="num" w:pos="5760"/>
        </w:tabs>
        <w:ind w:left="5760" w:hanging="360"/>
      </w:pPr>
      <w:rPr>
        <w:rFonts w:ascii="Times New Roman" w:hAnsi="Times New Roman" w:hint="default"/>
      </w:rPr>
    </w:lvl>
    <w:lvl w:ilvl="8" w:tplc="130AD4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8E4ED3"/>
    <w:multiLevelType w:val="hybridMultilevel"/>
    <w:tmpl w:val="9842C29A"/>
    <w:lvl w:ilvl="0" w:tplc="27E26DBA">
      <w:start w:val="1"/>
      <w:numFmt w:val="lowerLetter"/>
      <w:lvlText w:val="%1)"/>
      <w:lvlJc w:val="left"/>
      <w:pPr>
        <w:ind w:left="2880" w:hanging="360"/>
      </w:pPr>
      <w:rPr>
        <w:rFonts w:ascii="Times New Roman" w:hAnsi="Times New Roman" w:hint="default"/>
        <w:b w:val="0"/>
        <w:i w:val="0"/>
        <w:caps w:val="0"/>
        <w:strike w:val="0"/>
        <w:dstrike w:val="0"/>
        <w:vanish w:val="0"/>
        <w:color w:val="FF0000"/>
        <w:spacing w:val="0"/>
        <w:w w:val="100"/>
        <w:kern w:val="24"/>
        <w:position w:val="0"/>
        <w:sz w:val="24"/>
        <w:vertAlign w:val="baseline"/>
        <w14:ligatures w14:val="none"/>
        <w14:numForm w14:val="default"/>
        <w14:numSpacing w14:val="default"/>
        <w14:stylisticSet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45B32C61"/>
    <w:multiLevelType w:val="hybridMultilevel"/>
    <w:tmpl w:val="975AF0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4FF65C51"/>
    <w:multiLevelType w:val="hybridMultilevel"/>
    <w:tmpl w:val="CAC44A04"/>
    <w:lvl w:ilvl="0" w:tplc="FDB6E4BA">
      <w:start w:val="1"/>
      <w:numFmt w:val="lowerLetter"/>
      <w:lvlText w:val="%1."/>
      <w:lvlJc w:val="left"/>
      <w:pPr>
        <w:tabs>
          <w:tab w:val="num" w:pos="720"/>
        </w:tabs>
        <w:ind w:left="720" w:hanging="360"/>
      </w:pPr>
    </w:lvl>
    <w:lvl w:ilvl="1" w:tplc="6F50E704" w:tentative="1">
      <w:start w:val="1"/>
      <w:numFmt w:val="lowerLetter"/>
      <w:lvlText w:val="%2."/>
      <w:lvlJc w:val="left"/>
      <w:pPr>
        <w:tabs>
          <w:tab w:val="num" w:pos="1440"/>
        </w:tabs>
        <w:ind w:left="1440" w:hanging="360"/>
      </w:pPr>
    </w:lvl>
    <w:lvl w:ilvl="2" w:tplc="0BC2774E" w:tentative="1">
      <w:start w:val="1"/>
      <w:numFmt w:val="lowerLetter"/>
      <w:lvlText w:val="%3."/>
      <w:lvlJc w:val="left"/>
      <w:pPr>
        <w:tabs>
          <w:tab w:val="num" w:pos="2160"/>
        </w:tabs>
        <w:ind w:left="2160" w:hanging="360"/>
      </w:pPr>
    </w:lvl>
    <w:lvl w:ilvl="3" w:tplc="7B26E2CC" w:tentative="1">
      <w:start w:val="1"/>
      <w:numFmt w:val="lowerLetter"/>
      <w:lvlText w:val="%4."/>
      <w:lvlJc w:val="left"/>
      <w:pPr>
        <w:tabs>
          <w:tab w:val="num" w:pos="2880"/>
        </w:tabs>
        <w:ind w:left="2880" w:hanging="360"/>
      </w:pPr>
    </w:lvl>
    <w:lvl w:ilvl="4" w:tplc="4FA28304" w:tentative="1">
      <w:start w:val="1"/>
      <w:numFmt w:val="lowerLetter"/>
      <w:lvlText w:val="%5."/>
      <w:lvlJc w:val="left"/>
      <w:pPr>
        <w:tabs>
          <w:tab w:val="num" w:pos="3600"/>
        </w:tabs>
        <w:ind w:left="3600" w:hanging="360"/>
      </w:pPr>
    </w:lvl>
    <w:lvl w:ilvl="5" w:tplc="CC7EA9D2" w:tentative="1">
      <w:start w:val="1"/>
      <w:numFmt w:val="lowerLetter"/>
      <w:lvlText w:val="%6."/>
      <w:lvlJc w:val="left"/>
      <w:pPr>
        <w:tabs>
          <w:tab w:val="num" w:pos="4320"/>
        </w:tabs>
        <w:ind w:left="4320" w:hanging="360"/>
      </w:pPr>
    </w:lvl>
    <w:lvl w:ilvl="6" w:tplc="5096F14C" w:tentative="1">
      <w:start w:val="1"/>
      <w:numFmt w:val="lowerLetter"/>
      <w:lvlText w:val="%7."/>
      <w:lvlJc w:val="left"/>
      <w:pPr>
        <w:tabs>
          <w:tab w:val="num" w:pos="5040"/>
        </w:tabs>
        <w:ind w:left="5040" w:hanging="360"/>
      </w:pPr>
    </w:lvl>
    <w:lvl w:ilvl="7" w:tplc="80887670" w:tentative="1">
      <w:start w:val="1"/>
      <w:numFmt w:val="lowerLetter"/>
      <w:lvlText w:val="%8."/>
      <w:lvlJc w:val="left"/>
      <w:pPr>
        <w:tabs>
          <w:tab w:val="num" w:pos="5760"/>
        </w:tabs>
        <w:ind w:left="5760" w:hanging="360"/>
      </w:pPr>
    </w:lvl>
    <w:lvl w:ilvl="8" w:tplc="1CD45562" w:tentative="1">
      <w:start w:val="1"/>
      <w:numFmt w:val="lowerLetter"/>
      <w:lvlText w:val="%9."/>
      <w:lvlJc w:val="left"/>
      <w:pPr>
        <w:tabs>
          <w:tab w:val="num" w:pos="6480"/>
        </w:tabs>
        <w:ind w:left="6480" w:hanging="360"/>
      </w:pPr>
    </w:lvl>
  </w:abstractNum>
  <w:abstractNum w:abstractNumId="10" w15:restartNumberingAfterBreak="0">
    <w:nsid w:val="535D700A"/>
    <w:multiLevelType w:val="hybridMultilevel"/>
    <w:tmpl w:val="FAFE749C"/>
    <w:lvl w:ilvl="0" w:tplc="E448608A">
      <w:start w:val="1"/>
      <w:numFmt w:val="lowerLetter"/>
      <w:lvlText w:val="%1."/>
      <w:lvlJc w:val="left"/>
      <w:pPr>
        <w:tabs>
          <w:tab w:val="num" w:pos="720"/>
        </w:tabs>
        <w:ind w:left="720" w:hanging="360"/>
      </w:pPr>
    </w:lvl>
    <w:lvl w:ilvl="1" w:tplc="107EFEEC">
      <w:start w:val="1"/>
      <w:numFmt w:val="lowerRoman"/>
      <w:lvlText w:val="%2."/>
      <w:lvlJc w:val="right"/>
      <w:pPr>
        <w:tabs>
          <w:tab w:val="num" w:pos="1440"/>
        </w:tabs>
        <w:ind w:left="1440" w:hanging="360"/>
      </w:pPr>
    </w:lvl>
    <w:lvl w:ilvl="2" w:tplc="325EC792" w:tentative="1">
      <w:start w:val="1"/>
      <w:numFmt w:val="lowerLetter"/>
      <w:lvlText w:val="%3."/>
      <w:lvlJc w:val="left"/>
      <w:pPr>
        <w:tabs>
          <w:tab w:val="num" w:pos="2160"/>
        </w:tabs>
        <w:ind w:left="2160" w:hanging="360"/>
      </w:pPr>
    </w:lvl>
    <w:lvl w:ilvl="3" w:tplc="B30ED554" w:tentative="1">
      <w:start w:val="1"/>
      <w:numFmt w:val="lowerLetter"/>
      <w:lvlText w:val="%4."/>
      <w:lvlJc w:val="left"/>
      <w:pPr>
        <w:tabs>
          <w:tab w:val="num" w:pos="2880"/>
        </w:tabs>
        <w:ind w:left="2880" w:hanging="360"/>
      </w:pPr>
    </w:lvl>
    <w:lvl w:ilvl="4" w:tplc="79E48010" w:tentative="1">
      <w:start w:val="1"/>
      <w:numFmt w:val="lowerLetter"/>
      <w:lvlText w:val="%5."/>
      <w:lvlJc w:val="left"/>
      <w:pPr>
        <w:tabs>
          <w:tab w:val="num" w:pos="3600"/>
        </w:tabs>
        <w:ind w:left="3600" w:hanging="360"/>
      </w:pPr>
    </w:lvl>
    <w:lvl w:ilvl="5" w:tplc="60C85D12" w:tentative="1">
      <w:start w:val="1"/>
      <w:numFmt w:val="lowerLetter"/>
      <w:lvlText w:val="%6."/>
      <w:lvlJc w:val="left"/>
      <w:pPr>
        <w:tabs>
          <w:tab w:val="num" w:pos="4320"/>
        </w:tabs>
        <w:ind w:left="4320" w:hanging="360"/>
      </w:pPr>
    </w:lvl>
    <w:lvl w:ilvl="6" w:tplc="044C2A96" w:tentative="1">
      <w:start w:val="1"/>
      <w:numFmt w:val="lowerLetter"/>
      <w:lvlText w:val="%7."/>
      <w:lvlJc w:val="left"/>
      <w:pPr>
        <w:tabs>
          <w:tab w:val="num" w:pos="5040"/>
        </w:tabs>
        <w:ind w:left="5040" w:hanging="360"/>
      </w:pPr>
    </w:lvl>
    <w:lvl w:ilvl="7" w:tplc="1D64C4BE" w:tentative="1">
      <w:start w:val="1"/>
      <w:numFmt w:val="lowerLetter"/>
      <w:lvlText w:val="%8."/>
      <w:lvlJc w:val="left"/>
      <w:pPr>
        <w:tabs>
          <w:tab w:val="num" w:pos="5760"/>
        </w:tabs>
        <w:ind w:left="5760" w:hanging="360"/>
      </w:pPr>
    </w:lvl>
    <w:lvl w:ilvl="8" w:tplc="258CE3B8" w:tentative="1">
      <w:start w:val="1"/>
      <w:numFmt w:val="lowerLetter"/>
      <w:lvlText w:val="%9."/>
      <w:lvlJc w:val="left"/>
      <w:pPr>
        <w:tabs>
          <w:tab w:val="num" w:pos="6480"/>
        </w:tabs>
        <w:ind w:left="6480" w:hanging="360"/>
      </w:pPr>
    </w:lvl>
  </w:abstractNum>
  <w:abstractNum w:abstractNumId="11" w15:restartNumberingAfterBreak="0">
    <w:nsid w:val="5CA15906"/>
    <w:multiLevelType w:val="hybridMultilevel"/>
    <w:tmpl w:val="956E49E8"/>
    <w:lvl w:ilvl="0" w:tplc="3C84EFE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E86177E"/>
    <w:multiLevelType w:val="hybridMultilevel"/>
    <w:tmpl w:val="C54803F2"/>
    <w:lvl w:ilvl="0" w:tplc="D4463CE8">
      <w:start w:val="1"/>
      <w:numFmt w:val="bullet"/>
      <w:lvlText w:val="•"/>
      <w:lvlJc w:val="left"/>
      <w:pPr>
        <w:tabs>
          <w:tab w:val="num" w:pos="720"/>
        </w:tabs>
        <w:ind w:left="720" w:hanging="360"/>
      </w:pPr>
      <w:rPr>
        <w:rFonts w:ascii="Arial" w:hAnsi="Arial" w:hint="default"/>
      </w:rPr>
    </w:lvl>
    <w:lvl w:ilvl="1" w:tplc="E4961112" w:tentative="1">
      <w:start w:val="1"/>
      <w:numFmt w:val="bullet"/>
      <w:lvlText w:val="•"/>
      <w:lvlJc w:val="left"/>
      <w:pPr>
        <w:tabs>
          <w:tab w:val="num" w:pos="1440"/>
        </w:tabs>
        <w:ind w:left="1440" w:hanging="360"/>
      </w:pPr>
      <w:rPr>
        <w:rFonts w:ascii="Arial" w:hAnsi="Arial" w:hint="default"/>
      </w:rPr>
    </w:lvl>
    <w:lvl w:ilvl="2" w:tplc="62BAE026" w:tentative="1">
      <w:start w:val="1"/>
      <w:numFmt w:val="bullet"/>
      <w:lvlText w:val="•"/>
      <w:lvlJc w:val="left"/>
      <w:pPr>
        <w:tabs>
          <w:tab w:val="num" w:pos="2160"/>
        </w:tabs>
        <w:ind w:left="2160" w:hanging="360"/>
      </w:pPr>
      <w:rPr>
        <w:rFonts w:ascii="Arial" w:hAnsi="Arial" w:hint="default"/>
      </w:rPr>
    </w:lvl>
    <w:lvl w:ilvl="3" w:tplc="9E52586C" w:tentative="1">
      <w:start w:val="1"/>
      <w:numFmt w:val="bullet"/>
      <w:lvlText w:val="•"/>
      <w:lvlJc w:val="left"/>
      <w:pPr>
        <w:tabs>
          <w:tab w:val="num" w:pos="2880"/>
        </w:tabs>
        <w:ind w:left="2880" w:hanging="360"/>
      </w:pPr>
      <w:rPr>
        <w:rFonts w:ascii="Arial" w:hAnsi="Arial" w:hint="default"/>
      </w:rPr>
    </w:lvl>
    <w:lvl w:ilvl="4" w:tplc="87B812B4" w:tentative="1">
      <w:start w:val="1"/>
      <w:numFmt w:val="bullet"/>
      <w:lvlText w:val="•"/>
      <w:lvlJc w:val="left"/>
      <w:pPr>
        <w:tabs>
          <w:tab w:val="num" w:pos="3600"/>
        </w:tabs>
        <w:ind w:left="3600" w:hanging="360"/>
      </w:pPr>
      <w:rPr>
        <w:rFonts w:ascii="Arial" w:hAnsi="Arial" w:hint="default"/>
      </w:rPr>
    </w:lvl>
    <w:lvl w:ilvl="5" w:tplc="E3CA780A" w:tentative="1">
      <w:start w:val="1"/>
      <w:numFmt w:val="bullet"/>
      <w:lvlText w:val="•"/>
      <w:lvlJc w:val="left"/>
      <w:pPr>
        <w:tabs>
          <w:tab w:val="num" w:pos="4320"/>
        </w:tabs>
        <w:ind w:left="4320" w:hanging="360"/>
      </w:pPr>
      <w:rPr>
        <w:rFonts w:ascii="Arial" w:hAnsi="Arial" w:hint="default"/>
      </w:rPr>
    </w:lvl>
    <w:lvl w:ilvl="6" w:tplc="830861C2" w:tentative="1">
      <w:start w:val="1"/>
      <w:numFmt w:val="bullet"/>
      <w:lvlText w:val="•"/>
      <w:lvlJc w:val="left"/>
      <w:pPr>
        <w:tabs>
          <w:tab w:val="num" w:pos="5040"/>
        </w:tabs>
        <w:ind w:left="5040" w:hanging="360"/>
      </w:pPr>
      <w:rPr>
        <w:rFonts w:ascii="Arial" w:hAnsi="Arial" w:hint="default"/>
      </w:rPr>
    </w:lvl>
    <w:lvl w:ilvl="7" w:tplc="CC72C6A8" w:tentative="1">
      <w:start w:val="1"/>
      <w:numFmt w:val="bullet"/>
      <w:lvlText w:val="•"/>
      <w:lvlJc w:val="left"/>
      <w:pPr>
        <w:tabs>
          <w:tab w:val="num" w:pos="5760"/>
        </w:tabs>
        <w:ind w:left="5760" w:hanging="360"/>
      </w:pPr>
      <w:rPr>
        <w:rFonts w:ascii="Arial" w:hAnsi="Arial" w:hint="default"/>
      </w:rPr>
    </w:lvl>
    <w:lvl w:ilvl="8" w:tplc="9B78EB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16cid:durableId="1073772683">
    <w:abstractNumId w:val="13"/>
  </w:num>
  <w:num w:numId="2" w16cid:durableId="1847744169">
    <w:abstractNumId w:val="8"/>
  </w:num>
  <w:num w:numId="3" w16cid:durableId="1520578762">
    <w:abstractNumId w:val="1"/>
  </w:num>
  <w:num w:numId="4" w16cid:durableId="145631918">
    <w:abstractNumId w:val="4"/>
  </w:num>
  <w:num w:numId="5" w16cid:durableId="17586439">
    <w:abstractNumId w:val="11"/>
  </w:num>
  <w:num w:numId="6" w16cid:durableId="272446149">
    <w:abstractNumId w:val="12"/>
  </w:num>
  <w:num w:numId="7" w16cid:durableId="654258062">
    <w:abstractNumId w:val="5"/>
  </w:num>
  <w:num w:numId="8" w16cid:durableId="1839419878">
    <w:abstractNumId w:val="3"/>
  </w:num>
  <w:num w:numId="9" w16cid:durableId="1382442774">
    <w:abstractNumId w:val="10"/>
  </w:num>
  <w:num w:numId="10" w16cid:durableId="1090738270">
    <w:abstractNumId w:val="0"/>
  </w:num>
  <w:num w:numId="11" w16cid:durableId="377125189">
    <w:abstractNumId w:val="9"/>
  </w:num>
  <w:num w:numId="12" w16cid:durableId="2102287170">
    <w:abstractNumId w:val="2"/>
  </w:num>
  <w:num w:numId="13" w16cid:durableId="687676131">
    <w:abstractNumId w:val="7"/>
  </w:num>
  <w:num w:numId="14" w16cid:durableId="2029141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2"/>
    <w:rsid w:val="000249B2"/>
    <w:rsid w:val="000250BE"/>
    <w:rsid w:val="00025C97"/>
    <w:rsid w:val="0002645E"/>
    <w:rsid w:val="00041FB2"/>
    <w:rsid w:val="00042997"/>
    <w:rsid w:val="0004555B"/>
    <w:rsid w:val="00047194"/>
    <w:rsid w:val="00052455"/>
    <w:rsid w:val="0005629D"/>
    <w:rsid w:val="00064637"/>
    <w:rsid w:val="00074326"/>
    <w:rsid w:val="000769A4"/>
    <w:rsid w:val="00083F79"/>
    <w:rsid w:val="000B0443"/>
    <w:rsid w:val="000D26BA"/>
    <w:rsid w:val="000E1B9F"/>
    <w:rsid w:val="000E2376"/>
    <w:rsid w:val="000E3607"/>
    <w:rsid w:val="000E4E8A"/>
    <w:rsid w:val="000F113A"/>
    <w:rsid w:val="000F31FE"/>
    <w:rsid w:val="00102894"/>
    <w:rsid w:val="00104077"/>
    <w:rsid w:val="0010484D"/>
    <w:rsid w:val="001204CE"/>
    <w:rsid w:val="001231D7"/>
    <w:rsid w:val="001273C1"/>
    <w:rsid w:val="00134CA2"/>
    <w:rsid w:val="00136493"/>
    <w:rsid w:val="001517B1"/>
    <w:rsid w:val="001641BB"/>
    <w:rsid w:val="00171D91"/>
    <w:rsid w:val="001728E0"/>
    <w:rsid w:val="00172CD1"/>
    <w:rsid w:val="00174706"/>
    <w:rsid w:val="00193B46"/>
    <w:rsid w:val="00193EC4"/>
    <w:rsid w:val="001A1D04"/>
    <w:rsid w:val="001A64D1"/>
    <w:rsid w:val="001A70A7"/>
    <w:rsid w:val="001C1CE2"/>
    <w:rsid w:val="001C4FF9"/>
    <w:rsid w:val="001D606D"/>
    <w:rsid w:val="001E11A0"/>
    <w:rsid w:val="001E7D43"/>
    <w:rsid w:val="001F2B6D"/>
    <w:rsid w:val="001F617C"/>
    <w:rsid w:val="00206F9C"/>
    <w:rsid w:val="00215270"/>
    <w:rsid w:val="00222E8D"/>
    <w:rsid w:val="00225CB2"/>
    <w:rsid w:val="00244CCA"/>
    <w:rsid w:val="002464F7"/>
    <w:rsid w:val="002529AE"/>
    <w:rsid w:val="002700C1"/>
    <w:rsid w:val="00282809"/>
    <w:rsid w:val="00285757"/>
    <w:rsid w:val="002A56B4"/>
    <w:rsid w:val="002D1F77"/>
    <w:rsid w:val="002D2E71"/>
    <w:rsid w:val="002D5E0D"/>
    <w:rsid w:val="003074D0"/>
    <w:rsid w:val="0031559C"/>
    <w:rsid w:val="00324427"/>
    <w:rsid w:val="00332E75"/>
    <w:rsid w:val="0033348C"/>
    <w:rsid w:val="00357213"/>
    <w:rsid w:val="003722F1"/>
    <w:rsid w:val="0038195F"/>
    <w:rsid w:val="003850AC"/>
    <w:rsid w:val="00392860"/>
    <w:rsid w:val="00394861"/>
    <w:rsid w:val="003A3212"/>
    <w:rsid w:val="003C59B0"/>
    <w:rsid w:val="003D733F"/>
    <w:rsid w:val="003D7495"/>
    <w:rsid w:val="003E01EB"/>
    <w:rsid w:val="003E5592"/>
    <w:rsid w:val="003F2ECB"/>
    <w:rsid w:val="004060F6"/>
    <w:rsid w:val="00413419"/>
    <w:rsid w:val="00416A1C"/>
    <w:rsid w:val="00422134"/>
    <w:rsid w:val="00426B8A"/>
    <w:rsid w:val="004419D6"/>
    <w:rsid w:val="00442195"/>
    <w:rsid w:val="00445306"/>
    <w:rsid w:val="0047554F"/>
    <w:rsid w:val="00475CCF"/>
    <w:rsid w:val="004904EC"/>
    <w:rsid w:val="004950BE"/>
    <w:rsid w:val="004967D5"/>
    <w:rsid w:val="004B5653"/>
    <w:rsid w:val="004C5B8C"/>
    <w:rsid w:val="004E1EBC"/>
    <w:rsid w:val="004F24A9"/>
    <w:rsid w:val="004F53A0"/>
    <w:rsid w:val="00502AC2"/>
    <w:rsid w:val="005121AA"/>
    <w:rsid w:val="00517F8C"/>
    <w:rsid w:val="00521FBB"/>
    <w:rsid w:val="0052419D"/>
    <w:rsid w:val="00531857"/>
    <w:rsid w:val="00533AEF"/>
    <w:rsid w:val="0053612A"/>
    <w:rsid w:val="00543F60"/>
    <w:rsid w:val="005633CF"/>
    <w:rsid w:val="00581AA9"/>
    <w:rsid w:val="00585E50"/>
    <w:rsid w:val="00596EA4"/>
    <w:rsid w:val="00597A1B"/>
    <w:rsid w:val="005A75AE"/>
    <w:rsid w:val="005B0358"/>
    <w:rsid w:val="005C41B9"/>
    <w:rsid w:val="005C5F46"/>
    <w:rsid w:val="00611B5A"/>
    <w:rsid w:val="0062496C"/>
    <w:rsid w:val="00630F94"/>
    <w:rsid w:val="00641CE3"/>
    <w:rsid w:val="006527BD"/>
    <w:rsid w:val="006559CF"/>
    <w:rsid w:val="00666B79"/>
    <w:rsid w:val="00671D4C"/>
    <w:rsid w:val="00674BC2"/>
    <w:rsid w:val="0068369B"/>
    <w:rsid w:val="00692BA0"/>
    <w:rsid w:val="006970BB"/>
    <w:rsid w:val="006A5FBF"/>
    <w:rsid w:val="006B2A03"/>
    <w:rsid w:val="006B67B4"/>
    <w:rsid w:val="006C5EED"/>
    <w:rsid w:val="006E3AC4"/>
    <w:rsid w:val="00726CDE"/>
    <w:rsid w:val="00734C82"/>
    <w:rsid w:val="00767BC9"/>
    <w:rsid w:val="007716BE"/>
    <w:rsid w:val="0077659A"/>
    <w:rsid w:val="00776D6A"/>
    <w:rsid w:val="00777B6B"/>
    <w:rsid w:val="00786B50"/>
    <w:rsid w:val="007912D9"/>
    <w:rsid w:val="0079290A"/>
    <w:rsid w:val="007947C0"/>
    <w:rsid w:val="007B18D4"/>
    <w:rsid w:val="007D0D4F"/>
    <w:rsid w:val="007E4DE6"/>
    <w:rsid w:val="007E6F80"/>
    <w:rsid w:val="007F4022"/>
    <w:rsid w:val="007F465E"/>
    <w:rsid w:val="00804415"/>
    <w:rsid w:val="00867BDE"/>
    <w:rsid w:val="0087269C"/>
    <w:rsid w:val="0087443D"/>
    <w:rsid w:val="00881702"/>
    <w:rsid w:val="00884B82"/>
    <w:rsid w:val="008878D2"/>
    <w:rsid w:val="0089188E"/>
    <w:rsid w:val="008931EE"/>
    <w:rsid w:val="00893D66"/>
    <w:rsid w:val="008A6133"/>
    <w:rsid w:val="008B4576"/>
    <w:rsid w:val="008B5DE4"/>
    <w:rsid w:val="008C0DDF"/>
    <w:rsid w:val="008D11FE"/>
    <w:rsid w:val="008D1948"/>
    <w:rsid w:val="008E4203"/>
    <w:rsid w:val="008E643B"/>
    <w:rsid w:val="008F76A6"/>
    <w:rsid w:val="008F7E82"/>
    <w:rsid w:val="00901152"/>
    <w:rsid w:val="00902869"/>
    <w:rsid w:val="00915692"/>
    <w:rsid w:val="009355C7"/>
    <w:rsid w:val="0097344F"/>
    <w:rsid w:val="00974205"/>
    <w:rsid w:val="00986C66"/>
    <w:rsid w:val="00991AE6"/>
    <w:rsid w:val="00993086"/>
    <w:rsid w:val="009A74E9"/>
    <w:rsid w:val="009B756A"/>
    <w:rsid w:val="009C1CD2"/>
    <w:rsid w:val="009D63BD"/>
    <w:rsid w:val="00A0159A"/>
    <w:rsid w:val="00A27C3E"/>
    <w:rsid w:val="00A30335"/>
    <w:rsid w:val="00A30C24"/>
    <w:rsid w:val="00A33CDF"/>
    <w:rsid w:val="00A41127"/>
    <w:rsid w:val="00A44E3F"/>
    <w:rsid w:val="00A57B33"/>
    <w:rsid w:val="00A6674E"/>
    <w:rsid w:val="00A8445A"/>
    <w:rsid w:val="00A93FC0"/>
    <w:rsid w:val="00A95C5C"/>
    <w:rsid w:val="00AA2016"/>
    <w:rsid w:val="00AA76AF"/>
    <w:rsid w:val="00AC0561"/>
    <w:rsid w:val="00AD33F1"/>
    <w:rsid w:val="00AD3581"/>
    <w:rsid w:val="00AE2967"/>
    <w:rsid w:val="00AF1E2A"/>
    <w:rsid w:val="00AF34CD"/>
    <w:rsid w:val="00AF6478"/>
    <w:rsid w:val="00B00587"/>
    <w:rsid w:val="00B05D4B"/>
    <w:rsid w:val="00B23677"/>
    <w:rsid w:val="00B31CC9"/>
    <w:rsid w:val="00B321BC"/>
    <w:rsid w:val="00B52DA2"/>
    <w:rsid w:val="00B53471"/>
    <w:rsid w:val="00B551C9"/>
    <w:rsid w:val="00B62A0C"/>
    <w:rsid w:val="00B66039"/>
    <w:rsid w:val="00B66F14"/>
    <w:rsid w:val="00B7091F"/>
    <w:rsid w:val="00B80FAC"/>
    <w:rsid w:val="00B859F6"/>
    <w:rsid w:val="00B93C34"/>
    <w:rsid w:val="00B94A84"/>
    <w:rsid w:val="00BA318E"/>
    <w:rsid w:val="00BA347D"/>
    <w:rsid w:val="00BA69DD"/>
    <w:rsid w:val="00BC2F50"/>
    <w:rsid w:val="00BD41F2"/>
    <w:rsid w:val="00BE0992"/>
    <w:rsid w:val="00BE0C82"/>
    <w:rsid w:val="00BE2E73"/>
    <w:rsid w:val="00C17589"/>
    <w:rsid w:val="00C2095C"/>
    <w:rsid w:val="00C26238"/>
    <w:rsid w:val="00C31BDE"/>
    <w:rsid w:val="00C32AB2"/>
    <w:rsid w:val="00C414B4"/>
    <w:rsid w:val="00C459D8"/>
    <w:rsid w:val="00C60F4A"/>
    <w:rsid w:val="00C63C36"/>
    <w:rsid w:val="00C73CF0"/>
    <w:rsid w:val="00C74102"/>
    <w:rsid w:val="00C75E57"/>
    <w:rsid w:val="00C84FB4"/>
    <w:rsid w:val="00C87944"/>
    <w:rsid w:val="00C9244E"/>
    <w:rsid w:val="00C92E85"/>
    <w:rsid w:val="00CA0329"/>
    <w:rsid w:val="00CA145B"/>
    <w:rsid w:val="00CA1864"/>
    <w:rsid w:val="00CD2E3D"/>
    <w:rsid w:val="00CD5546"/>
    <w:rsid w:val="00D06204"/>
    <w:rsid w:val="00D10BF3"/>
    <w:rsid w:val="00D2152C"/>
    <w:rsid w:val="00D36543"/>
    <w:rsid w:val="00D54414"/>
    <w:rsid w:val="00D62308"/>
    <w:rsid w:val="00D63DD9"/>
    <w:rsid w:val="00D72D98"/>
    <w:rsid w:val="00D76A41"/>
    <w:rsid w:val="00DA330F"/>
    <w:rsid w:val="00DA4E13"/>
    <w:rsid w:val="00DC09A0"/>
    <w:rsid w:val="00DE702E"/>
    <w:rsid w:val="00DE72F4"/>
    <w:rsid w:val="00DF1093"/>
    <w:rsid w:val="00E20A0B"/>
    <w:rsid w:val="00E338C2"/>
    <w:rsid w:val="00E35CD1"/>
    <w:rsid w:val="00E363F3"/>
    <w:rsid w:val="00E43CEC"/>
    <w:rsid w:val="00E526B2"/>
    <w:rsid w:val="00E546C0"/>
    <w:rsid w:val="00E6143F"/>
    <w:rsid w:val="00E70A8C"/>
    <w:rsid w:val="00E72BEC"/>
    <w:rsid w:val="00E77B7D"/>
    <w:rsid w:val="00E839B9"/>
    <w:rsid w:val="00E94196"/>
    <w:rsid w:val="00EB0A95"/>
    <w:rsid w:val="00EB131C"/>
    <w:rsid w:val="00EC66FE"/>
    <w:rsid w:val="00EC7901"/>
    <w:rsid w:val="00F04973"/>
    <w:rsid w:val="00F0786B"/>
    <w:rsid w:val="00F1032F"/>
    <w:rsid w:val="00F2098E"/>
    <w:rsid w:val="00F25524"/>
    <w:rsid w:val="00F32941"/>
    <w:rsid w:val="00F43940"/>
    <w:rsid w:val="00F453B9"/>
    <w:rsid w:val="00F539F6"/>
    <w:rsid w:val="00F739DF"/>
    <w:rsid w:val="00F81E9D"/>
    <w:rsid w:val="00F97CF6"/>
    <w:rsid w:val="00FA03E9"/>
    <w:rsid w:val="00FC67F9"/>
    <w:rsid w:val="00FE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A33"/>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odyText">
    <w:name w:val="Body Text"/>
    <w:basedOn w:val="Normal"/>
    <w:link w:val="BodyTextChar"/>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odyTextChar">
    <w:name w:val="Body Text Char"/>
    <w:basedOn w:val="DefaultParagraphFont"/>
    <w:link w:val="BodyText"/>
    <w:semiHidden/>
    <w:rsid w:val="008D1948"/>
    <w:rPr>
      <w:rFonts w:ascii="BookAntiqua" w:eastAsia="MS Mincho" w:hAnsi="BookAntiqua" w:cs="Times New Roman"/>
      <w:sz w:val="19"/>
      <w:szCs w:val="19"/>
    </w:rPr>
  </w:style>
  <w:style w:type="paragraph" w:styleId="Header">
    <w:name w:val="header"/>
    <w:basedOn w:val="Normal"/>
    <w:link w:val="HeaderChar"/>
    <w:uiPriority w:val="99"/>
    <w:unhideWhenUsed/>
    <w:rsid w:val="00C74102"/>
    <w:pPr>
      <w:tabs>
        <w:tab w:val="center" w:pos="4680"/>
        <w:tab w:val="right" w:pos="9360"/>
      </w:tabs>
    </w:pPr>
  </w:style>
  <w:style w:type="character" w:customStyle="1" w:styleId="HeaderChar">
    <w:name w:val="Header Char"/>
    <w:basedOn w:val="DefaultParagraphFont"/>
    <w:link w:val="Header"/>
    <w:uiPriority w:val="99"/>
    <w:rsid w:val="00C74102"/>
  </w:style>
  <w:style w:type="paragraph" w:styleId="Footer">
    <w:name w:val="footer"/>
    <w:basedOn w:val="Normal"/>
    <w:link w:val="FooterChar"/>
    <w:uiPriority w:val="99"/>
    <w:unhideWhenUsed/>
    <w:rsid w:val="00C74102"/>
    <w:pPr>
      <w:tabs>
        <w:tab w:val="center" w:pos="4680"/>
        <w:tab w:val="right" w:pos="9360"/>
      </w:tabs>
    </w:pPr>
  </w:style>
  <w:style w:type="character" w:customStyle="1" w:styleId="FooterChar">
    <w:name w:val="Footer Char"/>
    <w:basedOn w:val="DefaultParagraphFont"/>
    <w:link w:val="Footer"/>
    <w:uiPriority w:val="99"/>
    <w:rsid w:val="00C74102"/>
  </w:style>
  <w:style w:type="character" w:customStyle="1" w:styleId="ListParagraphChar">
    <w:name w:val="List Paragraph Char"/>
    <w:basedOn w:val="DefaultParagraphFont"/>
    <w:link w:val="ListParagraph"/>
    <w:uiPriority w:val="34"/>
    <w:rsid w:val="00413419"/>
    <w:rPr>
      <w:rFonts w:ascii="Calibri" w:eastAsia="MS Mincho" w:hAnsi="Calibri" w:cs="Times New Roman"/>
      <w:kern w:val="2"/>
      <w:sz w:val="21"/>
      <w:lang w:eastAsia="ja-JP"/>
    </w:rPr>
  </w:style>
  <w:style w:type="character" w:styleId="CommentReference">
    <w:name w:val="annotation reference"/>
    <w:basedOn w:val="DefaultParagraphFont"/>
    <w:uiPriority w:val="99"/>
    <w:semiHidden/>
    <w:unhideWhenUsed/>
    <w:rsid w:val="00E839B9"/>
    <w:rPr>
      <w:sz w:val="16"/>
      <w:szCs w:val="16"/>
    </w:rPr>
  </w:style>
  <w:style w:type="paragraph" w:styleId="CommentText">
    <w:name w:val="annotation text"/>
    <w:basedOn w:val="Normal"/>
    <w:link w:val="CommentTextChar"/>
    <w:uiPriority w:val="99"/>
    <w:semiHidden/>
    <w:unhideWhenUsed/>
    <w:rsid w:val="00E839B9"/>
    <w:rPr>
      <w:sz w:val="20"/>
      <w:szCs w:val="20"/>
    </w:rPr>
  </w:style>
  <w:style w:type="character" w:customStyle="1" w:styleId="CommentTextChar">
    <w:name w:val="Comment Text Char"/>
    <w:basedOn w:val="DefaultParagraphFont"/>
    <w:link w:val="CommentText"/>
    <w:uiPriority w:val="99"/>
    <w:semiHidden/>
    <w:rsid w:val="00E839B9"/>
    <w:rPr>
      <w:sz w:val="20"/>
      <w:szCs w:val="20"/>
    </w:rPr>
  </w:style>
  <w:style w:type="paragraph" w:styleId="CommentSubject">
    <w:name w:val="annotation subject"/>
    <w:basedOn w:val="CommentText"/>
    <w:next w:val="CommentText"/>
    <w:link w:val="CommentSubjectChar"/>
    <w:uiPriority w:val="99"/>
    <w:semiHidden/>
    <w:unhideWhenUsed/>
    <w:rsid w:val="00E839B9"/>
    <w:rPr>
      <w:b/>
      <w:bCs/>
    </w:rPr>
  </w:style>
  <w:style w:type="character" w:customStyle="1" w:styleId="CommentSubjectChar">
    <w:name w:val="Comment Subject Char"/>
    <w:basedOn w:val="CommentTextChar"/>
    <w:link w:val="CommentSubject"/>
    <w:uiPriority w:val="99"/>
    <w:semiHidden/>
    <w:rsid w:val="00E839B9"/>
    <w:rPr>
      <w:b/>
      <w:bCs/>
      <w:sz w:val="20"/>
      <w:szCs w:val="20"/>
    </w:rPr>
  </w:style>
  <w:style w:type="paragraph" w:styleId="BalloonText">
    <w:name w:val="Balloon Text"/>
    <w:basedOn w:val="Normal"/>
    <w:link w:val="BalloonTextChar"/>
    <w:uiPriority w:val="99"/>
    <w:semiHidden/>
    <w:unhideWhenUsed/>
    <w:rsid w:val="00E83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B9"/>
    <w:rPr>
      <w:rFonts w:ascii="Segoe UI" w:hAnsi="Segoe UI" w:cs="Segoe UI"/>
      <w:sz w:val="18"/>
      <w:szCs w:val="18"/>
    </w:rPr>
  </w:style>
  <w:style w:type="paragraph" w:styleId="Revision">
    <w:name w:val="Revision"/>
    <w:hidden/>
    <w:uiPriority w:val="99"/>
    <w:semiHidden/>
    <w:rsid w:val="004419D6"/>
  </w:style>
  <w:style w:type="character" w:styleId="Strong">
    <w:name w:val="Strong"/>
    <w:basedOn w:val="DefaultParagraphFont"/>
    <w:uiPriority w:val="22"/>
    <w:qFormat/>
    <w:rsid w:val="00533AEF"/>
    <w:rPr>
      <w:b/>
      <w:bCs/>
    </w:rPr>
  </w:style>
  <w:style w:type="character" w:styleId="Hyperlink">
    <w:name w:val="Hyperlink"/>
    <w:basedOn w:val="DefaultParagraphFont"/>
    <w:uiPriority w:val="99"/>
    <w:semiHidden/>
    <w:unhideWhenUsed/>
    <w:rsid w:val="0053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08373946">
      <w:bodyDiv w:val="1"/>
      <w:marLeft w:val="0"/>
      <w:marRight w:val="0"/>
      <w:marTop w:val="0"/>
      <w:marBottom w:val="0"/>
      <w:divBdr>
        <w:top w:val="none" w:sz="0" w:space="0" w:color="auto"/>
        <w:left w:val="none" w:sz="0" w:space="0" w:color="auto"/>
        <w:bottom w:val="none" w:sz="0" w:space="0" w:color="auto"/>
        <w:right w:val="none" w:sz="0" w:space="0" w:color="auto"/>
      </w:divBdr>
      <w:divsChild>
        <w:div w:id="558593204">
          <w:marLeft w:val="446"/>
          <w:marRight w:val="0"/>
          <w:marTop w:val="0"/>
          <w:marBottom w:val="120"/>
          <w:divBdr>
            <w:top w:val="none" w:sz="0" w:space="0" w:color="auto"/>
            <w:left w:val="none" w:sz="0" w:space="0" w:color="auto"/>
            <w:bottom w:val="none" w:sz="0" w:space="0" w:color="auto"/>
            <w:right w:val="none" w:sz="0" w:space="0" w:color="auto"/>
          </w:divBdr>
        </w:div>
        <w:div w:id="1799034819">
          <w:marLeft w:val="446"/>
          <w:marRight w:val="0"/>
          <w:marTop w:val="0"/>
          <w:marBottom w:val="120"/>
          <w:divBdr>
            <w:top w:val="none" w:sz="0" w:space="0" w:color="auto"/>
            <w:left w:val="none" w:sz="0" w:space="0" w:color="auto"/>
            <w:bottom w:val="none" w:sz="0" w:space="0" w:color="auto"/>
            <w:right w:val="none" w:sz="0" w:space="0" w:color="auto"/>
          </w:divBdr>
        </w:div>
      </w:divsChild>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771515721">
      <w:bodyDiv w:val="1"/>
      <w:marLeft w:val="0"/>
      <w:marRight w:val="0"/>
      <w:marTop w:val="0"/>
      <w:marBottom w:val="0"/>
      <w:divBdr>
        <w:top w:val="none" w:sz="0" w:space="0" w:color="auto"/>
        <w:left w:val="none" w:sz="0" w:space="0" w:color="auto"/>
        <w:bottom w:val="none" w:sz="0" w:space="0" w:color="auto"/>
        <w:right w:val="none" w:sz="0" w:space="0" w:color="auto"/>
      </w:divBdr>
      <w:divsChild>
        <w:div w:id="1239170753">
          <w:marLeft w:val="547"/>
          <w:marRight w:val="0"/>
          <w:marTop w:val="0"/>
          <w:marBottom w:val="0"/>
          <w:divBdr>
            <w:top w:val="none" w:sz="0" w:space="0" w:color="auto"/>
            <w:left w:val="none" w:sz="0" w:space="0" w:color="auto"/>
            <w:bottom w:val="none" w:sz="0" w:space="0" w:color="auto"/>
            <w:right w:val="none" w:sz="0" w:space="0" w:color="auto"/>
          </w:divBdr>
        </w:div>
        <w:div w:id="783765848">
          <w:marLeft w:val="547"/>
          <w:marRight w:val="0"/>
          <w:marTop w:val="0"/>
          <w:marBottom w:val="0"/>
          <w:divBdr>
            <w:top w:val="none" w:sz="0" w:space="0" w:color="auto"/>
            <w:left w:val="none" w:sz="0" w:space="0" w:color="auto"/>
            <w:bottom w:val="none" w:sz="0" w:space="0" w:color="auto"/>
            <w:right w:val="none" w:sz="0" w:space="0" w:color="auto"/>
          </w:divBdr>
        </w:div>
      </w:divsChild>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536383599">
      <w:bodyDiv w:val="1"/>
      <w:marLeft w:val="0"/>
      <w:marRight w:val="0"/>
      <w:marTop w:val="0"/>
      <w:marBottom w:val="0"/>
      <w:divBdr>
        <w:top w:val="none" w:sz="0" w:space="0" w:color="auto"/>
        <w:left w:val="none" w:sz="0" w:space="0" w:color="auto"/>
        <w:bottom w:val="none" w:sz="0" w:space="0" w:color="auto"/>
        <w:right w:val="none" w:sz="0" w:space="0" w:color="auto"/>
      </w:divBdr>
      <w:divsChild>
        <w:div w:id="967008268">
          <w:marLeft w:val="547"/>
          <w:marRight w:val="792"/>
          <w:marTop w:val="60"/>
          <w:marBottom w:val="6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019236136">
      <w:bodyDiv w:val="1"/>
      <w:marLeft w:val="0"/>
      <w:marRight w:val="0"/>
      <w:marTop w:val="0"/>
      <w:marBottom w:val="0"/>
      <w:divBdr>
        <w:top w:val="none" w:sz="0" w:space="0" w:color="auto"/>
        <w:left w:val="none" w:sz="0" w:space="0" w:color="auto"/>
        <w:bottom w:val="none" w:sz="0" w:space="0" w:color="auto"/>
        <w:right w:val="none" w:sz="0" w:space="0" w:color="auto"/>
      </w:divBdr>
      <w:divsChild>
        <w:div w:id="493254898">
          <w:marLeft w:val="1267"/>
          <w:marRight w:val="706"/>
          <w:marTop w:val="60"/>
          <w:marBottom w:val="60"/>
          <w:divBdr>
            <w:top w:val="none" w:sz="0" w:space="0" w:color="auto"/>
            <w:left w:val="none" w:sz="0" w:space="0" w:color="auto"/>
            <w:bottom w:val="none" w:sz="0" w:space="0" w:color="auto"/>
            <w:right w:val="none" w:sz="0" w:space="0" w:color="auto"/>
          </w:divBdr>
        </w:div>
        <w:div w:id="1295646766">
          <w:marLeft w:val="1267"/>
          <w:marRight w:val="792"/>
          <w:marTop w:val="60"/>
          <w:marBottom w:val="60"/>
          <w:divBdr>
            <w:top w:val="none" w:sz="0" w:space="0" w:color="auto"/>
            <w:left w:val="none" w:sz="0" w:space="0" w:color="auto"/>
            <w:bottom w:val="none" w:sz="0" w:space="0" w:color="auto"/>
            <w:right w:val="none" w:sz="0" w:space="0" w:color="auto"/>
          </w:divBdr>
        </w:div>
      </w:divsChild>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E544-78B1-46A5-9C82-382D432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1742</Words>
  <Characters>9932</Characters>
  <Application>Microsoft Office Word</Application>
  <DocSecurity>0</DocSecurity>
  <Lines>82</Lines>
  <Paragraphs>23</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21</cp:revision>
  <dcterms:created xsi:type="dcterms:W3CDTF">2024-06-01T14:00:00Z</dcterms:created>
  <dcterms:modified xsi:type="dcterms:W3CDTF">2024-06-01T15:14:00Z</dcterms:modified>
</cp:coreProperties>
</file>