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7" w14:textId="77777777" w:rsidR="00F95845" w:rsidRDefault="00F95845" w:rsidP="00777671">
      <w:pPr>
        <w:jc w:val="both"/>
      </w:pPr>
    </w:p>
    <w:p w14:paraId="46DA881B" w14:textId="4F2227E1" w:rsidR="00CB0DFF" w:rsidRPr="00CB0DFF" w:rsidRDefault="00CB0DFF" w:rsidP="00CB0DFF">
      <w:pPr>
        <w:jc w:val="center"/>
        <w:rPr>
          <w:b/>
          <w:bCs/>
        </w:rPr>
      </w:pPr>
      <w:r w:rsidRPr="00CB0DFF">
        <w:rPr>
          <w:b/>
          <w:bCs/>
        </w:rPr>
        <w:t>Terms of Reference of</w:t>
      </w:r>
    </w:p>
    <w:p w14:paraId="768173C9" w14:textId="14705FD9" w:rsidR="00CB0DFF" w:rsidRPr="00CB0DFF" w:rsidRDefault="00CB0DFF" w:rsidP="00CB0DFF">
      <w:pPr>
        <w:jc w:val="center"/>
        <w:rPr>
          <w:b/>
          <w:bCs/>
          <w:u w:val="single"/>
        </w:rPr>
      </w:pPr>
      <w:r w:rsidRPr="00CB0DFF">
        <w:rPr>
          <w:b/>
          <w:bCs/>
        </w:rPr>
        <w:t xml:space="preserve">IHO </w:t>
      </w:r>
      <w:r w:rsidRPr="00CB0DFF">
        <w:rPr>
          <w:b/>
          <w:bCs/>
        </w:rPr>
        <w:t>Fund Generation Project Team (FGPT)</w:t>
      </w:r>
    </w:p>
    <w:p w14:paraId="0000001C" w14:textId="77777777" w:rsidR="00F95845" w:rsidRDefault="00F95845"/>
    <w:p w14:paraId="0000001D" w14:textId="77777777" w:rsidR="00F95845" w:rsidRDefault="00F95845"/>
    <w:p w14:paraId="684F9DD1" w14:textId="51664207" w:rsidR="00CB0DFF" w:rsidRDefault="00F40A1A" w:rsidP="00CB0DFF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CB0DFF">
        <w:rPr>
          <w:b/>
          <w:bCs/>
        </w:rPr>
        <w:t>Objectives</w:t>
      </w:r>
    </w:p>
    <w:p w14:paraId="0A6FA091" w14:textId="77777777" w:rsidR="00CB0DFF" w:rsidRPr="00CB0DFF" w:rsidRDefault="00CB0DFF" w:rsidP="00CB0DFF">
      <w:pPr>
        <w:pStyle w:val="ListParagraph"/>
        <w:jc w:val="both"/>
        <w:rPr>
          <w:b/>
          <w:bCs/>
        </w:rPr>
      </w:pPr>
    </w:p>
    <w:p w14:paraId="0000001E" w14:textId="29A98B3E" w:rsidR="00F95845" w:rsidRDefault="00F40A1A" w:rsidP="00CB0DFF">
      <w:pPr>
        <w:ind w:left="360"/>
        <w:jc w:val="both"/>
      </w:pPr>
      <w:r>
        <w:t>The Project Team for Fund Generation of IHO Projects</w:t>
      </w:r>
      <w:r w:rsidR="006730EE">
        <w:t>’</w:t>
      </w:r>
      <w:r>
        <w:t xml:space="preserve"> Initiatives will explore </w:t>
      </w:r>
      <w:r w:rsidR="00395C8B">
        <w:t>options for</w:t>
      </w:r>
      <w:r>
        <w:t xml:space="preserve"> </w:t>
      </w:r>
      <w:r w:rsidR="006730EE">
        <w:t xml:space="preserve">the </w:t>
      </w:r>
      <w:r>
        <w:t>establishment of</w:t>
      </w:r>
      <w:r w:rsidR="00722A56" w:rsidRPr="00CB0DFF">
        <w:rPr>
          <w:b/>
        </w:rPr>
        <w:t xml:space="preserve"> </w:t>
      </w:r>
      <w:r>
        <w:t>alternative funding</w:t>
      </w:r>
      <w:r w:rsidRPr="00CB0DFF">
        <w:rPr>
          <w:b/>
        </w:rPr>
        <w:t xml:space="preserve"> </w:t>
      </w:r>
      <w:r>
        <w:t xml:space="preserve">for </w:t>
      </w:r>
      <w:r w:rsidR="00395C8B">
        <w:t xml:space="preserve">programmed IHO </w:t>
      </w:r>
      <w:r>
        <w:t>activities</w:t>
      </w:r>
      <w:r w:rsidR="006730EE">
        <w:t>. These activities include</w:t>
      </w:r>
      <w:r>
        <w:t xml:space="preserve"> capacity building</w:t>
      </w:r>
      <w:r w:rsidR="00722A56">
        <w:t xml:space="preserve"> </w:t>
      </w:r>
      <w:r>
        <w:t xml:space="preserve">and a sustainable structure for </w:t>
      </w:r>
      <w:r w:rsidR="006730EE">
        <w:t xml:space="preserve">the </w:t>
      </w:r>
      <w:r>
        <w:t xml:space="preserve">IHO to manage </w:t>
      </w:r>
      <w:r w:rsidR="00395C8B">
        <w:t xml:space="preserve">the operational </w:t>
      </w:r>
      <w:r>
        <w:t>S-100</w:t>
      </w:r>
      <w:r w:rsidR="00395C8B">
        <w:t xml:space="preserve"> infrastructure</w:t>
      </w:r>
      <w:r>
        <w:t>.</w:t>
      </w:r>
    </w:p>
    <w:p w14:paraId="0000001F" w14:textId="77777777" w:rsidR="00F95845" w:rsidRDefault="00F95845" w:rsidP="00777671">
      <w:pPr>
        <w:jc w:val="both"/>
      </w:pPr>
    </w:p>
    <w:p w14:paraId="00000022" w14:textId="77777777" w:rsidR="00F95845" w:rsidRDefault="00F95845" w:rsidP="00777671">
      <w:pPr>
        <w:ind w:left="720"/>
        <w:jc w:val="both"/>
      </w:pPr>
    </w:p>
    <w:p w14:paraId="00000023" w14:textId="3D7D681B" w:rsidR="00F95845" w:rsidRDefault="00722A56" w:rsidP="00777671">
      <w:pPr>
        <w:numPr>
          <w:ilvl w:val="0"/>
          <w:numId w:val="4"/>
        </w:numPr>
        <w:jc w:val="both"/>
      </w:pPr>
      <w:r>
        <w:rPr>
          <w:color w:val="000000"/>
        </w:rPr>
        <w:t>Identify the main IHO projects which would benefit from additional funding from alternative sources</w:t>
      </w:r>
      <w:r w:rsidR="00385DF3">
        <w:t>.</w:t>
      </w:r>
      <w:r w:rsidR="00F40A1A">
        <w:br/>
      </w:r>
    </w:p>
    <w:p w14:paraId="5D9FBB6B" w14:textId="42B05DE0" w:rsidR="007A264C" w:rsidRDefault="00722A56" w:rsidP="007A264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Identify and evaluate options for tactical recurring funding opportunities for each of the projects identified under </w:t>
      </w:r>
      <w:r w:rsidR="00F40A1A">
        <w:rPr>
          <w:color w:val="000000"/>
        </w:rPr>
        <w:t>(</w:t>
      </w:r>
      <w:r>
        <w:rPr>
          <w:color w:val="000000"/>
        </w:rPr>
        <w:t>a</w:t>
      </w:r>
      <w:r w:rsidR="00F40A1A">
        <w:rPr>
          <w:color w:val="000000"/>
        </w:rPr>
        <w:t>)</w:t>
      </w:r>
      <w:r>
        <w:rPr>
          <w:color w:val="000000"/>
        </w:rPr>
        <w:t xml:space="preserve">.  Consideration will be given to funding sources such as RENCs as well as external sources such as multilateral </w:t>
      </w:r>
      <w:r w:rsidR="00395C8B">
        <w:rPr>
          <w:color w:val="000000"/>
        </w:rPr>
        <w:t>organizations</w:t>
      </w:r>
      <w:r>
        <w:rPr>
          <w:color w:val="000000"/>
        </w:rPr>
        <w:t>, commercial partners, philanthropic</w:t>
      </w:r>
      <w:r w:rsidR="00474FEF">
        <w:rPr>
          <w:color w:val="000000"/>
        </w:rPr>
        <w:t xml:space="preserve"> </w:t>
      </w:r>
      <w:r w:rsidR="00395C8B">
        <w:rPr>
          <w:color w:val="000000"/>
        </w:rPr>
        <w:t>organizations</w:t>
      </w:r>
      <w:r>
        <w:rPr>
          <w:color w:val="000000"/>
        </w:rPr>
        <w:t>, etc</w:t>
      </w:r>
      <w:r w:rsidR="00824A68">
        <w:rPr>
          <w:color w:val="000000"/>
        </w:rPr>
        <w:t>.</w:t>
      </w:r>
    </w:p>
    <w:p w14:paraId="73C5C58A" w14:textId="52497B69" w:rsidR="00722A56" w:rsidRPr="00474FEF" w:rsidRDefault="00722A56" w:rsidP="00824A68">
      <w:pPr>
        <w:ind w:left="720"/>
        <w:jc w:val="both"/>
        <w:rPr>
          <w:color w:val="000000"/>
        </w:rPr>
      </w:pPr>
    </w:p>
    <w:p w14:paraId="160F0EC3" w14:textId="77777777" w:rsidR="00824A68" w:rsidRDefault="00722A56" w:rsidP="00777671">
      <w:pPr>
        <w:numPr>
          <w:ilvl w:val="0"/>
          <w:numId w:val="4"/>
        </w:numPr>
        <w:jc w:val="both"/>
        <w:rPr>
          <w:color w:val="000000"/>
        </w:rPr>
      </w:pPr>
      <w:r w:rsidRPr="00722A56">
        <w:rPr>
          <w:color w:val="000000"/>
        </w:rPr>
        <w:t xml:space="preserve">Investigate and identify </w:t>
      </w:r>
      <w:r w:rsidR="00395C8B" w:rsidRPr="00722A56">
        <w:rPr>
          <w:color w:val="000000"/>
        </w:rPr>
        <w:t>organizational</w:t>
      </w:r>
      <w:r w:rsidRPr="00722A56">
        <w:rPr>
          <w:color w:val="000000"/>
        </w:rPr>
        <w:t>, functional and resource requirements and gaps for the various types and/or sources of external funding</w:t>
      </w:r>
      <w:r w:rsidR="00824A68">
        <w:rPr>
          <w:color w:val="000000"/>
        </w:rPr>
        <w:t>.</w:t>
      </w:r>
    </w:p>
    <w:p w14:paraId="5AB5FDF8" w14:textId="77777777" w:rsidR="00824A68" w:rsidRDefault="00824A68" w:rsidP="00824A68">
      <w:pPr>
        <w:pStyle w:val="ListParagraph"/>
        <w:rPr>
          <w:color w:val="000000"/>
        </w:rPr>
      </w:pPr>
    </w:p>
    <w:p w14:paraId="15882F83" w14:textId="77777777" w:rsidR="00824A68" w:rsidRDefault="00722A56" w:rsidP="00777671">
      <w:pPr>
        <w:numPr>
          <w:ilvl w:val="0"/>
          <w:numId w:val="4"/>
        </w:numPr>
        <w:jc w:val="both"/>
        <w:rPr>
          <w:color w:val="000000"/>
        </w:rPr>
      </w:pPr>
      <w:r w:rsidRPr="00F40A1A">
        <w:rPr>
          <w:color w:val="000000"/>
        </w:rPr>
        <w:t xml:space="preserve">Investigate and identify alignment and deviations from IHO rules, </w:t>
      </w:r>
      <w:proofErr w:type="gramStart"/>
      <w:r w:rsidRPr="00F40A1A">
        <w:rPr>
          <w:color w:val="000000"/>
        </w:rPr>
        <w:t>regulations</w:t>
      </w:r>
      <w:proofErr w:type="gramEnd"/>
      <w:r w:rsidRPr="00F40A1A">
        <w:rPr>
          <w:color w:val="000000"/>
        </w:rPr>
        <w:t xml:space="preserve"> and remit for the various types and/or sources of external funding</w:t>
      </w:r>
      <w:r w:rsidR="00824A68">
        <w:rPr>
          <w:color w:val="000000"/>
        </w:rPr>
        <w:t>.</w:t>
      </w:r>
    </w:p>
    <w:p w14:paraId="24938118" w14:textId="77777777" w:rsidR="00824A68" w:rsidRDefault="00824A68" w:rsidP="00824A68">
      <w:pPr>
        <w:pStyle w:val="ListParagraph"/>
        <w:rPr>
          <w:color w:val="000000"/>
        </w:rPr>
      </w:pPr>
    </w:p>
    <w:p w14:paraId="1DF35A50" w14:textId="77777777" w:rsidR="00884BAF" w:rsidRDefault="00F40A1A" w:rsidP="0077767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Investigate and identify </w:t>
      </w:r>
      <w:r w:rsidR="00395C8B">
        <w:rPr>
          <w:color w:val="000000"/>
        </w:rPr>
        <w:t>organizational</w:t>
      </w:r>
      <w:r>
        <w:rPr>
          <w:color w:val="000000"/>
        </w:rPr>
        <w:t xml:space="preserve">, reputational, financial, </w:t>
      </w:r>
      <w:proofErr w:type="gramStart"/>
      <w:r>
        <w:rPr>
          <w:color w:val="000000"/>
        </w:rPr>
        <w:t>legal</w:t>
      </w:r>
      <w:proofErr w:type="gramEnd"/>
      <w:r>
        <w:rPr>
          <w:color w:val="000000"/>
        </w:rPr>
        <w:t xml:space="preserve"> and other risks to the IHO, Member States, beneficiaries and funders</w:t>
      </w:r>
      <w:r w:rsidR="00884BAF">
        <w:rPr>
          <w:color w:val="000000"/>
        </w:rPr>
        <w:t>.</w:t>
      </w:r>
    </w:p>
    <w:p w14:paraId="1BDC66BD" w14:textId="77777777" w:rsidR="00884BAF" w:rsidRDefault="00884BAF" w:rsidP="00884BAF">
      <w:pPr>
        <w:pStyle w:val="ListParagraph"/>
        <w:rPr>
          <w:color w:val="000000"/>
        </w:rPr>
      </w:pPr>
    </w:p>
    <w:p w14:paraId="00000029" w14:textId="7B21CBD1" w:rsidR="00F95845" w:rsidRDefault="00F40A1A" w:rsidP="00777671">
      <w:pPr>
        <w:numPr>
          <w:ilvl w:val="0"/>
          <w:numId w:val="4"/>
        </w:numPr>
        <w:jc w:val="both"/>
      </w:pPr>
      <w:r>
        <w:t xml:space="preserve">Finalize an agreed report of recommendations for </w:t>
      </w:r>
      <w:r w:rsidR="00385DF3">
        <w:t xml:space="preserve">C-9 endorsement and submission to </w:t>
      </w:r>
      <w:r>
        <w:t xml:space="preserve">A4. </w:t>
      </w:r>
    </w:p>
    <w:p w14:paraId="0000002A" w14:textId="77777777" w:rsidR="00F95845" w:rsidRDefault="00F95845" w:rsidP="00777671">
      <w:pPr>
        <w:jc w:val="both"/>
      </w:pPr>
    </w:p>
    <w:p w14:paraId="0000002B" w14:textId="77777777" w:rsidR="00F95845" w:rsidRDefault="00F95845" w:rsidP="00777671">
      <w:pPr>
        <w:jc w:val="both"/>
      </w:pPr>
    </w:p>
    <w:p w14:paraId="0000002C" w14:textId="77777777" w:rsidR="00F95845" w:rsidRPr="00CB0DFF" w:rsidRDefault="00F40A1A" w:rsidP="00777671">
      <w:pPr>
        <w:jc w:val="both"/>
        <w:rPr>
          <w:b/>
          <w:bCs/>
        </w:rPr>
      </w:pPr>
      <w:r w:rsidRPr="00CB0DFF">
        <w:rPr>
          <w:b/>
          <w:bCs/>
        </w:rPr>
        <w:t>2. Authority</w:t>
      </w:r>
    </w:p>
    <w:p w14:paraId="0000002D" w14:textId="77777777" w:rsidR="00F95845" w:rsidRDefault="00F40A1A" w:rsidP="00777671">
      <w:pPr>
        <w:jc w:val="both"/>
      </w:pPr>
      <w:r>
        <w:t xml:space="preserve"> </w:t>
      </w:r>
    </w:p>
    <w:p w14:paraId="0000002E" w14:textId="77777777" w:rsidR="00F95845" w:rsidRDefault="00F40A1A" w:rsidP="00777671">
      <w:pPr>
        <w:numPr>
          <w:ilvl w:val="0"/>
          <w:numId w:val="1"/>
        </w:numPr>
        <w:jc w:val="both"/>
      </w:pPr>
      <w:r>
        <w:t xml:space="preserve">The Project Team’s authority is under the IRCC. Its work is subject to IRCC approval. </w:t>
      </w:r>
    </w:p>
    <w:p w14:paraId="0000002F" w14:textId="77777777" w:rsidR="00F95845" w:rsidRDefault="00F95845" w:rsidP="00777671">
      <w:pPr>
        <w:jc w:val="both"/>
      </w:pPr>
    </w:p>
    <w:p w14:paraId="00000030" w14:textId="77777777" w:rsidR="00F95845" w:rsidRDefault="00F40A1A" w:rsidP="00777671">
      <w:pPr>
        <w:jc w:val="both"/>
      </w:pPr>
      <w:r>
        <w:t xml:space="preserve">3. </w:t>
      </w:r>
      <w:r w:rsidRPr="00CB0DFF">
        <w:rPr>
          <w:b/>
          <w:bCs/>
        </w:rPr>
        <w:t>Composition and Chair</w:t>
      </w:r>
      <w:r>
        <w:t xml:space="preserve"> </w:t>
      </w:r>
    </w:p>
    <w:p w14:paraId="00000031" w14:textId="77777777" w:rsidR="00F95845" w:rsidRDefault="00F95845" w:rsidP="00777671">
      <w:pPr>
        <w:jc w:val="both"/>
      </w:pPr>
    </w:p>
    <w:p w14:paraId="00000032" w14:textId="37592866" w:rsidR="00F95845" w:rsidRDefault="00F40A1A" w:rsidP="00777671">
      <w:pPr>
        <w:numPr>
          <w:ilvl w:val="0"/>
          <w:numId w:val="2"/>
        </w:numPr>
        <w:jc w:val="both"/>
      </w:pPr>
      <w:r>
        <w:t xml:space="preserve">The PT shall comprise representatives of IHO Member </w:t>
      </w:r>
      <w:r w:rsidR="00CB382C">
        <w:t xml:space="preserve">States (MS) with exclusive voting rights within this PT, and </w:t>
      </w:r>
      <w:r>
        <w:t xml:space="preserve">non-Member States </w:t>
      </w:r>
      <w:r w:rsidR="00777671">
        <w:t>(on invitation)</w:t>
      </w:r>
      <w:r>
        <w:t xml:space="preserve">, RENC representatives, and representation as required from the IHO Secretariat. It may include industry participation </w:t>
      </w:r>
      <w:r>
        <w:lastRenderedPageBreak/>
        <w:t>or other subject matter experts (SME) as determined by the PT Chair by invitation only. A membership list shall be maintained and posted on the IHO website</w:t>
      </w:r>
      <w:r w:rsidR="00385DF3">
        <w:t>.</w:t>
      </w:r>
    </w:p>
    <w:p w14:paraId="00000034" w14:textId="77777777" w:rsidR="00F95845" w:rsidRDefault="00F95845" w:rsidP="00777671">
      <w:pPr>
        <w:jc w:val="both"/>
      </w:pPr>
    </w:p>
    <w:p w14:paraId="00000035" w14:textId="77777777" w:rsidR="00F95845" w:rsidRDefault="00F95845" w:rsidP="00777671">
      <w:pPr>
        <w:ind w:left="720"/>
        <w:jc w:val="both"/>
      </w:pPr>
    </w:p>
    <w:p w14:paraId="00000036" w14:textId="77777777" w:rsidR="00F95845" w:rsidRDefault="00F40A1A" w:rsidP="00777671">
      <w:pPr>
        <w:numPr>
          <w:ilvl w:val="0"/>
          <w:numId w:val="2"/>
        </w:numPr>
        <w:jc w:val="both"/>
      </w:pPr>
      <w:r>
        <w:t>The Chair and Vice-Chair shall be a representative of a MS. The election of the Chair and Vice-Chair shall be decided at the first meeting of the PT and shall be determined by vote of the MS present and voting.</w:t>
      </w:r>
    </w:p>
    <w:p w14:paraId="00000037" w14:textId="77777777" w:rsidR="00F95845" w:rsidRDefault="00F95845" w:rsidP="00777671">
      <w:pPr>
        <w:ind w:left="720"/>
        <w:jc w:val="both"/>
      </w:pPr>
    </w:p>
    <w:p w14:paraId="00000038" w14:textId="77777777" w:rsidR="00F95845" w:rsidRDefault="00F40A1A" w:rsidP="00777671">
      <w:pPr>
        <w:numPr>
          <w:ilvl w:val="0"/>
          <w:numId w:val="2"/>
        </w:numPr>
        <w:jc w:val="both"/>
      </w:pPr>
      <w:r>
        <w:t xml:space="preserve"> If a secretary is required, it should normally be drawn from a member of the PT. </w:t>
      </w:r>
    </w:p>
    <w:p w14:paraId="00000039" w14:textId="77777777" w:rsidR="00F95845" w:rsidRDefault="00F95845" w:rsidP="00777671">
      <w:pPr>
        <w:ind w:left="720"/>
        <w:jc w:val="both"/>
      </w:pPr>
    </w:p>
    <w:p w14:paraId="0000003A" w14:textId="77777777" w:rsidR="00F95845" w:rsidRDefault="00F40A1A" w:rsidP="00777671">
      <w:pPr>
        <w:numPr>
          <w:ilvl w:val="0"/>
          <w:numId w:val="2"/>
        </w:numPr>
        <w:jc w:val="both"/>
      </w:pPr>
      <w:r>
        <w:t xml:space="preserve">If the Chair is unable to carry out the duties of the office, the Vice-Chair shall act as the Chair with the same powers and duties. </w:t>
      </w:r>
    </w:p>
    <w:p w14:paraId="0000003B" w14:textId="77777777" w:rsidR="00F95845" w:rsidRDefault="00F95845" w:rsidP="00777671">
      <w:pPr>
        <w:ind w:left="720"/>
        <w:jc w:val="both"/>
      </w:pPr>
    </w:p>
    <w:p w14:paraId="0000003C" w14:textId="77777777" w:rsidR="00F95845" w:rsidRDefault="00F40A1A" w:rsidP="00777671">
      <w:pPr>
        <w:numPr>
          <w:ilvl w:val="0"/>
          <w:numId w:val="2"/>
        </w:numPr>
        <w:jc w:val="both"/>
      </w:pPr>
      <w:r>
        <w:t>SMEs membership should be by invitation from the Chair.</w:t>
      </w:r>
    </w:p>
    <w:p w14:paraId="0000003D" w14:textId="77777777" w:rsidR="00F95845" w:rsidRDefault="00F95845" w:rsidP="00777671">
      <w:pPr>
        <w:ind w:left="720"/>
        <w:jc w:val="both"/>
      </w:pPr>
    </w:p>
    <w:p w14:paraId="0000003E" w14:textId="77777777" w:rsidR="00F95845" w:rsidRDefault="00F40A1A" w:rsidP="00777671">
      <w:pPr>
        <w:numPr>
          <w:ilvl w:val="0"/>
          <w:numId w:val="2"/>
        </w:numPr>
        <w:jc w:val="both"/>
      </w:pPr>
      <w:r>
        <w:t xml:space="preserve"> SME membership may be withdrawn </w:t>
      </w:r>
      <w:proofErr w:type="gramStart"/>
      <w:r>
        <w:t>in the event that</w:t>
      </w:r>
      <w:proofErr w:type="gramEnd"/>
      <w:r>
        <w:t xml:space="preserve"> a majority of the MS represented in the PT agrees that an SME's continued participation is irrelevant or unconstructive to the work of the PT. </w:t>
      </w:r>
    </w:p>
    <w:p w14:paraId="0000003F" w14:textId="77777777" w:rsidR="00F95845" w:rsidRDefault="00F95845" w:rsidP="00777671">
      <w:pPr>
        <w:ind w:left="720"/>
        <w:jc w:val="both"/>
      </w:pPr>
    </w:p>
    <w:p w14:paraId="00000040" w14:textId="77777777" w:rsidR="00F95845" w:rsidRDefault="00F40A1A" w:rsidP="00777671">
      <w:pPr>
        <w:numPr>
          <w:ilvl w:val="0"/>
          <w:numId w:val="2"/>
        </w:numPr>
        <w:jc w:val="both"/>
      </w:pPr>
      <w:r>
        <w:t xml:space="preserve">All members shall inform the Chair in advance of their intention or inability to attend meetings of the PT. </w:t>
      </w:r>
    </w:p>
    <w:p w14:paraId="00000041" w14:textId="77777777" w:rsidR="00F95845" w:rsidRDefault="00F95845" w:rsidP="00777671">
      <w:pPr>
        <w:jc w:val="both"/>
      </w:pPr>
    </w:p>
    <w:p w14:paraId="00000042" w14:textId="77777777" w:rsidR="00F95845" w:rsidRDefault="00F95845" w:rsidP="00777671">
      <w:pPr>
        <w:jc w:val="both"/>
      </w:pPr>
    </w:p>
    <w:p w14:paraId="00000043" w14:textId="77777777" w:rsidR="00F95845" w:rsidRDefault="00F40A1A" w:rsidP="00777671">
      <w:pPr>
        <w:jc w:val="both"/>
      </w:pPr>
      <w:r>
        <w:t xml:space="preserve">4. </w:t>
      </w:r>
      <w:r w:rsidRPr="00CB0DFF">
        <w:rPr>
          <w:b/>
          <w:bCs/>
        </w:rPr>
        <w:t xml:space="preserve">Procedures </w:t>
      </w:r>
    </w:p>
    <w:p w14:paraId="00000044" w14:textId="77777777" w:rsidR="00F95845" w:rsidRDefault="00F95845" w:rsidP="00777671">
      <w:pPr>
        <w:jc w:val="both"/>
      </w:pPr>
    </w:p>
    <w:p w14:paraId="00000045" w14:textId="1DF3280D" w:rsidR="00F95845" w:rsidRDefault="00F40A1A" w:rsidP="00777671">
      <w:pPr>
        <w:numPr>
          <w:ilvl w:val="0"/>
          <w:numId w:val="3"/>
        </w:numPr>
        <w:jc w:val="both"/>
      </w:pPr>
      <w:r>
        <w:t xml:space="preserve">The PT should work </w:t>
      </w:r>
      <w:r w:rsidR="006730EE">
        <w:t>through</w:t>
      </w:r>
      <w:r>
        <w:t xml:space="preserve"> a combination of correspondence, teleconferences, group meetings, and workshops. The PT should meet at least once a year. Meetings should not normally occur later than nine weeks before a meeting of IRCC </w:t>
      </w:r>
      <w:proofErr w:type="gramStart"/>
      <w:r>
        <w:t>in order to</w:t>
      </w:r>
      <w:proofErr w:type="gramEnd"/>
      <w:r>
        <w:t xml:space="preserve"> allow the PT time to prepare reports for the IRCC. Identifying, citing, and explaining case studies should be considered.</w:t>
      </w:r>
    </w:p>
    <w:p w14:paraId="00000046" w14:textId="77777777" w:rsidR="00F95845" w:rsidRDefault="00F95845" w:rsidP="00777671">
      <w:pPr>
        <w:ind w:left="720"/>
        <w:jc w:val="both"/>
      </w:pPr>
    </w:p>
    <w:p w14:paraId="282F2DB4" w14:textId="1454426F" w:rsidR="00EB0865" w:rsidRPr="00EB0865" w:rsidRDefault="00F40A1A" w:rsidP="00777671">
      <w:pPr>
        <w:pStyle w:val="ListParagraph"/>
        <w:numPr>
          <w:ilvl w:val="0"/>
          <w:numId w:val="3"/>
        </w:numPr>
        <w:jc w:val="both"/>
      </w:pPr>
      <w:r>
        <w:t xml:space="preserve">Decisions should generally be made by consensus. If votes are required on issues or to endorse proposals presented to the PT, only </w:t>
      </w:r>
      <w:r w:rsidR="00AB4DC0">
        <w:t xml:space="preserve">IHO </w:t>
      </w:r>
      <w:r>
        <w:t xml:space="preserve">Member States may cast a vote. Votes at meetings shall be </w:t>
      </w:r>
      <w:proofErr w:type="gramStart"/>
      <w:r>
        <w:t>on the basis of</w:t>
      </w:r>
      <w:proofErr w:type="gramEnd"/>
      <w:r>
        <w:t xml:space="preserve"> one vote per Member represented at the meeting. Votes by correspondence shall be </w:t>
      </w:r>
      <w:proofErr w:type="gramStart"/>
      <w:r>
        <w:t>on the basis of</w:t>
      </w:r>
      <w:proofErr w:type="gramEnd"/>
      <w:r>
        <w:t xml:space="preserve"> one vote per Member represented in the PT. </w:t>
      </w:r>
      <w:r w:rsidR="00EB0865" w:rsidRPr="00EB0865">
        <w:t xml:space="preserve">The participation in meeting, either in-person or remotely, two-thirds (2/3) of the Members States of the PT, shall constitute a quorum. A quorum is required in advance before the adoption of any decisions. Decisions shall be adopted by </w:t>
      </w:r>
      <w:proofErr w:type="gramStart"/>
      <w:r w:rsidR="00EB0865" w:rsidRPr="00EB0865">
        <w:t>a majority of</w:t>
      </w:r>
      <w:proofErr w:type="gramEnd"/>
      <w:r w:rsidR="00EB0865" w:rsidRPr="00EB0865">
        <w:t xml:space="preserve"> the Member States participating, with the minimum number of affirmative votes being at least one-third (1/3) of all Member States of the PT.</w:t>
      </w:r>
    </w:p>
    <w:p w14:paraId="1061B407" w14:textId="77777777" w:rsidR="00EB0865" w:rsidRDefault="00EB0865" w:rsidP="00777671">
      <w:pPr>
        <w:ind w:left="720"/>
        <w:jc w:val="both"/>
      </w:pPr>
    </w:p>
    <w:p w14:paraId="00000049" w14:textId="5B0CAD50" w:rsidR="00F95845" w:rsidRDefault="00F40A1A" w:rsidP="00777671">
      <w:pPr>
        <w:numPr>
          <w:ilvl w:val="0"/>
          <w:numId w:val="3"/>
        </w:numPr>
        <w:jc w:val="both"/>
      </w:pPr>
      <w:r>
        <w:t xml:space="preserve">The PT should liaise with the CBSC and HSSC on a regular basis to ensure the relevance of its work for capacity building and standards development. </w:t>
      </w:r>
    </w:p>
    <w:p w14:paraId="0000004A" w14:textId="77777777" w:rsidR="00F95845" w:rsidRDefault="00F95845" w:rsidP="00777671">
      <w:pPr>
        <w:ind w:left="720"/>
        <w:jc w:val="both"/>
      </w:pPr>
    </w:p>
    <w:p w14:paraId="0000004B" w14:textId="77777777" w:rsidR="00F95845" w:rsidRDefault="00F40A1A" w:rsidP="00777671">
      <w:pPr>
        <w:numPr>
          <w:ilvl w:val="0"/>
          <w:numId w:val="3"/>
        </w:numPr>
        <w:jc w:val="both"/>
      </w:pPr>
      <w:r>
        <w:lastRenderedPageBreak/>
        <w:t xml:space="preserve">The PT must report to IRCC on its activities annually. </w:t>
      </w:r>
    </w:p>
    <w:p w14:paraId="0000004C" w14:textId="77777777" w:rsidR="00F95845" w:rsidRDefault="00F95845" w:rsidP="00777671">
      <w:pPr>
        <w:jc w:val="both"/>
      </w:pPr>
    </w:p>
    <w:p w14:paraId="00000069" w14:textId="394D376F" w:rsidR="00F95845" w:rsidRDefault="00F95845" w:rsidP="00777671">
      <w:pPr>
        <w:pBdr>
          <w:left w:val="none" w:sz="0" w:space="22" w:color="auto"/>
        </w:pBdr>
        <w:shd w:val="clear" w:color="auto" w:fill="FFFFFF"/>
        <w:jc w:val="both"/>
        <w:rPr>
          <w:sz w:val="24"/>
          <w:szCs w:val="24"/>
        </w:rPr>
      </w:pPr>
    </w:p>
    <w:sectPr w:rsidR="00F95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A728" w14:textId="77777777" w:rsidR="00CB0DFF" w:rsidRDefault="00CB0DFF" w:rsidP="00CB0DFF">
      <w:pPr>
        <w:spacing w:line="240" w:lineRule="auto"/>
      </w:pPr>
      <w:r>
        <w:separator/>
      </w:r>
    </w:p>
  </w:endnote>
  <w:endnote w:type="continuationSeparator" w:id="0">
    <w:p w14:paraId="33BC4195" w14:textId="77777777" w:rsidR="00CB0DFF" w:rsidRDefault="00CB0DFF" w:rsidP="00CB0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252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56020" w14:textId="0E8C8E7A" w:rsidR="00CB0DFF" w:rsidRDefault="00CB0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A84FB" w14:textId="77777777" w:rsidR="00CB0DFF" w:rsidRDefault="00CB0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AADA" w14:textId="77777777" w:rsidR="00CB0DFF" w:rsidRDefault="00CB0DFF" w:rsidP="00CB0DFF">
      <w:pPr>
        <w:spacing w:line="240" w:lineRule="auto"/>
      </w:pPr>
      <w:r>
        <w:separator/>
      </w:r>
    </w:p>
  </w:footnote>
  <w:footnote w:type="continuationSeparator" w:id="0">
    <w:p w14:paraId="0A74920B" w14:textId="77777777" w:rsidR="00CB0DFF" w:rsidRDefault="00CB0DFF" w:rsidP="00CB0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71346"/>
      <w:docPartObj>
        <w:docPartGallery w:val="Watermarks"/>
        <w:docPartUnique/>
      </w:docPartObj>
    </w:sdtPr>
    <w:sdtContent>
      <w:p w14:paraId="4161477A" w14:textId="473954AC" w:rsidR="00CB0DFF" w:rsidRDefault="00CB0DFF">
        <w:pPr>
          <w:pStyle w:val="Header"/>
        </w:pPr>
        <w:r>
          <w:rPr>
            <w:noProof/>
          </w:rPr>
          <w:pict w14:anchorId="5EF5CD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55"/>
    <w:multiLevelType w:val="hybridMultilevel"/>
    <w:tmpl w:val="1FAED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7AD8"/>
    <w:multiLevelType w:val="multilevel"/>
    <w:tmpl w:val="1CB48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736662"/>
    <w:multiLevelType w:val="multilevel"/>
    <w:tmpl w:val="1B9C78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5556ED"/>
    <w:multiLevelType w:val="multilevel"/>
    <w:tmpl w:val="055C07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DE22E3"/>
    <w:multiLevelType w:val="multilevel"/>
    <w:tmpl w:val="3872B8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524F45"/>
    <w:multiLevelType w:val="multilevel"/>
    <w:tmpl w:val="B17685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673456082">
    <w:abstractNumId w:val="5"/>
  </w:num>
  <w:num w:numId="2" w16cid:durableId="1913662934">
    <w:abstractNumId w:val="4"/>
  </w:num>
  <w:num w:numId="3" w16cid:durableId="985206476">
    <w:abstractNumId w:val="2"/>
  </w:num>
  <w:num w:numId="4" w16cid:durableId="1926569150">
    <w:abstractNumId w:val="3"/>
  </w:num>
  <w:num w:numId="5" w16cid:durableId="343438853">
    <w:abstractNumId w:val="1"/>
  </w:num>
  <w:num w:numId="6" w16cid:durableId="174767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45"/>
    <w:rsid w:val="00043202"/>
    <w:rsid w:val="00385DF3"/>
    <w:rsid w:val="00395C8B"/>
    <w:rsid w:val="003C6412"/>
    <w:rsid w:val="00474FEF"/>
    <w:rsid w:val="006730EE"/>
    <w:rsid w:val="00722A56"/>
    <w:rsid w:val="00777671"/>
    <w:rsid w:val="007A264C"/>
    <w:rsid w:val="00824A68"/>
    <w:rsid w:val="00884BAF"/>
    <w:rsid w:val="008B144F"/>
    <w:rsid w:val="009B44CB"/>
    <w:rsid w:val="00AB0F66"/>
    <w:rsid w:val="00AB4DC0"/>
    <w:rsid w:val="00B03E58"/>
    <w:rsid w:val="00CB0DFF"/>
    <w:rsid w:val="00CB382C"/>
    <w:rsid w:val="00DA58F2"/>
    <w:rsid w:val="00DC23F7"/>
    <w:rsid w:val="00DE4148"/>
    <w:rsid w:val="00EB0865"/>
    <w:rsid w:val="00EE5D8B"/>
    <w:rsid w:val="00F40A1A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3924CB"/>
  <w15:docId w15:val="{0E9C16AC-E9F0-4369-A7A0-F696803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C8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0865"/>
    <w:pPr>
      <w:ind w:left="720"/>
      <w:contextualSpacing/>
    </w:pPr>
  </w:style>
  <w:style w:type="paragraph" w:styleId="Revision">
    <w:name w:val="Revision"/>
    <w:hidden/>
    <w:uiPriority w:val="99"/>
    <w:semiHidden/>
    <w:rsid w:val="00B03E58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0D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FF"/>
  </w:style>
  <w:style w:type="paragraph" w:styleId="Footer">
    <w:name w:val="footer"/>
    <w:basedOn w:val="Normal"/>
    <w:link w:val="FooterChar"/>
    <w:uiPriority w:val="99"/>
    <w:unhideWhenUsed/>
    <w:rsid w:val="00CB0D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312C-8649-4C59-83FF-FB540353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DTech</dc:creator>
  <cp:lastModifiedBy>Thomas Richardson</cp:lastModifiedBy>
  <cp:revision>8</cp:revision>
  <dcterms:created xsi:type="dcterms:W3CDTF">2023-12-12T01:59:00Z</dcterms:created>
  <dcterms:modified xsi:type="dcterms:W3CDTF">2024-04-24T15:42:00Z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45226</vt:lpwstr>
  </property>
  <property fmtid="{D5CDD505-2E9C-101B-9397-08002B2CF9AE}" pid="3" name="SD_IntegrationInfoAdded">
    <vt:bool>true</vt:bool>
  </property>
</Properties>
</file>