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15D8" w14:textId="430CC040" w:rsidR="00E054D3" w:rsidRDefault="00A64232" w:rsidP="00E054D3">
      <w:pPr>
        <w:jc w:val="center"/>
        <w:rPr>
          <w:rFonts w:ascii="Arial" w:hAnsi="Arial" w:cs="Arial"/>
          <w:b/>
          <w:bCs/>
          <w:sz w:val="24"/>
          <w:szCs w:val="24"/>
        </w:rPr>
      </w:pPr>
      <w:r w:rsidRPr="00E67395">
        <w:rPr>
          <w:rFonts w:ascii="Arial" w:eastAsia="Times New Roman" w:hAnsi="Arial" w:cs="Arial"/>
          <w:noProof/>
          <w:sz w:val="14"/>
          <w:szCs w:val="24"/>
        </w:rPr>
        <mc:AlternateContent>
          <mc:Choice Requires="wps">
            <w:drawing>
              <wp:anchor distT="0" distB="0" distL="114300" distR="114300" simplePos="0" relativeHeight="251659264" behindDoc="0" locked="0" layoutInCell="1" allowOverlap="1" wp14:anchorId="5B382373" wp14:editId="13B4E891">
                <wp:simplePos x="0" y="0"/>
                <wp:positionH relativeFrom="column">
                  <wp:posOffset>3848735</wp:posOffset>
                </wp:positionH>
                <wp:positionV relativeFrom="paragraph">
                  <wp:posOffset>-270510</wp:posOffset>
                </wp:positionV>
                <wp:extent cx="2495550" cy="1057275"/>
                <wp:effectExtent l="0" t="0" r="0" b="0"/>
                <wp:wrapNone/>
                <wp:docPr id="7" name="Rectangle 7"/>
                <wp:cNvGraphicFramePr/>
                <a:graphic xmlns:a="http://schemas.openxmlformats.org/drawingml/2006/main">
                  <a:graphicData uri="http://schemas.microsoft.com/office/word/2010/wordprocessingShape">
                    <wps:wsp>
                      <wps:cNvSpPr/>
                      <wps:spPr>
                        <a:xfrm>
                          <a:off x="0" y="0"/>
                          <a:ext cx="2495550" cy="1057275"/>
                        </a:xfrm>
                        <a:prstGeom prst="rect">
                          <a:avLst/>
                        </a:prstGeom>
                        <a:noFill/>
                        <a:ln w="12700" cap="flat" cmpd="sng" algn="ctr">
                          <a:noFill/>
                          <a:prstDash val="solid"/>
                          <a:miter lim="800000"/>
                        </a:ln>
                        <a:effectLst/>
                      </wps:spPr>
                      <wps:txbx>
                        <w:txbxContent>
                          <w:tbl>
                            <w:tblPr>
                              <w:tblStyle w:val="TableGrid1"/>
                              <w:tblW w:w="0" w:type="auto"/>
                              <w:tblLook w:val="04A0" w:firstRow="1" w:lastRow="0" w:firstColumn="1" w:lastColumn="0" w:noHBand="0" w:noVBand="1"/>
                            </w:tblPr>
                            <w:tblGrid>
                              <w:gridCol w:w="3595"/>
                            </w:tblGrid>
                            <w:tr w:rsidR="00A64232" w:rsidRPr="00380544" w14:paraId="342CDCE8" w14:textId="77777777" w:rsidTr="00E67395">
                              <w:trPr>
                                <w:trHeight w:val="683"/>
                              </w:trPr>
                              <w:tc>
                                <w:tcPr>
                                  <w:tcW w:w="3595" w:type="dxa"/>
                                </w:tcPr>
                                <w:p w14:paraId="56E6153B" w14:textId="688C10E2" w:rsidR="00A64232" w:rsidRPr="00E67395" w:rsidRDefault="00A64232" w:rsidP="006C163D">
                                  <w:pPr>
                                    <w:jc w:val="center"/>
                                    <w:rPr>
                                      <w:rFonts w:ascii="Arial" w:hAnsi="Arial" w:cs="Arial"/>
                                      <w:b/>
                                      <w:bCs/>
                                      <w:color w:val="000000"/>
                                      <w:sz w:val="22"/>
                                      <w:szCs w:val="22"/>
                                    </w:rPr>
                                  </w:pPr>
                                  <w:r w:rsidRPr="00E67395">
                                    <w:rPr>
                                      <w:rFonts w:ascii="Arial" w:hAnsi="Arial" w:cs="Arial"/>
                                      <w:b/>
                                      <w:bCs/>
                                      <w:color w:val="000000"/>
                                      <w:sz w:val="22"/>
                                      <w:szCs w:val="22"/>
                                    </w:rPr>
                                    <w:t xml:space="preserve">Annex </w:t>
                                  </w:r>
                                  <w:r>
                                    <w:rPr>
                                      <w:rFonts w:ascii="Arial" w:hAnsi="Arial" w:cs="Arial"/>
                                      <w:b/>
                                      <w:bCs/>
                                      <w:color w:val="000000"/>
                                      <w:sz w:val="22"/>
                                      <w:szCs w:val="22"/>
                                    </w:rPr>
                                    <w:t>B</w:t>
                                  </w:r>
                                </w:p>
                                <w:p w14:paraId="53C94E86" w14:textId="60CF8C02" w:rsidR="00A64232" w:rsidRPr="00E67395" w:rsidRDefault="00A64232" w:rsidP="006C163D">
                                  <w:pPr>
                                    <w:jc w:val="center"/>
                                    <w:rPr>
                                      <w:rFonts w:ascii="Arial" w:hAnsi="Arial" w:cs="Arial"/>
                                      <w:b/>
                                      <w:bCs/>
                                      <w:color w:val="000000"/>
                                      <w:sz w:val="22"/>
                                      <w:szCs w:val="22"/>
                                    </w:rPr>
                                  </w:pPr>
                                  <w:r w:rsidRPr="00E67395">
                                    <w:rPr>
                                      <w:rFonts w:ascii="Arial" w:hAnsi="Arial" w:cs="Arial"/>
                                      <w:b/>
                                      <w:bCs/>
                                      <w:color w:val="000000"/>
                                      <w:sz w:val="22"/>
                                      <w:szCs w:val="22"/>
                                    </w:rPr>
                                    <w:t xml:space="preserve"> C</w:t>
                                  </w:r>
                                  <w:r>
                                    <w:rPr>
                                      <w:rFonts w:ascii="Arial" w:hAnsi="Arial" w:cs="Arial"/>
                                      <w:b/>
                                      <w:bCs/>
                                      <w:color w:val="000000"/>
                                      <w:sz w:val="22"/>
                                      <w:szCs w:val="22"/>
                                    </w:rPr>
                                    <w:t xml:space="preserve">IRCULAR </w:t>
                                  </w:r>
                                  <w:r w:rsidRPr="00E67395">
                                    <w:rPr>
                                      <w:rFonts w:ascii="Arial" w:hAnsi="Arial" w:cs="Arial"/>
                                      <w:b/>
                                      <w:bCs/>
                                      <w:color w:val="000000"/>
                                      <w:sz w:val="22"/>
                                      <w:szCs w:val="22"/>
                                    </w:rPr>
                                    <w:t>L</w:t>
                                  </w:r>
                                  <w:r>
                                    <w:rPr>
                                      <w:rFonts w:ascii="Arial" w:hAnsi="Arial" w:cs="Arial"/>
                                      <w:b/>
                                      <w:bCs/>
                                      <w:color w:val="000000"/>
                                      <w:sz w:val="22"/>
                                      <w:szCs w:val="22"/>
                                    </w:rPr>
                                    <w:t>ETTER</w:t>
                                  </w:r>
                                  <w:r w:rsidRPr="00E67395">
                                    <w:rPr>
                                      <w:rFonts w:ascii="Arial" w:hAnsi="Arial" w:cs="Arial"/>
                                      <w:b/>
                                      <w:bCs/>
                                      <w:color w:val="000000"/>
                                      <w:sz w:val="22"/>
                                      <w:szCs w:val="22"/>
                                    </w:rPr>
                                    <w:t xml:space="preserve"> No </w:t>
                                  </w:r>
                                  <w:r w:rsidR="00153998">
                                    <w:rPr>
                                      <w:rFonts w:ascii="Arial" w:hAnsi="Arial" w:cs="Arial"/>
                                      <w:b/>
                                      <w:bCs/>
                                      <w:color w:val="000000"/>
                                      <w:sz w:val="22"/>
                                      <w:szCs w:val="22"/>
                                    </w:rPr>
                                    <w:t>2</w:t>
                                  </w:r>
                                  <w:r w:rsidRPr="00E67395">
                                    <w:rPr>
                                      <w:rFonts w:ascii="Arial" w:hAnsi="Arial" w:cs="Arial"/>
                                      <w:b/>
                                      <w:bCs/>
                                      <w:color w:val="000000"/>
                                      <w:sz w:val="22"/>
                                      <w:szCs w:val="22"/>
                                    </w:rPr>
                                    <w:t>/202</w:t>
                                  </w:r>
                                  <w:r>
                                    <w:rPr>
                                      <w:rFonts w:ascii="Arial" w:hAnsi="Arial" w:cs="Arial"/>
                                      <w:b/>
                                      <w:bCs/>
                                      <w:color w:val="000000"/>
                                      <w:sz w:val="22"/>
                                      <w:szCs w:val="22"/>
                                    </w:rPr>
                                    <w:t>4</w:t>
                                  </w:r>
                                </w:p>
                                <w:p w14:paraId="6CD65F91" w14:textId="78EB5F18" w:rsidR="00A64232" w:rsidRDefault="00153998" w:rsidP="006C163D">
                                  <w:pPr>
                                    <w:jc w:val="center"/>
                                    <w:rPr>
                                      <w:rFonts w:ascii="Arial" w:hAnsi="Arial" w:cs="Arial"/>
                                      <w:b/>
                                      <w:bCs/>
                                      <w:color w:val="000000"/>
                                      <w:sz w:val="22"/>
                                      <w:szCs w:val="22"/>
                                    </w:rPr>
                                  </w:pPr>
                                  <w:r>
                                    <w:rPr>
                                      <w:rFonts w:ascii="Arial" w:hAnsi="Arial" w:cs="Arial"/>
                                      <w:b/>
                                      <w:bCs/>
                                      <w:color w:val="000000"/>
                                      <w:sz w:val="22"/>
                                      <w:szCs w:val="22"/>
                                    </w:rPr>
                                    <w:t xml:space="preserve">27th </w:t>
                                  </w:r>
                                  <w:r w:rsidR="00A64232">
                                    <w:rPr>
                                      <w:rFonts w:ascii="Arial" w:hAnsi="Arial" w:cs="Arial"/>
                                      <w:b/>
                                      <w:bCs/>
                                      <w:color w:val="000000"/>
                                      <w:sz w:val="22"/>
                                      <w:szCs w:val="22"/>
                                    </w:rPr>
                                    <w:t>February 2024</w:t>
                                  </w:r>
                                </w:p>
                                <w:p w14:paraId="771D254C" w14:textId="77777777" w:rsidR="00A64232" w:rsidRPr="00E67395" w:rsidRDefault="00A64232" w:rsidP="006C163D">
                                  <w:pPr>
                                    <w:jc w:val="center"/>
                                    <w:rPr>
                                      <w:rFonts w:cs="Calibri"/>
                                      <w:b/>
                                      <w:bCs/>
                                      <w:color w:val="000000"/>
                                      <w:sz w:val="10"/>
                                      <w:szCs w:val="10"/>
                                    </w:rPr>
                                  </w:pPr>
                                </w:p>
                              </w:tc>
                            </w:tr>
                          </w:tbl>
                          <w:p w14:paraId="38237358" w14:textId="77777777" w:rsidR="00A64232" w:rsidRPr="00E67395" w:rsidRDefault="00A64232" w:rsidP="00A64232">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82373" id="Rectangle 7" o:spid="_x0000_s1026" style="position:absolute;left:0;text-align:left;margin-left:303.05pt;margin-top:-21.3pt;width:196.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" filled="f" stroked="f" strokeweight="1pt">
                <v:textbox>
                  <w:txbxContent>
                    <w:tbl>
                      <w:tblPr>
                        <w:tblStyle w:val="TableGrid1"/>
                        <w:tblW w:w="0" w:type="auto"/>
                        <w:tblLook w:val="04A0" w:firstRow="1" w:lastRow="0" w:firstColumn="1" w:lastColumn="0" w:noHBand="0" w:noVBand="1"/>
                      </w:tblPr>
                      <w:tblGrid>
                        <w:gridCol w:w="3595"/>
                      </w:tblGrid>
                      <w:tr w:rsidR="00A64232" w:rsidRPr="00380544" w14:paraId="342CDCE8" w14:textId="77777777" w:rsidTr="00E67395">
                        <w:trPr>
                          <w:trHeight w:val="683"/>
                        </w:trPr>
                        <w:tc>
                          <w:tcPr>
                            <w:tcW w:w="3595" w:type="dxa"/>
                          </w:tcPr>
                          <w:p w14:paraId="56E6153B" w14:textId="688C10E2" w:rsidR="00A64232" w:rsidRPr="00E67395" w:rsidRDefault="00A64232" w:rsidP="006C163D">
                            <w:pPr>
                              <w:jc w:val="center"/>
                              <w:rPr>
                                <w:rFonts w:ascii="Arial" w:hAnsi="Arial" w:cs="Arial"/>
                                <w:b/>
                                <w:bCs/>
                                <w:color w:val="000000"/>
                                <w:sz w:val="22"/>
                                <w:szCs w:val="22"/>
                              </w:rPr>
                            </w:pPr>
                            <w:r w:rsidRPr="00E67395">
                              <w:rPr>
                                <w:rFonts w:ascii="Arial" w:hAnsi="Arial" w:cs="Arial"/>
                                <w:b/>
                                <w:bCs/>
                                <w:color w:val="000000"/>
                                <w:sz w:val="22"/>
                                <w:szCs w:val="22"/>
                              </w:rPr>
                              <w:t xml:space="preserve">Annex </w:t>
                            </w:r>
                            <w:r>
                              <w:rPr>
                                <w:rFonts w:ascii="Arial" w:hAnsi="Arial" w:cs="Arial"/>
                                <w:b/>
                                <w:bCs/>
                                <w:color w:val="000000"/>
                                <w:sz w:val="22"/>
                                <w:szCs w:val="22"/>
                              </w:rPr>
                              <w:t>B</w:t>
                            </w:r>
                          </w:p>
                          <w:p w14:paraId="53C94E86" w14:textId="60CF8C02" w:rsidR="00A64232" w:rsidRPr="00E67395" w:rsidRDefault="00A64232" w:rsidP="006C163D">
                            <w:pPr>
                              <w:jc w:val="center"/>
                              <w:rPr>
                                <w:rFonts w:ascii="Arial" w:hAnsi="Arial" w:cs="Arial"/>
                                <w:b/>
                                <w:bCs/>
                                <w:color w:val="000000"/>
                                <w:sz w:val="22"/>
                                <w:szCs w:val="22"/>
                              </w:rPr>
                            </w:pPr>
                            <w:r w:rsidRPr="00E67395">
                              <w:rPr>
                                <w:rFonts w:ascii="Arial" w:hAnsi="Arial" w:cs="Arial"/>
                                <w:b/>
                                <w:bCs/>
                                <w:color w:val="000000"/>
                                <w:sz w:val="22"/>
                                <w:szCs w:val="22"/>
                              </w:rPr>
                              <w:t xml:space="preserve"> C</w:t>
                            </w:r>
                            <w:r>
                              <w:rPr>
                                <w:rFonts w:ascii="Arial" w:hAnsi="Arial" w:cs="Arial"/>
                                <w:b/>
                                <w:bCs/>
                                <w:color w:val="000000"/>
                                <w:sz w:val="22"/>
                                <w:szCs w:val="22"/>
                              </w:rPr>
                              <w:t xml:space="preserve">IRCULAR </w:t>
                            </w:r>
                            <w:r w:rsidRPr="00E67395">
                              <w:rPr>
                                <w:rFonts w:ascii="Arial" w:hAnsi="Arial" w:cs="Arial"/>
                                <w:b/>
                                <w:bCs/>
                                <w:color w:val="000000"/>
                                <w:sz w:val="22"/>
                                <w:szCs w:val="22"/>
                              </w:rPr>
                              <w:t>L</w:t>
                            </w:r>
                            <w:r>
                              <w:rPr>
                                <w:rFonts w:ascii="Arial" w:hAnsi="Arial" w:cs="Arial"/>
                                <w:b/>
                                <w:bCs/>
                                <w:color w:val="000000"/>
                                <w:sz w:val="22"/>
                                <w:szCs w:val="22"/>
                              </w:rPr>
                              <w:t>ETTER</w:t>
                            </w:r>
                            <w:r w:rsidRPr="00E67395">
                              <w:rPr>
                                <w:rFonts w:ascii="Arial" w:hAnsi="Arial" w:cs="Arial"/>
                                <w:b/>
                                <w:bCs/>
                                <w:color w:val="000000"/>
                                <w:sz w:val="22"/>
                                <w:szCs w:val="22"/>
                              </w:rPr>
                              <w:t xml:space="preserve"> No </w:t>
                            </w:r>
                            <w:r w:rsidR="00153998">
                              <w:rPr>
                                <w:rFonts w:ascii="Arial" w:hAnsi="Arial" w:cs="Arial"/>
                                <w:b/>
                                <w:bCs/>
                                <w:color w:val="000000"/>
                                <w:sz w:val="22"/>
                                <w:szCs w:val="22"/>
                              </w:rPr>
                              <w:t>2</w:t>
                            </w:r>
                            <w:r w:rsidRPr="00E67395">
                              <w:rPr>
                                <w:rFonts w:ascii="Arial" w:hAnsi="Arial" w:cs="Arial"/>
                                <w:b/>
                                <w:bCs/>
                                <w:color w:val="000000"/>
                                <w:sz w:val="22"/>
                                <w:szCs w:val="22"/>
                              </w:rPr>
                              <w:t>/202</w:t>
                            </w:r>
                            <w:r>
                              <w:rPr>
                                <w:rFonts w:ascii="Arial" w:hAnsi="Arial" w:cs="Arial"/>
                                <w:b/>
                                <w:bCs/>
                                <w:color w:val="000000"/>
                                <w:sz w:val="22"/>
                                <w:szCs w:val="22"/>
                              </w:rPr>
                              <w:t>4</w:t>
                            </w:r>
                          </w:p>
                          <w:p w14:paraId="6CD65F91" w14:textId="78EB5F18" w:rsidR="00A64232" w:rsidRDefault="00153998" w:rsidP="006C163D">
                            <w:pPr>
                              <w:jc w:val="center"/>
                              <w:rPr>
                                <w:rFonts w:ascii="Arial" w:hAnsi="Arial" w:cs="Arial"/>
                                <w:b/>
                                <w:bCs/>
                                <w:color w:val="000000"/>
                                <w:sz w:val="22"/>
                                <w:szCs w:val="22"/>
                              </w:rPr>
                            </w:pPr>
                            <w:r>
                              <w:rPr>
                                <w:rFonts w:ascii="Arial" w:hAnsi="Arial" w:cs="Arial"/>
                                <w:b/>
                                <w:bCs/>
                                <w:color w:val="000000"/>
                                <w:sz w:val="22"/>
                                <w:szCs w:val="22"/>
                              </w:rPr>
                              <w:t xml:space="preserve">27th </w:t>
                            </w:r>
                            <w:r w:rsidR="00A64232">
                              <w:rPr>
                                <w:rFonts w:ascii="Arial" w:hAnsi="Arial" w:cs="Arial"/>
                                <w:b/>
                                <w:bCs/>
                                <w:color w:val="000000"/>
                                <w:sz w:val="22"/>
                                <w:szCs w:val="22"/>
                              </w:rPr>
                              <w:t>February 2024</w:t>
                            </w:r>
                          </w:p>
                          <w:p w14:paraId="771D254C" w14:textId="77777777" w:rsidR="00A64232" w:rsidRPr="00E67395" w:rsidRDefault="00A64232" w:rsidP="006C163D">
                            <w:pPr>
                              <w:jc w:val="center"/>
                              <w:rPr>
                                <w:rFonts w:cs="Calibri"/>
                                <w:b/>
                                <w:bCs/>
                                <w:color w:val="000000"/>
                                <w:sz w:val="10"/>
                                <w:szCs w:val="10"/>
                              </w:rPr>
                            </w:pPr>
                          </w:p>
                        </w:tc>
                      </w:tr>
                    </w:tbl>
                    <w:p w14:paraId="38237358" w14:textId="77777777" w:rsidR="00A64232" w:rsidRPr="00E67395" w:rsidRDefault="00A64232" w:rsidP="00A64232">
                      <w:pPr>
                        <w:jc w:val="center"/>
                        <w:rPr>
                          <w:color w:val="000000"/>
                        </w:rPr>
                      </w:pPr>
                    </w:p>
                  </w:txbxContent>
                </v:textbox>
              </v:rect>
            </w:pict>
          </mc:Fallback>
        </mc:AlternateContent>
      </w:r>
    </w:p>
    <w:p w14:paraId="08B9B1C9" w14:textId="77777777" w:rsidR="00A64232" w:rsidRPr="00E054D3" w:rsidRDefault="00A64232" w:rsidP="00E054D3">
      <w:pPr>
        <w:jc w:val="center"/>
        <w:rPr>
          <w:rFonts w:ascii="Arial" w:hAnsi="Arial" w:cs="Arial"/>
          <w:b/>
          <w:bCs/>
          <w:sz w:val="24"/>
          <w:szCs w:val="24"/>
        </w:rPr>
      </w:pPr>
    </w:p>
    <w:p w14:paraId="4F99D876" w14:textId="7BC77A1C" w:rsidR="00BF5EE7" w:rsidRPr="00E054D3" w:rsidRDefault="00E054D3" w:rsidP="00E054D3">
      <w:pPr>
        <w:jc w:val="center"/>
        <w:rPr>
          <w:rFonts w:ascii="Arial" w:hAnsi="Arial" w:cs="Arial"/>
          <w:b/>
          <w:bCs/>
          <w:sz w:val="24"/>
          <w:szCs w:val="24"/>
        </w:rPr>
      </w:pPr>
      <w:r w:rsidRPr="00E054D3">
        <w:rPr>
          <w:rFonts w:ascii="Arial" w:hAnsi="Arial" w:cs="Arial"/>
          <w:b/>
          <w:bCs/>
          <w:sz w:val="24"/>
          <w:szCs w:val="24"/>
        </w:rPr>
        <w:t xml:space="preserve">EAHC Statutes Review </w:t>
      </w:r>
      <w:r w:rsidR="00AD6994">
        <w:rPr>
          <w:rFonts w:ascii="Arial" w:hAnsi="Arial" w:cs="Arial"/>
          <w:b/>
          <w:bCs/>
          <w:sz w:val="24"/>
          <w:szCs w:val="24"/>
        </w:rPr>
        <w:t>d</w:t>
      </w:r>
      <w:r w:rsidRPr="00E054D3">
        <w:rPr>
          <w:rFonts w:ascii="Arial" w:hAnsi="Arial" w:cs="Arial"/>
          <w:b/>
          <w:bCs/>
          <w:sz w:val="24"/>
          <w:szCs w:val="24"/>
        </w:rPr>
        <w:t>urin</w:t>
      </w:r>
      <w:r w:rsidR="00A64232">
        <w:rPr>
          <w:rFonts w:ascii="Arial" w:hAnsi="Arial" w:cs="Arial"/>
          <w:b/>
          <w:bCs/>
          <w:sz w:val="24"/>
          <w:szCs w:val="24"/>
        </w:rPr>
        <w:t>g t</w:t>
      </w:r>
      <w:r w:rsidRPr="00E054D3">
        <w:rPr>
          <w:rFonts w:ascii="Arial" w:hAnsi="Arial" w:cs="Arial"/>
          <w:b/>
          <w:bCs/>
          <w:sz w:val="24"/>
          <w:szCs w:val="24"/>
        </w:rPr>
        <w:t>he 9th EAHC Meeting 2023</w:t>
      </w:r>
    </w:p>
    <w:p w14:paraId="68DFD1C2" w14:textId="77777777" w:rsidR="00E054D3" w:rsidRDefault="00E054D3" w:rsidP="00E054D3">
      <w:pPr>
        <w:jc w:val="center"/>
        <w:rPr>
          <w:rFonts w:ascii="Arial" w:hAnsi="Arial" w:cs="Arial"/>
          <w:b/>
          <w:bCs/>
        </w:rPr>
      </w:pPr>
    </w:p>
    <w:p w14:paraId="358D95E1" w14:textId="5BE06F5C" w:rsidR="00E054D3" w:rsidRDefault="00E054D3" w:rsidP="00E054D3">
      <w:pPr>
        <w:jc w:val="center"/>
        <w:rPr>
          <w:rFonts w:ascii="Arial" w:hAnsi="Arial" w:cs="Arial"/>
          <w:b/>
          <w:bCs/>
          <w:lang w:val="en-MY"/>
        </w:rPr>
      </w:pPr>
      <w:r w:rsidRPr="00E054D3">
        <w:rPr>
          <w:rFonts w:ascii="Arial" w:hAnsi="Arial" w:cs="Arial"/>
          <w:b/>
          <w:bCs/>
        </w:rPr>
        <w:t>Locality (Article I.1)</w:t>
      </w:r>
    </w:p>
    <w:p w14:paraId="668B26AA" w14:textId="0C15A5FD" w:rsidR="00E054D3" w:rsidRPr="00E054D3" w:rsidRDefault="00E054D3" w:rsidP="00E054D3">
      <w:pPr>
        <w:jc w:val="both"/>
        <w:rPr>
          <w:rFonts w:ascii="Arial" w:hAnsi="Arial" w:cs="Arial"/>
          <w:b/>
          <w:bCs/>
        </w:rPr>
      </w:pPr>
      <w:r w:rsidRPr="00E054D3">
        <w:rPr>
          <w:rFonts w:ascii="Arial" w:hAnsi="Arial" w:cs="Arial"/>
          <w:b/>
          <w:bCs/>
          <w:lang w:val="en-MY"/>
        </w:rPr>
        <w:t xml:space="preserve">Recommendation - </w:t>
      </w:r>
      <w:r w:rsidRPr="00E054D3">
        <w:rPr>
          <w:rFonts w:ascii="Arial" w:hAnsi="Arial" w:cs="Arial"/>
          <w:lang w:val="en-MY"/>
        </w:rPr>
        <w:t>The East Asia Hydrographic Commission (hereinafter referred to as "the Commission") shall be placed within the framework of the International Hydrographic Organization (hereinafter referred to as "the IHO"), and shall be a regional hydrographic commission which shall be composed of the Hydrographers of the countries bordering the Northwest Pacific Ocean, Japan Sea, Yellow Sea, Eastern China Sea, South China Sea, Philippine Sea, Malacca Strait, Northeaster Indian Ocean and adjacent waters defined as Region ‘K’ (hereinafter referred to as "the region") in IHO INT charting scheme.</w:t>
      </w:r>
    </w:p>
    <w:p w14:paraId="0357372E" w14:textId="77777777" w:rsidR="00E054D3" w:rsidRDefault="00E054D3" w:rsidP="00E054D3">
      <w:pPr>
        <w:jc w:val="both"/>
        <w:rPr>
          <w:rFonts w:ascii="Arial" w:hAnsi="Arial" w:cs="Arial"/>
          <w:lang w:val="en-MY"/>
        </w:rPr>
      </w:pPr>
      <w:r w:rsidRPr="00E054D3">
        <w:rPr>
          <w:rFonts w:ascii="Arial" w:hAnsi="Arial" w:cs="Arial"/>
          <w:b/>
          <w:bCs/>
          <w:lang w:val="en-MY"/>
        </w:rPr>
        <w:t xml:space="preserve">Decision – </w:t>
      </w:r>
      <w:r w:rsidRPr="00E054D3">
        <w:rPr>
          <w:rFonts w:ascii="Arial" w:hAnsi="Arial" w:cs="Arial"/>
          <w:lang w:val="en-MY"/>
        </w:rPr>
        <w:t xml:space="preserve">Meeting agreed with this recommendation. </w:t>
      </w:r>
      <w:r w:rsidRPr="00E054D3">
        <w:rPr>
          <w:rFonts w:ascii="Arial" w:hAnsi="Arial" w:cs="Arial"/>
        </w:rPr>
        <w:t>EAHC Secretariat will circulate the amendments to all member states.</w:t>
      </w:r>
      <w:r w:rsidRPr="00E054D3">
        <w:rPr>
          <w:rFonts w:ascii="Arial" w:hAnsi="Arial" w:cs="Arial"/>
          <w:lang w:val="en-MY"/>
        </w:rPr>
        <w:t xml:space="preserve"> (9</w:t>
      </w:r>
      <w:r w:rsidRPr="00E054D3">
        <w:rPr>
          <w:rFonts w:ascii="Arial" w:hAnsi="Arial" w:cs="Arial"/>
          <w:vertAlign w:val="superscript"/>
          <w:lang w:val="en-MY"/>
        </w:rPr>
        <w:t>th</w:t>
      </w:r>
      <w:r w:rsidRPr="00E054D3">
        <w:rPr>
          <w:rFonts w:ascii="Arial" w:hAnsi="Arial" w:cs="Arial"/>
          <w:lang w:val="en-MY"/>
        </w:rPr>
        <w:t xml:space="preserve"> EAHC Minutes Of Meeting).</w:t>
      </w:r>
    </w:p>
    <w:p w14:paraId="7F087573" w14:textId="77777777" w:rsidR="00E054D3" w:rsidRPr="00E054D3" w:rsidRDefault="00E054D3" w:rsidP="00E054D3">
      <w:pPr>
        <w:jc w:val="both"/>
        <w:rPr>
          <w:rFonts w:ascii="Arial" w:hAnsi="Arial" w:cs="Arial"/>
        </w:rPr>
      </w:pPr>
    </w:p>
    <w:p w14:paraId="47CD473B" w14:textId="77777777" w:rsidR="00E054D3" w:rsidRPr="00E054D3" w:rsidRDefault="00E054D3" w:rsidP="00E054D3">
      <w:pPr>
        <w:jc w:val="center"/>
        <w:rPr>
          <w:rFonts w:ascii="Arial" w:hAnsi="Arial" w:cs="Arial"/>
          <w:b/>
          <w:bCs/>
        </w:rPr>
      </w:pPr>
      <w:r w:rsidRPr="00E054D3">
        <w:rPr>
          <w:rFonts w:ascii="Arial" w:hAnsi="Arial" w:cs="Arial"/>
          <w:b/>
          <w:bCs/>
        </w:rPr>
        <w:t>Nature of the Commission (Article I.2)</w:t>
      </w:r>
    </w:p>
    <w:p w14:paraId="1A203A6B" w14:textId="77777777" w:rsidR="00E054D3" w:rsidRPr="00E054D3" w:rsidRDefault="00E054D3" w:rsidP="00E054D3">
      <w:pPr>
        <w:jc w:val="both"/>
        <w:rPr>
          <w:rFonts w:ascii="Arial" w:hAnsi="Arial" w:cs="Arial"/>
        </w:rPr>
      </w:pPr>
      <w:r w:rsidRPr="00E054D3">
        <w:rPr>
          <w:rFonts w:ascii="Arial" w:hAnsi="Arial" w:cs="Arial"/>
          <w:b/>
          <w:bCs/>
          <w:lang w:val="en-MY"/>
        </w:rPr>
        <w:t xml:space="preserve">Recommendation - </w:t>
      </w:r>
      <w:r w:rsidRPr="00E054D3">
        <w:rPr>
          <w:rFonts w:ascii="Arial" w:hAnsi="Arial" w:cs="Arial"/>
          <w:lang w:val="en-MY"/>
        </w:rPr>
        <w:t>The Commission shall have an advisory, scientific, and technological character; it shall not exert any authority over the Hydrographic Services or Institutions responsible for hydrography in the member countries and its activities shall not include matters concerning international political matters.</w:t>
      </w:r>
    </w:p>
    <w:p w14:paraId="616DE280" w14:textId="77777777" w:rsidR="00E054D3" w:rsidRDefault="00E054D3" w:rsidP="00E054D3">
      <w:pPr>
        <w:jc w:val="both"/>
        <w:rPr>
          <w:rFonts w:ascii="Arial" w:hAnsi="Arial" w:cs="Arial"/>
          <w:lang w:val="en-MY"/>
        </w:rPr>
      </w:pPr>
      <w:r w:rsidRPr="00E054D3">
        <w:rPr>
          <w:rFonts w:ascii="Arial" w:hAnsi="Arial" w:cs="Arial"/>
          <w:b/>
          <w:bCs/>
          <w:lang w:val="en-MY"/>
        </w:rPr>
        <w:t xml:space="preserve">Decision – </w:t>
      </w:r>
      <w:r w:rsidRPr="00E054D3">
        <w:rPr>
          <w:rFonts w:ascii="Arial" w:hAnsi="Arial" w:cs="Arial"/>
          <w:lang w:val="en-MY"/>
        </w:rPr>
        <w:t xml:space="preserve">Meeting agreed with this recommendation. </w:t>
      </w:r>
      <w:r w:rsidRPr="00E054D3">
        <w:rPr>
          <w:rFonts w:ascii="Arial" w:hAnsi="Arial" w:cs="Arial"/>
        </w:rPr>
        <w:t>EAHC Secretariat will circulate the amendments to all member states.</w:t>
      </w:r>
      <w:r w:rsidRPr="00E054D3">
        <w:rPr>
          <w:rFonts w:ascii="Arial" w:hAnsi="Arial" w:cs="Arial"/>
          <w:lang w:val="en-MY"/>
        </w:rPr>
        <w:t xml:space="preserve"> (9</w:t>
      </w:r>
      <w:r w:rsidRPr="00E054D3">
        <w:rPr>
          <w:rFonts w:ascii="Arial" w:hAnsi="Arial" w:cs="Arial"/>
          <w:vertAlign w:val="superscript"/>
          <w:lang w:val="en-MY"/>
        </w:rPr>
        <w:t>th</w:t>
      </w:r>
      <w:r w:rsidRPr="00E054D3">
        <w:rPr>
          <w:rFonts w:ascii="Arial" w:hAnsi="Arial" w:cs="Arial"/>
          <w:lang w:val="en-MY"/>
        </w:rPr>
        <w:t xml:space="preserve"> EAHC Minutes Of Meeting).</w:t>
      </w:r>
    </w:p>
    <w:p w14:paraId="1FA1E2B2" w14:textId="77777777" w:rsidR="00E054D3" w:rsidRDefault="00E054D3" w:rsidP="00E054D3">
      <w:pPr>
        <w:jc w:val="both"/>
        <w:rPr>
          <w:rFonts w:ascii="Arial" w:hAnsi="Arial" w:cs="Arial"/>
          <w:lang w:val="en-MY"/>
        </w:rPr>
      </w:pPr>
    </w:p>
    <w:p w14:paraId="4A85D260" w14:textId="57ED2A0E" w:rsidR="00E054D3" w:rsidRPr="00E054D3" w:rsidRDefault="00E054D3" w:rsidP="00E054D3">
      <w:pPr>
        <w:jc w:val="center"/>
        <w:rPr>
          <w:rFonts w:ascii="Arial" w:hAnsi="Arial" w:cs="Arial"/>
          <w:b/>
          <w:bCs/>
        </w:rPr>
      </w:pPr>
      <w:r w:rsidRPr="00E054D3">
        <w:rPr>
          <w:rFonts w:ascii="Arial" w:hAnsi="Arial" w:cs="Arial"/>
          <w:b/>
          <w:bCs/>
        </w:rPr>
        <w:t>Admission of Membership (Article II.2)</w:t>
      </w:r>
    </w:p>
    <w:p w14:paraId="56546570" w14:textId="77777777" w:rsidR="00E054D3" w:rsidRPr="00E054D3" w:rsidRDefault="00E054D3" w:rsidP="00E054D3">
      <w:pPr>
        <w:jc w:val="both"/>
        <w:rPr>
          <w:rFonts w:ascii="Arial" w:hAnsi="Arial" w:cs="Arial"/>
          <w:b/>
          <w:bCs/>
        </w:rPr>
      </w:pPr>
      <w:r w:rsidRPr="00E054D3">
        <w:rPr>
          <w:rFonts w:ascii="Arial" w:hAnsi="Arial" w:cs="Arial"/>
          <w:b/>
          <w:bCs/>
          <w:lang w:val="en-MY"/>
        </w:rPr>
        <w:t>Recommendation -</w:t>
      </w:r>
      <w:r w:rsidRPr="00E054D3">
        <w:rPr>
          <w:rFonts w:ascii="Arial" w:hAnsi="Arial" w:cs="Arial"/>
          <w:lang w:val="en-MY"/>
        </w:rPr>
        <w:t xml:space="preserve"> </w:t>
      </w:r>
      <w:r w:rsidRPr="00E054D3">
        <w:rPr>
          <w:rFonts w:ascii="Arial" w:hAnsi="Arial" w:cs="Arial"/>
        </w:rPr>
        <w:t xml:space="preserve">Membership of the Commission shall be open for accession by all other Hydrographers who fulfill the requirements mentioned in paragraph 1 of Article 1. </w:t>
      </w:r>
    </w:p>
    <w:p w14:paraId="7EC4637C" w14:textId="47E077A7" w:rsidR="00E054D3" w:rsidRPr="00E054D3" w:rsidRDefault="00E054D3" w:rsidP="00E054D3">
      <w:pPr>
        <w:jc w:val="both"/>
        <w:rPr>
          <w:rFonts w:ascii="Arial" w:hAnsi="Arial" w:cs="Arial"/>
        </w:rPr>
      </w:pPr>
      <w:r w:rsidRPr="00E054D3">
        <w:rPr>
          <w:rFonts w:ascii="Arial" w:hAnsi="Arial" w:cs="Arial"/>
          <w:b/>
          <w:bCs/>
          <w:lang w:val="en-MY"/>
        </w:rPr>
        <w:t>Decision –</w:t>
      </w:r>
      <w:r w:rsidRPr="00E054D3">
        <w:rPr>
          <w:rFonts w:ascii="Arial" w:hAnsi="Arial" w:cs="Arial"/>
          <w:lang w:val="en-MY"/>
        </w:rPr>
        <w:t xml:space="preserve"> </w:t>
      </w:r>
      <w:r w:rsidRPr="00E054D3">
        <w:rPr>
          <w:rFonts w:ascii="Arial" w:hAnsi="Arial" w:cs="Arial"/>
          <w:highlight w:val="yellow"/>
          <w:lang w:val="en-MY"/>
        </w:rPr>
        <w:t>No agreements were made</w:t>
      </w:r>
      <w:r w:rsidRPr="00E054D3">
        <w:rPr>
          <w:rFonts w:ascii="Arial" w:hAnsi="Arial" w:cs="Arial"/>
          <w:lang w:val="en-MY"/>
        </w:rPr>
        <w:t xml:space="preserve"> for this article. (9</w:t>
      </w:r>
      <w:r w:rsidRPr="00E054D3">
        <w:rPr>
          <w:rFonts w:ascii="Arial" w:hAnsi="Arial" w:cs="Arial"/>
          <w:vertAlign w:val="superscript"/>
          <w:lang w:val="en-MY"/>
        </w:rPr>
        <w:t>th</w:t>
      </w:r>
      <w:r w:rsidRPr="00E054D3">
        <w:rPr>
          <w:rFonts w:ascii="Arial" w:hAnsi="Arial" w:cs="Arial"/>
          <w:lang w:val="en-MY"/>
        </w:rPr>
        <w:t xml:space="preserve"> EAHC Minutes </w:t>
      </w:r>
      <w:r>
        <w:rPr>
          <w:rFonts w:ascii="Arial" w:hAnsi="Arial" w:cs="Arial"/>
          <w:lang w:val="en-MY"/>
        </w:rPr>
        <w:t>o</w:t>
      </w:r>
      <w:r w:rsidRPr="00E054D3">
        <w:rPr>
          <w:rFonts w:ascii="Arial" w:hAnsi="Arial" w:cs="Arial"/>
          <w:lang w:val="en-MY"/>
        </w:rPr>
        <w:t>f Meeting).</w:t>
      </w:r>
    </w:p>
    <w:p w14:paraId="4F29782B" w14:textId="77777777" w:rsidR="00E054D3" w:rsidRDefault="00E054D3" w:rsidP="00E054D3">
      <w:pPr>
        <w:jc w:val="both"/>
        <w:rPr>
          <w:rFonts w:ascii="Arial" w:hAnsi="Arial" w:cs="Arial"/>
          <w:lang w:val="en-MY"/>
        </w:rPr>
      </w:pPr>
      <w:r w:rsidRPr="00E054D3">
        <w:rPr>
          <w:rFonts w:ascii="Arial" w:hAnsi="Arial" w:cs="Arial"/>
          <w:lang w:val="en-MY"/>
        </w:rPr>
        <w:t>Request further comments provided from MS.</w:t>
      </w:r>
    </w:p>
    <w:p w14:paraId="6F112D33" w14:textId="77777777" w:rsidR="00E054D3" w:rsidRDefault="00E054D3" w:rsidP="00E054D3">
      <w:pPr>
        <w:jc w:val="both"/>
        <w:rPr>
          <w:rFonts w:ascii="Arial" w:hAnsi="Arial" w:cs="Arial"/>
          <w:lang w:val="en-MY"/>
        </w:rPr>
      </w:pPr>
    </w:p>
    <w:p w14:paraId="0249B2C3" w14:textId="77777777" w:rsidR="00E054D3" w:rsidRPr="00E054D3" w:rsidRDefault="00E054D3" w:rsidP="00E054D3">
      <w:pPr>
        <w:jc w:val="center"/>
        <w:rPr>
          <w:rFonts w:ascii="Arial" w:hAnsi="Arial" w:cs="Arial"/>
        </w:rPr>
      </w:pPr>
      <w:r w:rsidRPr="00E054D3">
        <w:rPr>
          <w:rFonts w:ascii="Arial" w:hAnsi="Arial" w:cs="Arial"/>
          <w:b/>
          <w:bCs/>
        </w:rPr>
        <w:t>Timeframe of the Next Session Conference (Article III.2)</w:t>
      </w:r>
    </w:p>
    <w:p w14:paraId="359D4630" w14:textId="77777777" w:rsidR="00E054D3" w:rsidRPr="00E054D3" w:rsidRDefault="00E054D3" w:rsidP="00E054D3">
      <w:pPr>
        <w:jc w:val="both"/>
        <w:rPr>
          <w:rFonts w:ascii="Arial" w:hAnsi="Arial" w:cs="Arial"/>
        </w:rPr>
      </w:pPr>
      <w:r w:rsidRPr="00E054D3">
        <w:rPr>
          <w:rFonts w:ascii="Arial" w:hAnsi="Arial" w:cs="Arial"/>
          <w:b/>
          <w:bCs/>
          <w:lang w:val="en-MY"/>
        </w:rPr>
        <w:t xml:space="preserve">Recommendation - </w:t>
      </w:r>
      <w:r w:rsidRPr="00E054D3">
        <w:rPr>
          <w:rFonts w:ascii="Arial" w:hAnsi="Arial" w:cs="Arial"/>
        </w:rPr>
        <w:t>The time of the Conference shall be decided upon by the Chair after consultation with the Members. The Conference shall be held in the country to which the Chair belongs and inform at least 2-3 months before the Conference.</w:t>
      </w:r>
    </w:p>
    <w:p w14:paraId="6D9A75FA" w14:textId="77777777" w:rsidR="00E054D3" w:rsidRPr="00E054D3" w:rsidRDefault="00E054D3" w:rsidP="00E054D3">
      <w:pPr>
        <w:jc w:val="both"/>
        <w:rPr>
          <w:rFonts w:ascii="Arial" w:hAnsi="Arial" w:cs="Arial"/>
        </w:rPr>
      </w:pPr>
      <w:r w:rsidRPr="00E054D3">
        <w:rPr>
          <w:rFonts w:ascii="Arial" w:hAnsi="Arial" w:cs="Arial"/>
          <w:b/>
          <w:bCs/>
          <w:lang w:val="en-MY"/>
        </w:rPr>
        <w:t xml:space="preserve">Decision – </w:t>
      </w:r>
      <w:r w:rsidRPr="00E054D3">
        <w:rPr>
          <w:rFonts w:ascii="Arial" w:hAnsi="Arial" w:cs="Arial"/>
          <w:lang w:val="en-MY"/>
        </w:rPr>
        <w:t xml:space="preserve">Meeting agreed with this recommendation (With the three-monthly notification). </w:t>
      </w:r>
      <w:r w:rsidRPr="00E054D3">
        <w:rPr>
          <w:rFonts w:ascii="Arial" w:hAnsi="Arial" w:cs="Arial"/>
        </w:rPr>
        <w:t>EAHC Secretariat will circulate the amendments to all member states.</w:t>
      </w:r>
      <w:r w:rsidRPr="00E054D3">
        <w:rPr>
          <w:rFonts w:ascii="Arial" w:hAnsi="Arial" w:cs="Arial"/>
          <w:lang w:val="en-MY"/>
        </w:rPr>
        <w:t>(9</w:t>
      </w:r>
      <w:r w:rsidRPr="00E054D3">
        <w:rPr>
          <w:rFonts w:ascii="Arial" w:hAnsi="Arial" w:cs="Arial"/>
          <w:vertAlign w:val="superscript"/>
          <w:lang w:val="en-MY"/>
        </w:rPr>
        <w:t>th</w:t>
      </w:r>
      <w:r w:rsidRPr="00E054D3">
        <w:rPr>
          <w:rFonts w:ascii="Arial" w:hAnsi="Arial" w:cs="Arial"/>
          <w:lang w:val="en-MY"/>
        </w:rPr>
        <w:t xml:space="preserve"> EAHC Minutes Of Meeting).</w:t>
      </w:r>
    </w:p>
    <w:p w14:paraId="59ACF027" w14:textId="77777777" w:rsidR="00E054D3" w:rsidRPr="00E054D3" w:rsidRDefault="00E054D3" w:rsidP="00E054D3">
      <w:pPr>
        <w:jc w:val="both"/>
        <w:rPr>
          <w:rFonts w:ascii="Arial" w:hAnsi="Arial" w:cs="Arial"/>
        </w:rPr>
      </w:pPr>
      <w:r w:rsidRPr="00E054D3">
        <w:rPr>
          <w:rFonts w:ascii="Arial" w:hAnsi="Arial" w:cs="Arial"/>
          <w:lang w:val="en-MY"/>
        </w:rPr>
        <w:t xml:space="preserve">- </w:t>
      </w:r>
      <w:r w:rsidRPr="00E054D3">
        <w:rPr>
          <w:rFonts w:ascii="Arial" w:hAnsi="Arial" w:cs="Arial"/>
        </w:rPr>
        <w:t>The time of the Conference shall be decided upon by the Chair after consultation with the Members. The Conference shall be held in the country to which the Chair belongs and inform at least three months before the Conference.</w:t>
      </w:r>
    </w:p>
    <w:p w14:paraId="06918388" w14:textId="77777777" w:rsidR="00E054D3" w:rsidRPr="00E054D3" w:rsidRDefault="00E054D3" w:rsidP="00E054D3">
      <w:pPr>
        <w:jc w:val="both"/>
        <w:rPr>
          <w:rFonts w:ascii="Arial" w:hAnsi="Arial" w:cs="Arial"/>
        </w:rPr>
      </w:pPr>
    </w:p>
    <w:p w14:paraId="7BFDB90E" w14:textId="77777777" w:rsidR="002B153A" w:rsidRDefault="002B153A" w:rsidP="002B153A">
      <w:pPr>
        <w:jc w:val="center"/>
        <w:rPr>
          <w:rFonts w:ascii="Arial" w:hAnsi="Arial" w:cs="Arial"/>
          <w:b/>
          <w:bCs/>
        </w:rPr>
      </w:pPr>
    </w:p>
    <w:p w14:paraId="3A437D7B" w14:textId="4A60BB49" w:rsidR="00E054D3" w:rsidRDefault="002B153A" w:rsidP="002B153A">
      <w:pPr>
        <w:jc w:val="center"/>
        <w:rPr>
          <w:rFonts w:ascii="Arial" w:hAnsi="Arial" w:cs="Arial"/>
          <w:b/>
          <w:bCs/>
        </w:rPr>
      </w:pPr>
      <w:r w:rsidRPr="002B153A">
        <w:rPr>
          <w:rFonts w:ascii="Arial" w:hAnsi="Arial" w:cs="Arial"/>
          <w:b/>
          <w:bCs/>
        </w:rPr>
        <w:t>Unanimity (Article VII.1)</w:t>
      </w:r>
    </w:p>
    <w:p w14:paraId="10B54D0C" w14:textId="77777777" w:rsidR="002B153A" w:rsidRPr="002B153A" w:rsidRDefault="002B153A" w:rsidP="002B153A">
      <w:pPr>
        <w:rPr>
          <w:rFonts w:ascii="Arial" w:hAnsi="Arial" w:cs="Arial"/>
        </w:rPr>
      </w:pPr>
      <w:r w:rsidRPr="002B153A">
        <w:rPr>
          <w:rFonts w:ascii="Arial" w:hAnsi="Arial" w:cs="Arial"/>
          <w:b/>
          <w:bCs/>
          <w:lang w:val="en-MY"/>
        </w:rPr>
        <w:t>Recommendation -</w:t>
      </w:r>
      <w:r w:rsidRPr="002B153A">
        <w:rPr>
          <w:rFonts w:ascii="Arial" w:hAnsi="Arial" w:cs="Arial"/>
          <w:lang w:val="en-MY"/>
        </w:rPr>
        <w:t xml:space="preserve"> </w:t>
      </w:r>
      <w:r w:rsidRPr="002B153A">
        <w:rPr>
          <w:rFonts w:ascii="Arial" w:hAnsi="Arial" w:cs="Arial"/>
        </w:rPr>
        <w:t>Suggest maintaining the original article.</w:t>
      </w:r>
    </w:p>
    <w:p w14:paraId="16597D8F" w14:textId="77777777" w:rsidR="002B153A" w:rsidRPr="002B153A" w:rsidRDefault="002B153A" w:rsidP="002B153A">
      <w:pPr>
        <w:rPr>
          <w:rFonts w:ascii="Arial" w:hAnsi="Arial" w:cs="Arial"/>
        </w:rPr>
      </w:pPr>
      <w:r w:rsidRPr="002B153A">
        <w:rPr>
          <w:rFonts w:ascii="Arial" w:hAnsi="Arial" w:cs="Arial"/>
          <w:b/>
          <w:bCs/>
        </w:rPr>
        <w:t>- Conclusions</w:t>
      </w:r>
      <w:r w:rsidRPr="002B153A">
        <w:rPr>
          <w:rFonts w:ascii="Arial" w:hAnsi="Arial" w:cs="Arial"/>
        </w:rPr>
        <w:t xml:space="preserve"> shall be arrived at by unanimous agreement of the Conference. Such conclusions, unanimously agreed, shall be part of the Record of the Conference. </w:t>
      </w:r>
    </w:p>
    <w:p w14:paraId="02329345" w14:textId="77777777" w:rsidR="002B153A" w:rsidRPr="002B153A" w:rsidRDefault="002B153A" w:rsidP="002B153A">
      <w:pPr>
        <w:rPr>
          <w:rFonts w:ascii="Arial" w:hAnsi="Arial" w:cs="Arial"/>
        </w:rPr>
      </w:pPr>
      <w:r w:rsidRPr="002B153A">
        <w:rPr>
          <w:rFonts w:ascii="Arial" w:hAnsi="Arial" w:cs="Arial"/>
          <w:b/>
          <w:bCs/>
          <w:lang w:val="en-MY"/>
        </w:rPr>
        <w:t>Decision –</w:t>
      </w:r>
      <w:r w:rsidRPr="002B153A">
        <w:rPr>
          <w:rFonts w:ascii="Arial" w:hAnsi="Arial" w:cs="Arial"/>
          <w:lang w:val="en-MY"/>
        </w:rPr>
        <w:t xml:space="preserve"> Meeting agreed with this recommendation and </w:t>
      </w:r>
      <w:r w:rsidRPr="002B153A">
        <w:rPr>
          <w:rFonts w:ascii="Arial" w:hAnsi="Arial" w:cs="Arial"/>
        </w:rPr>
        <w:t xml:space="preserve">will remain to the original articles mentioned in the statutes. EAHC Secretariat will circulate the amendments to all member states.  </w:t>
      </w:r>
      <w:r w:rsidRPr="002B153A">
        <w:rPr>
          <w:rFonts w:ascii="Arial" w:hAnsi="Arial" w:cs="Arial"/>
          <w:lang w:val="en-MY"/>
        </w:rPr>
        <w:t>(9</w:t>
      </w:r>
      <w:r w:rsidRPr="002B153A">
        <w:rPr>
          <w:rFonts w:ascii="Arial" w:hAnsi="Arial" w:cs="Arial"/>
          <w:vertAlign w:val="superscript"/>
          <w:lang w:val="en-MY"/>
        </w:rPr>
        <w:t>th</w:t>
      </w:r>
      <w:r w:rsidRPr="002B153A">
        <w:rPr>
          <w:rFonts w:ascii="Arial" w:hAnsi="Arial" w:cs="Arial"/>
          <w:lang w:val="en-MY"/>
        </w:rPr>
        <w:t xml:space="preserve"> EAHC Minutes Of Meeting). </w:t>
      </w:r>
    </w:p>
    <w:p w14:paraId="606E5AB2" w14:textId="77777777" w:rsidR="002B153A" w:rsidRDefault="002B153A" w:rsidP="002B153A">
      <w:pPr>
        <w:rPr>
          <w:rFonts w:ascii="Arial" w:hAnsi="Arial" w:cs="Arial"/>
          <w:b/>
          <w:bCs/>
        </w:rPr>
      </w:pPr>
    </w:p>
    <w:p w14:paraId="5926E7F1" w14:textId="77777777" w:rsidR="002B153A" w:rsidRDefault="002B153A" w:rsidP="002B153A">
      <w:pPr>
        <w:jc w:val="center"/>
        <w:rPr>
          <w:rFonts w:ascii="Arial" w:hAnsi="Arial" w:cs="Arial"/>
          <w:b/>
          <w:bCs/>
        </w:rPr>
      </w:pPr>
      <w:r w:rsidRPr="002B153A">
        <w:rPr>
          <w:rFonts w:ascii="Arial" w:hAnsi="Arial" w:cs="Arial"/>
          <w:b/>
          <w:bCs/>
        </w:rPr>
        <w:t>Unanimity (Article X.4)</w:t>
      </w:r>
    </w:p>
    <w:p w14:paraId="5BA62956" w14:textId="77777777" w:rsidR="00174F86" w:rsidRPr="00174F86" w:rsidRDefault="00174F86" w:rsidP="00174F86">
      <w:pPr>
        <w:jc w:val="both"/>
        <w:rPr>
          <w:rFonts w:ascii="Arial" w:hAnsi="Arial" w:cs="Arial"/>
        </w:rPr>
      </w:pPr>
      <w:r w:rsidRPr="00174F86">
        <w:rPr>
          <w:rFonts w:ascii="Arial" w:hAnsi="Arial" w:cs="Arial"/>
          <w:b/>
          <w:bCs/>
          <w:lang w:val="en-MY"/>
        </w:rPr>
        <w:t>Recommendation</w:t>
      </w:r>
      <w:r w:rsidRPr="00174F86">
        <w:rPr>
          <w:rFonts w:ascii="Arial" w:hAnsi="Arial" w:cs="Arial"/>
          <w:lang w:val="en-MY"/>
        </w:rPr>
        <w:t xml:space="preserve"> - </w:t>
      </w:r>
      <w:r w:rsidRPr="00174F86">
        <w:rPr>
          <w:rFonts w:ascii="Arial" w:hAnsi="Arial" w:cs="Arial"/>
        </w:rPr>
        <w:t>Suggest maintaining the original article.</w:t>
      </w:r>
    </w:p>
    <w:p w14:paraId="108C9E30" w14:textId="77777777" w:rsidR="00174F86" w:rsidRPr="00174F86" w:rsidRDefault="00174F86" w:rsidP="00174F86">
      <w:pPr>
        <w:jc w:val="both"/>
        <w:rPr>
          <w:rFonts w:ascii="Arial" w:hAnsi="Arial" w:cs="Arial"/>
        </w:rPr>
      </w:pPr>
      <w:r w:rsidRPr="00174F86">
        <w:rPr>
          <w:rFonts w:ascii="Arial" w:hAnsi="Arial" w:cs="Arial"/>
        </w:rPr>
        <w:t>- These Statutes may be amended. Such amendments shall become effective only by the unanimous decision of the Commission.</w:t>
      </w:r>
    </w:p>
    <w:p w14:paraId="7D9D5806" w14:textId="77777777" w:rsidR="00174F86" w:rsidRPr="00174F86" w:rsidRDefault="00174F86" w:rsidP="00174F86">
      <w:pPr>
        <w:jc w:val="both"/>
        <w:rPr>
          <w:rFonts w:ascii="Arial" w:hAnsi="Arial" w:cs="Arial"/>
        </w:rPr>
      </w:pPr>
      <w:r w:rsidRPr="00174F86">
        <w:rPr>
          <w:rFonts w:ascii="Arial" w:hAnsi="Arial" w:cs="Arial"/>
          <w:b/>
          <w:bCs/>
          <w:lang w:val="en-MY"/>
        </w:rPr>
        <w:t>Decision</w:t>
      </w:r>
      <w:r w:rsidRPr="00174F86">
        <w:rPr>
          <w:rFonts w:ascii="Arial" w:hAnsi="Arial" w:cs="Arial"/>
          <w:lang w:val="en-MY"/>
        </w:rPr>
        <w:t xml:space="preserve"> – Meeting agreed with this recommendation and </w:t>
      </w:r>
      <w:r w:rsidRPr="00174F86">
        <w:rPr>
          <w:rFonts w:ascii="Arial" w:hAnsi="Arial" w:cs="Arial"/>
        </w:rPr>
        <w:t xml:space="preserve">will remain to the original articles mentioned in the statutes. EAHC Secretariat will circulate the amendments to all member states.  </w:t>
      </w:r>
      <w:r w:rsidRPr="00174F86">
        <w:rPr>
          <w:rFonts w:ascii="Arial" w:hAnsi="Arial" w:cs="Arial"/>
          <w:lang w:val="en-MY"/>
        </w:rPr>
        <w:t>(9</w:t>
      </w:r>
      <w:r w:rsidRPr="00174F86">
        <w:rPr>
          <w:rFonts w:ascii="Arial" w:hAnsi="Arial" w:cs="Arial"/>
          <w:vertAlign w:val="superscript"/>
          <w:lang w:val="en-MY"/>
        </w:rPr>
        <w:t>th</w:t>
      </w:r>
      <w:r w:rsidRPr="00174F86">
        <w:rPr>
          <w:rFonts w:ascii="Arial" w:hAnsi="Arial" w:cs="Arial"/>
          <w:lang w:val="en-MY"/>
        </w:rPr>
        <w:t xml:space="preserve"> EAHC Minutes Of Meeting).</w:t>
      </w:r>
    </w:p>
    <w:p w14:paraId="2BABD80C" w14:textId="77777777" w:rsidR="00174F86" w:rsidRPr="002B153A" w:rsidRDefault="00174F86" w:rsidP="002B153A">
      <w:pPr>
        <w:jc w:val="center"/>
        <w:rPr>
          <w:rFonts w:ascii="Arial" w:hAnsi="Arial" w:cs="Arial"/>
          <w:b/>
          <w:bCs/>
        </w:rPr>
      </w:pPr>
    </w:p>
    <w:p w14:paraId="55A9793F" w14:textId="280D84A1" w:rsidR="002B153A" w:rsidRDefault="00174F86" w:rsidP="00174F86">
      <w:pPr>
        <w:jc w:val="center"/>
        <w:rPr>
          <w:rFonts w:ascii="Arial" w:hAnsi="Arial" w:cs="Arial"/>
          <w:b/>
          <w:bCs/>
        </w:rPr>
      </w:pPr>
      <w:r>
        <w:rPr>
          <w:rFonts w:ascii="Arial" w:hAnsi="Arial" w:cs="Arial"/>
          <w:b/>
          <w:bCs/>
        </w:rPr>
        <w:t xml:space="preserve">Proposal on Article V.10 about </w:t>
      </w:r>
      <w:r w:rsidRPr="00174F86">
        <w:rPr>
          <w:rFonts w:ascii="Arial" w:hAnsi="Arial" w:cs="Arial"/>
          <w:b/>
          <w:bCs/>
        </w:rPr>
        <w:t>Associate Members</w:t>
      </w:r>
    </w:p>
    <w:p w14:paraId="2CEF56BE" w14:textId="77777777" w:rsidR="00174F86" w:rsidRPr="00174F86" w:rsidRDefault="00174F86" w:rsidP="0024556E">
      <w:pPr>
        <w:rPr>
          <w:rFonts w:ascii="Arial" w:hAnsi="Arial" w:cs="Arial"/>
          <w:b/>
          <w:bCs/>
        </w:rPr>
      </w:pPr>
      <w:r w:rsidRPr="00174F86">
        <w:rPr>
          <w:rFonts w:ascii="Arial" w:hAnsi="Arial" w:cs="Arial"/>
          <w:b/>
          <w:bCs/>
          <w:lang w:val="en-MY"/>
        </w:rPr>
        <w:t xml:space="preserve">Recommendation – </w:t>
      </w:r>
    </w:p>
    <w:p w14:paraId="74DF92A8" w14:textId="2EAECE8E" w:rsidR="00174F86" w:rsidRPr="00174F86" w:rsidRDefault="00174F86" w:rsidP="00174F86">
      <w:pPr>
        <w:numPr>
          <w:ilvl w:val="0"/>
          <w:numId w:val="1"/>
        </w:numPr>
        <w:tabs>
          <w:tab w:val="left" w:pos="720"/>
        </w:tabs>
        <w:ind w:left="90" w:hanging="90"/>
        <w:jc w:val="both"/>
        <w:rPr>
          <w:rFonts w:ascii="Arial" w:hAnsi="Arial" w:cs="Arial"/>
        </w:rPr>
      </w:pPr>
      <w:r w:rsidRPr="00174F86">
        <w:rPr>
          <w:rFonts w:ascii="Arial" w:hAnsi="Arial" w:cs="Arial"/>
        </w:rPr>
        <w:t>Other Member States of the International Hydrographic Organization outside the region may become Associate Members who accept the Statutes of the EAHC, if they contribute to the safety of navigation by their activities in the fields of hydrography including training, nautical charting, and nautical information in the region of the EAHC. Their applications shall be considered by the Conference mentioned in Article III. The admission of these applications to the Commission shall be decided unanimously by the Members of the Commission.</w:t>
      </w:r>
    </w:p>
    <w:p w14:paraId="400A3CDA" w14:textId="0336E90B" w:rsidR="00174F86" w:rsidRPr="00174F86" w:rsidRDefault="00174F86" w:rsidP="00174F86">
      <w:pPr>
        <w:numPr>
          <w:ilvl w:val="0"/>
          <w:numId w:val="1"/>
        </w:numPr>
        <w:tabs>
          <w:tab w:val="left" w:pos="720"/>
        </w:tabs>
        <w:ind w:left="90" w:hanging="90"/>
        <w:jc w:val="both"/>
        <w:rPr>
          <w:rFonts w:ascii="Arial" w:hAnsi="Arial" w:cs="Arial"/>
        </w:rPr>
      </w:pPr>
      <w:r w:rsidRPr="00174F86">
        <w:rPr>
          <w:rFonts w:ascii="Arial" w:hAnsi="Arial" w:cs="Arial"/>
          <w:lang w:val="en-MY"/>
        </w:rPr>
        <w:t xml:space="preserve">Associate Members shall have the same rights and obligations as the Members of the Commission, except the right to vote or be elected Chair. </w:t>
      </w:r>
    </w:p>
    <w:p w14:paraId="63CD60EB" w14:textId="6BB8C4B1" w:rsidR="00174F86" w:rsidRPr="00174F86" w:rsidRDefault="00174F86" w:rsidP="00174F86">
      <w:pPr>
        <w:tabs>
          <w:tab w:val="left" w:pos="720"/>
        </w:tabs>
        <w:ind w:left="90"/>
        <w:jc w:val="both"/>
        <w:rPr>
          <w:rFonts w:ascii="Arial" w:hAnsi="Arial" w:cs="Arial"/>
        </w:rPr>
      </w:pPr>
      <w:r w:rsidRPr="00174F86">
        <w:rPr>
          <w:rFonts w:ascii="Arial" w:hAnsi="Arial" w:cs="Arial"/>
          <w:b/>
          <w:bCs/>
          <w:lang w:val="en-MY"/>
        </w:rPr>
        <w:t>Decision</w:t>
      </w:r>
      <w:r w:rsidRPr="00174F86">
        <w:rPr>
          <w:rFonts w:ascii="Arial" w:hAnsi="Arial" w:cs="Arial"/>
          <w:lang w:val="en-MY"/>
        </w:rPr>
        <w:t xml:space="preserve"> – </w:t>
      </w:r>
      <w:r w:rsidRPr="00174F86">
        <w:rPr>
          <w:rFonts w:ascii="Arial" w:hAnsi="Arial" w:cs="Arial"/>
          <w:highlight w:val="yellow"/>
        </w:rPr>
        <w:t>EAHC Secretariat will circulate</w:t>
      </w:r>
      <w:r w:rsidRPr="00174F86">
        <w:rPr>
          <w:rFonts w:ascii="Arial" w:hAnsi="Arial" w:cs="Arial"/>
        </w:rPr>
        <w:t xml:space="preserve"> the article on Associate Membership </w:t>
      </w:r>
      <w:r w:rsidRPr="00174F86">
        <w:rPr>
          <w:rFonts w:ascii="Arial" w:hAnsi="Arial" w:cs="Arial"/>
          <w:highlight w:val="yellow"/>
        </w:rPr>
        <w:t>to all the</w:t>
      </w:r>
      <w:r w:rsidRPr="0024556E">
        <w:rPr>
          <w:rFonts w:ascii="Arial" w:hAnsi="Arial" w:cs="Arial"/>
          <w:highlight w:val="yellow"/>
        </w:rPr>
        <w:t xml:space="preserve"> </w:t>
      </w:r>
      <w:r w:rsidRPr="00174F86">
        <w:rPr>
          <w:rFonts w:ascii="Arial" w:hAnsi="Arial" w:cs="Arial"/>
          <w:highlight w:val="yellow"/>
        </w:rPr>
        <w:t>members states for their comments.</w:t>
      </w:r>
      <w:r w:rsidRPr="00174F86">
        <w:rPr>
          <w:rFonts w:ascii="Arial" w:hAnsi="Arial" w:cs="Arial"/>
        </w:rPr>
        <w:t xml:space="preserve"> </w:t>
      </w:r>
      <w:r w:rsidRPr="00174F86">
        <w:rPr>
          <w:rFonts w:ascii="Arial" w:hAnsi="Arial" w:cs="Arial"/>
          <w:lang w:val="en-MY"/>
        </w:rPr>
        <w:t>(9</w:t>
      </w:r>
      <w:r w:rsidRPr="00174F86">
        <w:rPr>
          <w:rFonts w:ascii="Arial" w:hAnsi="Arial" w:cs="Arial"/>
          <w:vertAlign w:val="superscript"/>
          <w:lang w:val="en-MY"/>
        </w:rPr>
        <w:t>th</w:t>
      </w:r>
      <w:r w:rsidRPr="00174F86">
        <w:rPr>
          <w:rFonts w:ascii="Arial" w:hAnsi="Arial" w:cs="Arial"/>
          <w:lang w:val="en-MY"/>
        </w:rPr>
        <w:t xml:space="preserve"> EAHC Minutes </w:t>
      </w:r>
      <w:r w:rsidR="0024556E">
        <w:rPr>
          <w:rFonts w:ascii="Arial" w:hAnsi="Arial" w:cs="Arial"/>
          <w:lang w:val="en-MY"/>
        </w:rPr>
        <w:t>o</w:t>
      </w:r>
      <w:r w:rsidRPr="00174F86">
        <w:rPr>
          <w:rFonts w:ascii="Arial" w:hAnsi="Arial" w:cs="Arial"/>
          <w:lang w:val="en-MY"/>
        </w:rPr>
        <w:t>f Meeting).</w:t>
      </w:r>
    </w:p>
    <w:p w14:paraId="5A2B66ED" w14:textId="77777777" w:rsidR="00174F86" w:rsidRPr="00E054D3" w:rsidRDefault="00174F86" w:rsidP="00174F86">
      <w:pPr>
        <w:jc w:val="center"/>
        <w:rPr>
          <w:rFonts w:ascii="Arial" w:hAnsi="Arial" w:cs="Arial"/>
          <w:b/>
          <w:bCs/>
        </w:rPr>
      </w:pPr>
    </w:p>
    <w:sectPr w:rsidR="00174F86" w:rsidRPr="00E054D3" w:rsidSect="00B01D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242"/>
    <w:multiLevelType w:val="hybridMultilevel"/>
    <w:tmpl w:val="BB8C759C"/>
    <w:lvl w:ilvl="0" w:tplc="5AC23C7E">
      <w:start w:val="1"/>
      <w:numFmt w:val="decimal"/>
      <w:lvlText w:val="%1."/>
      <w:lvlJc w:val="left"/>
      <w:pPr>
        <w:tabs>
          <w:tab w:val="num" w:pos="720"/>
        </w:tabs>
        <w:ind w:left="720" w:hanging="360"/>
      </w:pPr>
    </w:lvl>
    <w:lvl w:ilvl="1" w:tplc="061CA914" w:tentative="1">
      <w:start w:val="1"/>
      <w:numFmt w:val="decimal"/>
      <w:lvlText w:val="%2."/>
      <w:lvlJc w:val="left"/>
      <w:pPr>
        <w:tabs>
          <w:tab w:val="num" w:pos="1440"/>
        </w:tabs>
        <w:ind w:left="1440" w:hanging="360"/>
      </w:pPr>
    </w:lvl>
    <w:lvl w:ilvl="2" w:tplc="17489180" w:tentative="1">
      <w:start w:val="1"/>
      <w:numFmt w:val="decimal"/>
      <w:lvlText w:val="%3."/>
      <w:lvlJc w:val="left"/>
      <w:pPr>
        <w:tabs>
          <w:tab w:val="num" w:pos="2160"/>
        </w:tabs>
        <w:ind w:left="2160" w:hanging="360"/>
      </w:pPr>
    </w:lvl>
    <w:lvl w:ilvl="3" w:tplc="61A4519E" w:tentative="1">
      <w:start w:val="1"/>
      <w:numFmt w:val="decimal"/>
      <w:lvlText w:val="%4."/>
      <w:lvlJc w:val="left"/>
      <w:pPr>
        <w:tabs>
          <w:tab w:val="num" w:pos="2880"/>
        </w:tabs>
        <w:ind w:left="2880" w:hanging="360"/>
      </w:pPr>
    </w:lvl>
    <w:lvl w:ilvl="4" w:tplc="755476D6" w:tentative="1">
      <w:start w:val="1"/>
      <w:numFmt w:val="decimal"/>
      <w:lvlText w:val="%5."/>
      <w:lvlJc w:val="left"/>
      <w:pPr>
        <w:tabs>
          <w:tab w:val="num" w:pos="3600"/>
        </w:tabs>
        <w:ind w:left="3600" w:hanging="360"/>
      </w:pPr>
    </w:lvl>
    <w:lvl w:ilvl="5" w:tplc="49CC831E" w:tentative="1">
      <w:start w:val="1"/>
      <w:numFmt w:val="decimal"/>
      <w:lvlText w:val="%6."/>
      <w:lvlJc w:val="left"/>
      <w:pPr>
        <w:tabs>
          <w:tab w:val="num" w:pos="4320"/>
        </w:tabs>
        <w:ind w:left="4320" w:hanging="360"/>
      </w:pPr>
    </w:lvl>
    <w:lvl w:ilvl="6" w:tplc="AB7C3E50" w:tentative="1">
      <w:start w:val="1"/>
      <w:numFmt w:val="decimal"/>
      <w:lvlText w:val="%7."/>
      <w:lvlJc w:val="left"/>
      <w:pPr>
        <w:tabs>
          <w:tab w:val="num" w:pos="5040"/>
        </w:tabs>
        <w:ind w:left="5040" w:hanging="360"/>
      </w:pPr>
    </w:lvl>
    <w:lvl w:ilvl="7" w:tplc="17821376" w:tentative="1">
      <w:start w:val="1"/>
      <w:numFmt w:val="decimal"/>
      <w:lvlText w:val="%8."/>
      <w:lvlJc w:val="left"/>
      <w:pPr>
        <w:tabs>
          <w:tab w:val="num" w:pos="5760"/>
        </w:tabs>
        <w:ind w:left="5760" w:hanging="360"/>
      </w:pPr>
    </w:lvl>
    <w:lvl w:ilvl="8" w:tplc="0248BEA6" w:tentative="1">
      <w:start w:val="1"/>
      <w:numFmt w:val="decimal"/>
      <w:lvlText w:val="%9."/>
      <w:lvlJc w:val="left"/>
      <w:pPr>
        <w:tabs>
          <w:tab w:val="num" w:pos="6480"/>
        </w:tabs>
        <w:ind w:left="6480" w:hanging="360"/>
      </w:pPr>
    </w:lvl>
  </w:abstractNum>
  <w:num w:numId="1" w16cid:durableId="121616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D3"/>
    <w:rsid w:val="00153998"/>
    <w:rsid w:val="00174F86"/>
    <w:rsid w:val="0024556E"/>
    <w:rsid w:val="002B153A"/>
    <w:rsid w:val="00491559"/>
    <w:rsid w:val="005A4033"/>
    <w:rsid w:val="00630D78"/>
    <w:rsid w:val="009509F6"/>
    <w:rsid w:val="00A64232"/>
    <w:rsid w:val="00AD6994"/>
    <w:rsid w:val="00B01D09"/>
    <w:rsid w:val="00BF5EE7"/>
    <w:rsid w:val="00CF09A5"/>
    <w:rsid w:val="00DC3696"/>
    <w:rsid w:val="00E054D3"/>
    <w:rsid w:val="00FA7CA1"/>
    <w:rsid w:val="00FD3758"/>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55841D"/>
  <w15:chartTrackingRefBased/>
  <w15:docId w15:val="{D6C8AC5F-C99C-4B29-9AF9-4DE2C5D2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rsid w:val="00A6423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6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4492">
      <w:bodyDiv w:val="1"/>
      <w:marLeft w:val="0"/>
      <w:marRight w:val="0"/>
      <w:marTop w:val="0"/>
      <w:marBottom w:val="0"/>
      <w:divBdr>
        <w:top w:val="none" w:sz="0" w:space="0" w:color="auto"/>
        <w:left w:val="none" w:sz="0" w:space="0" w:color="auto"/>
        <w:bottom w:val="none" w:sz="0" w:space="0" w:color="auto"/>
        <w:right w:val="none" w:sz="0" w:space="0" w:color="auto"/>
      </w:divBdr>
    </w:div>
    <w:div w:id="908811340">
      <w:bodyDiv w:val="1"/>
      <w:marLeft w:val="0"/>
      <w:marRight w:val="0"/>
      <w:marTop w:val="0"/>
      <w:marBottom w:val="0"/>
      <w:divBdr>
        <w:top w:val="none" w:sz="0" w:space="0" w:color="auto"/>
        <w:left w:val="none" w:sz="0" w:space="0" w:color="auto"/>
        <w:bottom w:val="none" w:sz="0" w:space="0" w:color="auto"/>
        <w:right w:val="none" w:sz="0" w:space="0" w:color="auto"/>
      </w:divBdr>
      <w:divsChild>
        <w:div w:id="1703902108">
          <w:marLeft w:val="0"/>
          <w:marRight w:val="0"/>
          <w:marTop w:val="200"/>
          <w:marBottom w:val="0"/>
          <w:divBdr>
            <w:top w:val="none" w:sz="0" w:space="0" w:color="auto"/>
            <w:left w:val="none" w:sz="0" w:space="0" w:color="auto"/>
            <w:bottom w:val="none" w:sz="0" w:space="0" w:color="auto"/>
            <w:right w:val="none" w:sz="0" w:space="0" w:color="auto"/>
          </w:divBdr>
        </w:div>
        <w:div w:id="981927357">
          <w:marLeft w:val="0"/>
          <w:marRight w:val="0"/>
          <w:marTop w:val="200"/>
          <w:marBottom w:val="0"/>
          <w:divBdr>
            <w:top w:val="none" w:sz="0" w:space="0" w:color="auto"/>
            <w:left w:val="none" w:sz="0" w:space="0" w:color="auto"/>
            <w:bottom w:val="none" w:sz="0" w:space="0" w:color="auto"/>
            <w:right w:val="none" w:sz="0" w:space="0" w:color="auto"/>
          </w:divBdr>
        </w:div>
      </w:divsChild>
    </w:div>
    <w:div w:id="954674160">
      <w:bodyDiv w:val="1"/>
      <w:marLeft w:val="0"/>
      <w:marRight w:val="0"/>
      <w:marTop w:val="0"/>
      <w:marBottom w:val="0"/>
      <w:divBdr>
        <w:top w:val="none" w:sz="0" w:space="0" w:color="auto"/>
        <w:left w:val="none" w:sz="0" w:space="0" w:color="auto"/>
        <w:bottom w:val="none" w:sz="0" w:space="0" w:color="auto"/>
        <w:right w:val="none" w:sz="0" w:space="0" w:color="auto"/>
      </w:divBdr>
    </w:div>
    <w:div w:id="1000813974">
      <w:bodyDiv w:val="1"/>
      <w:marLeft w:val="0"/>
      <w:marRight w:val="0"/>
      <w:marTop w:val="0"/>
      <w:marBottom w:val="0"/>
      <w:divBdr>
        <w:top w:val="none" w:sz="0" w:space="0" w:color="auto"/>
        <w:left w:val="none" w:sz="0" w:space="0" w:color="auto"/>
        <w:bottom w:val="none" w:sz="0" w:space="0" w:color="auto"/>
        <w:right w:val="none" w:sz="0" w:space="0" w:color="auto"/>
      </w:divBdr>
    </w:div>
    <w:div w:id="1033506686">
      <w:bodyDiv w:val="1"/>
      <w:marLeft w:val="0"/>
      <w:marRight w:val="0"/>
      <w:marTop w:val="0"/>
      <w:marBottom w:val="0"/>
      <w:divBdr>
        <w:top w:val="none" w:sz="0" w:space="0" w:color="auto"/>
        <w:left w:val="none" w:sz="0" w:space="0" w:color="auto"/>
        <w:bottom w:val="none" w:sz="0" w:space="0" w:color="auto"/>
        <w:right w:val="none" w:sz="0" w:space="0" w:color="auto"/>
      </w:divBdr>
    </w:div>
    <w:div w:id="1073963780">
      <w:bodyDiv w:val="1"/>
      <w:marLeft w:val="0"/>
      <w:marRight w:val="0"/>
      <w:marTop w:val="0"/>
      <w:marBottom w:val="0"/>
      <w:divBdr>
        <w:top w:val="none" w:sz="0" w:space="0" w:color="auto"/>
        <w:left w:val="none" w:sz="0" w:space="0" w:color="auto"/>
        <w:bottom w:val="none" w:sz="0" w:space="0" w:color="auto"/>
        <w:right w:val="none" w:sz="0" w:space="0" w:color="auto"/>
      </w:divBdr>
    </w:div>
    <w:div w:id="1082605675">
      <w:bodyDiv w:val="1"/>
      <w:marLeft w:val="0"/>
      <w:marRight w:val="0"/>
      <w:marTop w:val="0"/>
      <w:marBottom w:val="0"/>
      <w:divBdr>
        <w:top w:val="none" w:sz="0" w:space="0" w:color="auto"/>
        <w:left w:val="none" w:sz="0" w:space="0" w:color="auto"/>
        <w:bottom w:val="none" w:sz="0" w:space="0" w:color="auto"/>
        <w:right w:val="none" w:sz="0" w:space="0" w:color="auto"/>
      </w:divBdr>
    </w:div>
    <w:div w:id="1173648306">
      <w:bodyDiv w:val="1"/>
      <w:marLeft w:val="0"/>
      <w:marRight w:val="0"/>
      <w:marTop w:val="0"/>
      <w:marBottom w:val="0"/>
      <w:divBdr>
        <w:top w:val="none" w:sz="0" w:space="0" w:color="auto"/>
        <w:left w:val="none" w:sz="0" w:space="0" w:color="auto"/>
        <w:bottom w:val="none" w:sz="0" w:space="0" w:color="auto"/>
        <w:right w:val="none" w:sz="0" w:space="0" w:color="auto"/>
      </w:divBdr>
    </w:div>
    <w:div w:id="1371765244">
      <w:bodyDiv w:val="1"/>
      <w:marLeft w:val="0"/>
      <w:marRight w:val="0"/>
      <w:marTop w:val="0"/>
      <w:marBottom w:val="0"/>
      <w:divBdr>
        <w:top w:val="none" w:sz="0" w:space="0" w:color="auto"/>
        <w:left w:val="none" w:sz="0" w:space="0" w:color="auto"/>
        <w:bottom w:val="none" w:sz="0" w:space="0" w:color="auto"/>
        <w:right w:val="none" w:sz="0" w:space="0" w:color="auto"/>
      </w:divBdr>
    </w:div>
    <w:div w:id="21105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dishidro pushidrosal</dc:creator>
  <cp:keywords/>
  <dc:description/>
  <cp:lastModifiedBy>iao@jhod.go.jp</cp:lastModifiedBy>
  <cp:revision>5</cp:revision>
  <dcterms:created xsi:type="dcterms:W3CDTF">2024-02-13T09:53:00Z</dcterms:created>
  <dcterms:modified xsi:type="dcterms:W3CDTF">2024-02-19T07:19:00Z</dcterms:modified>
</cp:coreProperties>
</file>