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6B" w:rsidRDefault="00F6016B" w:rsidP="00FD568D">
      <w:pPr>
        <w:spacing w:before="240" w:after="240" w:line="360" w:lineRule="auto"/>
        <w:jc w:val="center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="00402781" w:rsidRPr="00F6016B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Disaster Response Framework</w:t>
      </w:r>
      <w:r w:rsidR="00402781" w:rsidRPr="00F6016B">
        <w:rPr>
          <w:rFonts w:cstheme="minorHAnsi"/>
          <w:b/>
          <w:bCs/>
          <w:color w:val="000000" w:themeColor="text1"/>
          <w:lang w:val="en-US"/>
        </w:rPr>
        <w:br/>
      </w:r>
      <w:r w:rsidR="00402781" w:rsidRPr="00F6016B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(adopted at </w:t>
      </w:r>
      <w:r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EAtHC16</w:t>
      </w:r>
      <w:r w:rsidR="00402781" w:rsidRPr="00F6016B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  <w:r w:rsidR="00402781" w:rsidRPr="00F6016B">
        <w:rPr>
          <w:rFonts w:cstheme="minorHAnsi"/>
          <w:b/>
          <w:bCs/>
          <w:color w:val="000000" w:themeColor="text1"/>
          <w:lang w:val="en-US"/>
        </w:rPr>
        <w:br/>
      </w:r>
    </w:p>
    <w:p w:rsidR="00F6016B" w:rsidRPr="00F6016B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Introduction</w:t>
      </w:r>
    </w:p>
    <w:p w:rsidR="00FD568D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This plan aims at preparing the </w:t>
      </w:r>
      <w:r w:rsid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to respond to disasters in accordance with </w:t>
      </w:r>
      <w:r w:rsidRPr="00F6016B">
        <w:rPr>
          <w:rFonts w:cstheme="minorHAnsi"/>
          <w:color w:val="000000" w:themeColor="text1"/>
          <w:lang w:val="en-US"/>
        </w:rPr>
        <w:br/>
      </w:r>
      <w:r w:rsidR="00FD568D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</w:t>
      </w:r>
      <w:r w:rsidR="00FD568D"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IHO Resolution 1/2005 as amended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:rsidR="00F6016B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This will be done in two steps:</w:t>
      </w:r>
    </w:p>
    <w:p w:rsidR="00F6016B" w:rsidRPr="00F6016B" w:rsidRDefault="00F6016B" w:rsidP="00FD568D">
      <w:pPr>
        <w:pStyle w:val="ListParagraph"/>
        <w:numPr>
          <w:ilvl w:val="1"/>
          <w:numId w:val="1"/>
        </w:numPr>
        <w:spacing w:after="0" w:line="360" w:lineRule="auto"/>
        <w:ind w:left="714" w:hanging="357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Preparation activities;</w:t>
      </w:r>
    </w:p>
    <w:p w:rsidR="00F6016B" w:rsidRDefault="00402781" w:rsidP="00FD568D">
      <w:pPr>
        <w:pStyle w:val="ListParagraph"/>
        <w:numPr>
          <w:ilvl w:val="1"/>
          <w:numId w:val="1"/>
        </w:numPr>
        <w:spacing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Implementation activities following a disaster.</w:t>
      </w:r>
    </w:p>
    <w:p w:rsidR="00F6016B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These two groups of activities are described below.</w:t>
      </w:r>
    </w:p>
    <w:p w:rsidR="00F6016B" w:rsidRPr="00F6016B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Preparation of the Contingency Framework by </w:t>
      </w:r>
      <w:r w:rsidR="00F6016B" w:rsidRPr="00F6016B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coastal States</w:t>
      </w:r>
    </w:p>
    <w:p w:rsidR="00F6016B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Inform the </w:t>
      </w:r>
      <w:r w:rsid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Chair on points of contact and the means of communication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(attention should be given to provide alternative means of communication in case the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country has no telephonic and e-mail access):</w:t>
      </w:r>
    </w:p>
    <w:p w:rsidR="00F6016B" w:rsidRDefault="00402781" w:rsidP="00FD568D">
      <w:pPr>
        <w:pStyle w:val="ListParagraph"/>
        <w:numPr>
          <w:ilvl w:val="2"/>
          <w:numId w:val="1"/>
        </w:numPr>
        <w:spacing w:after="0" w:line="360" w:lineRule="auto"/>
        <w:ind w:left="1077" w:hanging="357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Senior Point of Contact</w:t>
      </w:r>
    </w:p>
    <w:p w:rsidR="00F6016B" w:rsidRDefault="00402781" w:rsidP="00FD568D">
      <w:pPr>
        <w:pStyle w:val="ListParagraph"/>
        <w:numPr>
          <w:ilvl w:val="2"/>
          <w:numId w:val="1"/>
        </w:numPr>
        <w:spacing w:after="0" w:line="360" w:lineRule="auto"/>
        <w:ind w:left="1077" w:hanging="357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Working Point of Contact</w:t>
      </w:r>
    </w:p>
    <w:p w:rsidR="00F6016B" w:rsidRDefault="00402781" w:rsidP="00FD568D">
      <w:pPr>
        <w:pStyle w:val="ListParagraph"/>
        <w:numPr>
          <w:ilvl w:val="2"/>
          <w:numId w:val="1"/>
        </w:numPr>
        <w:spacing w:after="0" w:line="360" w:lineRule="auto"/>
        <w:ind w:left="1077" w:hanging="357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Communication means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Prepare and keep updated with the </w:t>
      </w:r>
      <w:r w:rsid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Chair a checklist for key infrastructure in</w:t>
      </w:r>
      <w:r w:rsid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order to assess whether they are intact or need some urgent action. A generic template is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provided in Annex A.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Prepare and keep updated a National Communication Plan identifying the stakeholders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that will need to be contacted in order to obtain/to pass relevant information. Consider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using alternative means of communication such as radio communications or Messenger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App (e.g. Skype, Signal, Telegram, WhatsApp) if e-mail is not accessible.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Identify appropriate contacts in the national foreign Ministry to facilitate requests for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help via diplomatic channels.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605A36" w:rsidRDefault="00605A36" w:rsidP="00FD568D">
      <w:pPr>
        <w:pStyle w:val="ListParagraph"/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:rsidR="00605A36" w:rsidRPr="00605A36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lastRenderedPageBreak/>
        <w:t>Preparation of a GIS layer to support coordination</w:t>
      </w:r>
    </w:p>
    <w:p w:rsidR="00605A36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 GIS layer representing the hydrographic efforts to help the Chair in his/hers coordinating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role. For example, the layer could indicate the affected ports and routes, the deployment of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surveys teams, supporting imageries, status of MSI, outcomes of Analyzed Imagery,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recommended routes for humanitarian ships, etc. Such a system has the potential to avoid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duplications and assure the establishment of the priorities by the governments providing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support. Chair will seek support to the establishment and maintenance of the GIS.</w:t>
      </w:r>
    </w:p>
    <w:p w:rsidR="00605A36" w:rsidRPr="00605A36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Preparation of the Contingency Plan by the </w:t>
      </w:r>
      <w:r w:rsidR="00FD568D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EAtHC</w:t>
      </w:r>
      <w:r w:rsidRP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Chair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Compile the information provided in 2 and prepare a Communication Plan based on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information provided.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Prepare a list of (possibly) available assets that impacted coastal States can consider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 request via diplomatic channels to the neighboring States. A generic template is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provided in Annex B.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605A36" w:rsidRPr="00605A36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Response implementation activities by a coastal State following a disaster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Conduct the initial damage assessment of the key infrastructure using the checklist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prepared in 2b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Assess the specific effects on shipping of the existence of obstacles and any changes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 the seafloor that can hinder navigation, taking full account of the effects of drifting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obstacles which may also hinder preliminary survey results.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Prepare a priority plan for survey and charting to ensure that the passage of support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supplies through maritime channels and ports, and the marking of new dangers where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necessary.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Inform the 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Chair </w:t>
      </w:r>
      <w:r w:rsidR="004F429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result of the assessment performed in 5a, b and c as soon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 practicable.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Prepare a list of necessary support (4b) to be communicated to the minister of foreign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affairs via the chain of command in order to assure timely diplomatic clearance for other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Members hydrographic assets as part disaster relief. Provide an information copy to the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Chair.</w:t>
      </w:r>
    </w:p>
    <w:p w:rsidR="00605A36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The response to a disaster can be divided into activities for immediate response and a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subsequent recovery response.</w:t>
      </w:r>
    </w:p>
    <w:p w:rsidR="00605A36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Implementation activities by the </w:t>
      </w:r>
      <w:r w:rsid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EAtHC</w:t>
      </w:r>
      <w:r w:rsidRPr="00605A36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Chair: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Establish communication with the coastal State in distress in order to obtain the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initial assessment (5a, b and c).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Take the necessary actions in coordination with the coastal State.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Prepare a situation awareness report to be disseminated to all the coastal States as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established in the Communication Plan. Disseminate updates as deemed necessary.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Communicate with the NAVAREA Coordinators to ensure awareness of the situation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that the necessary navigational information is disseminated.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Liaise with the IHO Secretariat.</w:t>
      </w:r>
    </w:p>
    <w:p w:rsidR="00605A36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Communicate with the appropriate Regional and International Organizations to share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information and coordinate the efforts, for example:</w:t>
      </w:r>
    </w:p>
    <w:p w:rsidR="00605A36" w:rsidRPr="00605A36" w:rsidRDefault="00402781" w:rsidP="00FD568D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</w:rPr>
      </w:pPr>
      <w:r w:rsidRP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</w:rPr>
        <w:t>IMO (</w:t>
      </w:r>
      <w:hyperlink r:id="rId6" w:history="1">
        <w:r w:rsidR="00605A36" w:rsidRPr="00605A36">
          <w:rPr>
            <w:rStyle w:val="Hyperlink"/>
            <w:rFonts w:cstheme="minorHAnsi"/>
          </w:rPr>
          <w:t>http://www.imo.org</w:t>
        </w:r>
      </w:hyperlink>
      <w:r w:rsidRP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05A36" w:rsidRPr="00605A36" w:rsidRDefault="00402781" w:rsidP="00FD568D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</w:rPr>
      </w:pPr>
      <w:r w:rsidRP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</w:rPr>
        <w:t>IALA (</w:t>
      </w:r>
      <w:hyperlink r:id="rId7" w:history="1">
        <w:r w:rsidR="00605A36" w:rsidRPr="00605A36">
          <w:rPr>
            <w:rStyle w:val="Hyperlink"/>
            <w:rFonts w:cstheme="minorHAnsi"/>
          </w:rPr>
          <w:t>http://www.iala-aism.org</w:t>
        </w:r>
      </w:hyperlink>
      <w:r w:rsidRP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B53118" w:rsidRDefault="00402781" w:rsidP="00B53118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F429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="00B53118" w:rsidRPr="00B5311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International Oceanographic Commission (IOC) IOC Sub Commission for Africa &amp; the Adjacent Island States (IOCAFRICA)</w:t>
      </w:r>
      <w:r w:rsidR="00B5311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r w:rsidR="002D3AB3">
        <w:fldChar w:fldCharType="begin"/>
      </w:r>
      <w:r w:rsidR="002D3AB3" w:rsidRPr="002D3AB3">
        <w:rPr>
          <w:lang w:val="en-US"/>
        </w:rPr>
        <w:instrText xml:space="preserve"> HYPERLINK "https://www.ioc-africa.org/" </w:instrText>
      </w:r>
      <w:r w:rsidR="002D3AB3">
        <w:fldChar w:fldCharType="separate"/>
      </w:r>
      <w:r w:rsidR="00B53118" w:rsidRPr="00E76B63">
        <w:rPr>
          <w:rStyle w:val="Hyperlink"/>
          <w:rFonts w:cstheme="minorHAnsi"/>
          <w:lang w:val="en-US"/>
        </w:rPr>
        <w:t>https://www.ioc-africa.org/</w:t>
      </w:r>
      <w:r w:rsidR="002D3AB3">
        <w:rPr>
          <w:rStyle w:val="Hyperlink"/>
          <w:rFonts w:cstheme="minorHAnsi"/>
          <w:lang w:val="en-US"/>
        </w:rPr>
        <w:fldChar w:fldCharType="end"/>
      </w:r>
      <w:r w:rsidR="00B5311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B53118" w:rsidRPr="00B53118" w:rsidRDefault="00B53118" w:rsidP="00013A5A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Fonts w:cstheme="minorHAnsi"/>
          <w:color w:val="000000" w:themeColor="text1"/>
          <w:lang w:val="en-US"/>
        </w:rPr>
      </w:pPr>
      <w:r>
        <w:rPr>
          <w:color w:val="000000"/>
          <w:lang w:val="en-US"/>
        </w:rPr>
        <w:t>Maritime Organization of West and Central Africa (MOWCA)</w:t>
      </w:r>
      <w:r w:rsidR="00013A5A">
        <w:rPr>
          <w:color w:val="000000"/>
          <w:lang w:val="en-US"/>
        </w:rPr>
        <w:t xml:space="preserve">: </w:t>
      </w:r>
      <w:r w:rsidR="002D3AB3">
        <w:fldChar w:fldCharType="begin"/>
      </w:r>
      <w:r w:rsidR="002D3AB3" w:rsidRPr="002D3AB3">
        <w:rPr>
          <w:lang w:val="en-US"/>
        </w:rPr>
        <w:instrText xml:space="preserve"> HYPERLINK "http://www.omaoc.org/" </w:instrText>
      </w:r>
      <w:r w:rsidR="002D3AB3">
        <w:fldChar w:fldCharType="separate"/>
      </w:r>
      <w:r w:rsidR="00013A5A" w:rsidRPr="00E76B63">
        <w:rPr>
          <w:rStyle w:val="Hyperlink"/>
          <w:lang w:val="en-US"/>
        </w:rPr>
        <w:t>http://www.omaoc.org/</w:t>
      </w:r>
      <w:r w:rsidR="002D3AB3">
        <w:rPr>
          <w:rStyle w:val="Hyperlink"/>
          <w:lang w:val="en-US"/>
        </w:rPr>
        <w:fldChar w:fldCharType="end"/>
      </w:r>
      <w:r w:rsidR="00013A5A">
        <w:rPr>
          <w:color w:val="000000"/>
          <w:lang w:val="en-US"/>
        </w:rPr>
        <w:t xml:space="preserve"> </w:t>
      </w:r>
    </w:p>
    <w:p w:rsidR="00B53118" w:rsidRPr="00B53118" w:rsidRDefault="00B53118" w:rsidP="00013A5A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Fonts w:cstheme="minorHAnsi"/>
          <w:color w:val="000000" w:themeColor="text1"/>
          <w:lang w:val="en-US"/>
        </w:rPr>
      </w:pPr>
      <w:r>
        <w:rPr>
          <w:color w:val="000000"/>
          <w:lang w:val="en-US"/>
        </w:rPr>
        <w:t>Ports Management Association of West and Central Africa (PMAWCA)</w:t>
      </w:r>
      <w:r w:rsidR="00013A5A">
        <w:rPr>
          <w:color w:val="000000"/>
          <w:lang w:val="en-US"/>
        </w:rPr>
        <w:t>:</w:t>
      </w:r>
      <w:r w:rsidR="00013A5A" w:rsidRPr="00013A5A">
        <w:rPr>
          <w:lang w:val="en-US"/>
        </w:rPr>
        <w:t xml:space="preserve"> </w:t>
      </w:r>
      <w:r w:rsidR="002D3AB3">
        <w:fldChar w:fldCharType="begin"/>
      </w:r>
      <w:r w:rsidR="002D3AB3" w:rsidRPr="002D3AB3">
        <w:rPr>
          <w:lang w:val="en-US"/>
        </w:rPr>
        <w:instrText xml:space="preserve"> HYPERLINK "https://agpaoc-pmawca.org/" </w:instrText>
      </w:r>
      <w:r w:rsidR="002D3AB3">
        <w:fldChar w:fldCharType="separate"/>
      </w:r>
      <w:r w:rsidR="00013A5A" w:rsidRPr="00E76B63">
        <w:rPr>
          <w:rStyle w:val="Hyperlink"/>
          <w:lang w:val="en-US"/>
        </w:rPr>
        <w:t>https://agpaoc-pmawca.org/</w:t>
      </w:r>
      <w:r w:rsidR="002D3AB3">
        <w:rPr>
          <w:rStyle w:val="Hyperlink"/>
          <w:lang w:val="en-US"/>
        </w:rPr>
        <w:fldChar w:fldCharType="end"/>
      </w:r>
      <w:r w:rsidR="00013A5A">
        <w:rPr>
          <w:color w:val="000000"/>
          <w:lang w:val="en-US"/>
        </w:rPr>
        <w:t xml:space="preserve">  </w:t>
      </w:r>
    </w:p>
    <w:p w:rsidR="00B53118" w:rsidRPr="00B53118" w:rsidRDefault="00B53118" w:rsidP="00013A5A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5311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African Maritime Safety and Security Agency (AMSSA)</w:t>
      </w:r>
      <w:r w:rsid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r w:rsidR="002D3AB3">
        <w:fldChar w:fldCharType="begin"/>
      </w:r>
      <w:r w:rsidR="002D3AB3" w:rsidRPr="002D3AB3">
        <w:rPr>
          <w:lang w:val="en-US"/>
        </w:rPr>
        <w:instrText xml:space="preserve"> HYPERLINK "http://www.amssa.net/" </w:instrText>
      </w:r>
      <w:r w:rsidR="002D3AB3">
        <w:fldChar w:fldCharType="separate"/>
      </w:r>
      <w:r w:rsidR="00013A5A" w:rsidRPr="00E76B63">
        <w:rPr>
          <w:rStyle w:val="Hyperlink"/>
          <w:rFonts w:cstheme="minorHAnsi"/>
          <w:lang w:val="en-US"/>
        </w:rPr>
        <w:t>http://www.amssa.net/</w:t>
      </w:r>
      <w:r w:rsidR="002D3AB3">
        <w:rPr>
          <w:rStyle w:val="Hyperlink"/>
          <w:rFonts w:cstheme="minorHAnsi"/>
          <w:lang w:val="en-US"/>
        </w:rPr>
        <w:fldChar w:fldCharType="end"/>
      </w:r>
      <w:r w:rsid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605A36" w:rsidRDefault="00402781" w:rsidP="00FD568D">
      <w:pPr>
        <w:pStyle w:val="ListParagraph"/>
        <w:numPr>
          <w:ilvl w:val="2"/>
          <w:numId w:val="1"/>
        </w:numPr>
        <w:spacing w:before="240" w:after="240" w:line="360" w:lineRule="auto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MapAction</w:t>
      </w:r>
      <w:proofErr w:type="spellEnd"/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2D3AB3">
        <w:fldChar w:fldCharType="begin"/>
      </w:r>
      <w:r w:rsidR="002D3AB3" w:rsidRPr="002D3AB3">
        <w:rPr>
          <w:lang w:val="en-US"/>
        </w:rPr>
        <w:instrText xml:space="preserve"> HYPERLINK "http://www.ma</w:instrText>
      </w:r>
      <w:bookmarkStart w:id="0" w:name="_GoBack"/>
      <w:bookmarkEnd w:id="0"/>
      <w:r w:rsidR="002D3AB3" w:rsidRPr="002D3AB3">
        <w:rPr>
          <w:lang w:val="en-US"/>
        </w:rPr>
        <w:instrText xml:space="preserve">paction.org" </w:instrText>
      </w:r>
      <w:r w:rsidR="002D3AB3">
        <w:fldChar w:fldCharType="separate"/>
      </w:r>
      <w:r w:rsidR="00605A36" w:rsidRPr="00B321F1">
        <w:rPr>
          <w:rStyle w:val="Hyperlink"/>
          <w:rFonts w:cstheme="minorHAnsi"/>
          <w:lang w:val="en-US"/>
        </w:rPr>
        <w:t>http://www.mapaction.org</w:t>
      </w:r>
      <w:r w:rsidR="002D3AB3">
        <w:rPr>
          <w:rStyle w:val="Hyperlink"/>
          <w:rFonts w:cstheme="minorHAnsi"/>
          <w:lang w:val="en-US"/>
        </w:rPr>
        <w:fldChar w:fldCharType="end"/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:rsidR="00013A5A" w:rsidRDefault="00013A5A" w:rsidP="00FD568D">
      <w:pPr>
        <w:spacing w:before="240" w:after="240" w:line="360" w:lineRule="auto"/>
        <w:ind w:left="72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-US"/>
        </w:rPr>
      </w:pPr>
    </w:p>
    <w:p w:rsidR="00BF73F2" w:rsidRDefault="00402781" w:rsidP="00FD568D">
      <w:pPr>
        <w:pStyle w:val="ListParagraph"/>
        <w:numPr>
          <w:ilvl w:val="1"/>
          <w:numId w:val="1"/>
        </w:numPr>
        <w:spacing w:before="240" w:after="240" w:line="360" w:lineRule="auto"/>
        <w:contextualSpacing w:val="0"/>
        <w:jc w:val="both"/>
        <w:rPr>
          <w:rStyle w:val="fontstyle31"/>
          <w:rFonts w:asciiTheme="minorHAnsi" w:hAnsiTheme="minorHAnsi" w:cstheme="minorHAnsi"/>
          <w:color w:val="000000" w:themeColor="text1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Decide, based on the information collected, whether an Extraordinary Conference of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</w:t>
      </w:r>
      <w:r w:rsidR="00FD568D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(or videoconference) </w:t>
      </w:r>
      <w:proofErr w:type="gramStart"/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is needed</w:t>
      </w:r>
      <w:proofErr w:type="gramEnd"/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in order to discuss in detail the problems,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evaluate the damage and respond to requests for support.</w:t>
      </w:r>
      <w:r w:rsidR="00605A36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BF73F2" w:rsidRPr="00FD568D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FD568D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Establishment of the </w:t>
      </w:r>
      <w:r w:rsidR="00013A5A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EAtHC</w:t>
      </w:r>
      <w:r w:rsidRPr="00FD568D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Contingency Framework</w:t>
      </w:r>
    </w:p>
    <w:p w:rsidR="00FD568D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</w:t>
      </w:r>
      <w:r w:rsidR="00FD568D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Contingency Framework will be prepared based on the information provided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with the annexes and approved by each </w:t>
      </w:r>
      <w:r w:rsidR="00FD568D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Conference or by correspondence as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necessary, based on the information provided by the coastal States.</w:t>
      </w:r>
    </w:p>
    <w:p w:rsidR="00BF73F2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Chair should ensure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 permanent agenda item on RHC meetings in order to monitor the readiness of the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Commission to respond to disasters and conducting regular table-top exercises to evaluate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F6016B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procedures.</w:t>
      </w:r>
    </w:p>
    <w:p w:rsidR="00BF73F2" w:rsidRPr="00FD568D" w:rsidRDefault="00402781" w:rsidP="00FD568D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FD568D">
        <w:rPr>
          <w:rStyle w:val="fontstyle21"/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Online documents</w:t>
      </w:r>
    </w:p>
    <w:p w:rsidR="00BF73F2" w:rsidRDefault="00402781" w:rsidP="00FD568D">
      <w:pPr>
        <w:pStyle w:val="ListParagraph"/>
        <w:spacing w:before="240" w:after="240" w:line="360" w:lineRule="auto"/>
        <w:ind w:left="360"/>
        <w:contextualSpacing w:val="0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This </w:t>
      </w:r>
      <w:r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Framework, templates and other relevant documents are available on the Disaster</w:t>
      </w:r>
      <w:r w:rsidR="00BF73F2"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Response Section of the </w:t>
      </w:r>
      <w:r w:rsidR="00FD568D"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EAtHC</w:t>
      </w:r>
      <w:r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website.</w:t>
      </w:r>
      <w:r w:rsidR="00BF73F2"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National Points of Contact should be updated annually. Documents will also include</w:t>
      </w:r>
      <w:r w:rsidR="00BF73F2"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013A5A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National Response Plans, experiences and related best practices.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Annex A - </w:t>
      </w: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Template for the definition of the key infrastructure components and damage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assessment in coastal States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Annex B - </w:t>
      </w: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Template for (possibly) available assets that impacted coastal States can consider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 request via diplomatic channels from neighboring States</w:t>
      </w:r>
      <w:r w:rsid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DC4B48" w:rsidRDefault="00DC4B48" w:rsidP="00FD568D">
      <w:pPr>
        <w:spacing w:before="240" w:after="240" w:line="360" w:lineRule="auto"/>
        <w:jc w:val="both"/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sectPr w:rsidR="00DC4B4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73F2" w:rsidRDefault="00402781" w:rsidP="00DC4B48">
      <w:pPr>
        <w:spacing w:before="240" w:after="240" w:line="360" w:lineRule="auto"/>
        <w:jc w:val="center"/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Annex A</w:t>
      </w:r>
      <w:r w:rsid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Template for the definition of the key infrastructure components and port damage</w:t>
      </w:r>
      <w:r w:rsid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assessment in coastal States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1) Situation in each of the key ports, their accesses and critical passage points: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a) Existence of debris and obstructions and hazardous materials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b) Possible changes to the charted depths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c) Working condition of tide gauges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d) Working condition of </w:t>
      </w:r>
      <w:proofErr w:type="spellStart"/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AtoN</w:t>
      </w:r>
      <w:proofErr w:type="spellEnd"/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e) Piers, buildings available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f) Fuel available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g) Storage space available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h) Vessels of opportunity available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</w:t>
      </w:r>
      <w:proofErr w:type="spellEnd"/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 Capacity to disseminate key navigational information to the National MSI Coordinator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2) Capacity of the National MSI Coordinator to: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a) promulgate the appropriate navigational warnings and necessary information and advice to</w:t>
      </w:r>
      <w:r w:rsidR="00DC4B4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shipping through existing channels (e.g. NAVTEX, EGC, etc.)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b) communicate with the NAVAREA Coordinator</w:t>
      </w:r>
    </w:p>
    <w:p w:rsidR="00BF73F2" w:rsidRDefault="00402781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c) communicate with the other national agencies as established in the National</w:t>
      </w:r>
      <w:r w:rsidR="00DC4B48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Communication Plan</w:t>
      </w:r>
    </w:p>
    <w:p w:rsidR="00DC4B48" w:rsidRDefault="00DC4B48" w:rsidP="00DC4B48">
      <w:pPr>
        <w:spacing w:before="240" w:after="240" w:line="360" w:lineRule="auto"/>
        <w:ind w:left="708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sectPr w:rsidR="00DC4B4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73F2" w:rsidRDefault="00402781" w:rsidP="00DC4B48">
      <w:pPr>
        <w:spacing w:before="240" w:after="240" w:line="360" w:lineRule="auto"/>
        <w:jc w:val="center"/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Annex B</w:t>
      </w:r>
    </w:p>
    <w:p w:rsidR="00BF73F2" w:rsidRDefault="00402781" w:rsidP="00DC4B48">
      <w:pPr>
        <w:spacing w:before="240" w:after="240" w:line="360" w:lineRule="auto"/>
        <w:jc w:val="center"/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Template for (possibly) available assets that impacted coastal States can consider for</w:t>
      </w:r>
      <w:r w:rsid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F73F2">
        <w:rPr>
          <w:rStyle w:val="fontstyle0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request via diplomatic channels from neighboring States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1) Reconnaissance/assessment flights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2) Assessment using satellite imagery, including satellite-derived bathymetry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3) Deployable survey teams</w:t>
      </w:r>
    </w:p>
    <w:p w:rsidR="00BF73F2" w:rsidRDefault="00402781" w:rsidP="00FD568D">
      <w:pPr>
        <w:spacing w:before="240" w:after="240" w:line="360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4) Production of interim-ENC</w:t>
      </w:r>
    </w:p>
    <w:p w:rsidR="00E51813" w:rsidRPr="00BF73F2" w:rsidRDefault="00402781" w:rsidP="00FD568D">
      <w:pPr>
        <w:spacing w:before="240" w:after="240" w:line="360" w:lineRule="auto"/>
        <w:jc w:val="both"/>
        <w:rPr>
          <w:rFonts w:cstheme="minorHAnsi"/>
          <w:b/>
          <w:bCs/>
          <w:color w:val="000000" w:themeColor="text1"/>
          <w:lang w:val="en-US"/>
        </w:rPr>
      </w:pPr>
      <w:r w:rsidRPr="00BF73F2">
        <w:rPr>
          <w:rStyle w:val="fontstyle21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5) Preparation of situational awareness map</w:t>
      </w:r>
    </w:p>
    <w:sectPr w:rsidR="00E51813" w:rsidRPr="00BF7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V Boli"/>
    <w:panose1 w:val="00000000000000000000"/>
    <w:charset w:val="00"/>
    <w:family w:val="roman"/>
    <w:notTrueType/>
    <w:pitch w:val="default"/>
  </w:font>
  <w:font w:name="TimesNewRomanPSMT">
    <w:altName w:val="MV Boli"/>
    <w:panose1 w:val="00000000000000000000"/>
    <w:charset w:val="00"/>
    <w:family w:val="roman"/>
    <w:notTrueType/>
    <w:pitch w:val="default"/>
  </w:font>
  <w:font w:name="Tahoma-Bold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191"/>
    <w:multiLevelType w:val="hybridMultilevel"/>
    <w:tmpl w:val="4DB0E450"/>
    <w:lvl w:ilvl="0" w:tplc="0FAEC5A2">
      <w:start w:val="1"/>
      <w:numFmt w:val="decimal"/>
      <w:lvlText w:val="%1."/>
      <w:lvlJc w:val="left"/>
      <w:pPr>
        <w:ind w:left="555" w:hanging="1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741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1"/>
    <w:rsid w:val="00013A5A"/>
    <w:rsid w:val="002D3AB3"/>
    <w:rsid w:val="00402781"/>
    <w:rsid w:val="004F4298"/>
    <w:rsid w:val="00605A36"/>
    <w:rsid w:val="00B53118"/>
    <w:rsid w:val="00BF73F2"/>
    <w:rsid w:val="00DC4B48"/>
    <w:rsid w:val="00E51813"/>
    <w:rsid w:val="00F6016B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477E-A667-463B-9A37-53D5381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02781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fontstyle21">
    <w:name w:val="fontstyle21"/>
    <w:basedOn w:val="DefaultParagraphFont"/>
    <w:rsid w:val="00402781"/>
    <w:rPr>
      <w:rFonts w:ascii="TimesNewRomanPSMT" w:hAnsi="TimesNewRomanPSMT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31">
    <w:name w:val="fontstyle31"/>
    <w:basedOn w:val="DefaultParagraphFont"/>
    <w:rsid w:val="004027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02781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6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ala-ais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B43E-3031-4AD4-B17F-4DE29FFE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Hidrográfico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 - DT - HI -  Chefe Divisão de Hidrografia</dc:creator>
  <cp:keywords/>
  <dc:description/>
  <cp:lastModifiedBy>IH - DT - HI -  Chefe Divisão de Hidrografia</cp:lastModifiedBy>
  <cp:revision>2</cp:revision>
  <dcterms:created xsi:type="dcterms:W3CDTF">2021-08-30T14:45:00Z</dcterms:created>
  <dcterms:modified xsi:type="dcterms:W3CDTF">2021-08-30T14:45:00Z</dcterms:modified>
</cp:coreProperties>
</file>