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3954" w14:textId="77777777" w:rsidR="00E67120" w:rsidRPr="003C7ABA" w:rsidRDefault="00D37963" w:rsidP="00D37963">
      <w:pPr>
        <w:jc w:val="center"/>
        <w:rPr>
          <w:b/>
          <w:sz w:val="36"/>
          <w:lang w:val="en-US"/>
        </w:rPr>
      </w:pPr>
      <w:r w:rsidRPr="003C7ABA">
        <w:rPr>
          <w:b/>
          <w:sz w:val="36"/>
          <w:lang w:val="en-US"/>
        </w:rPr>
        <w:t>EAtHC16</w:t>
      </w:r>
    </w:p>
    <w:p w14:paraId="6C651BD6" w14:textId="77777777" w:rsidR="00D37963" w:rsidRPr="00D37963" w:rsidRDefault="00D37963" w:rsidP="00D37963">
      <w:pPr>
        <w:jc w:val="center"/>
        <w:rPr>
          <w:lang w:val="en-US"/>
        </w:rPr>
      </w:pPr>
      <w:r w:rsidRPr="00D37963">
        <w:rPr>
          <w:lang w:val="en-US"/>
        </w:rPr>
        <w:t>September 29 – October 01</w:t>
      </w:r>
    </w:p>
    <w:p w14:paraId="7DE9E19E" w14:textId="77777777" w:rsidR="00D37963" w:rsidRPr="00D37963" w:rsidRDefault="00D37963" w:rsidP="00D37963">
      <w:pPr>
        <w:jc w:val="center"/>
        <w:rPr>
          <w:b/>
          <w:sz w:val="36"/>
          <w:lang w:val="en-US"/>
        </w:rPr>
      </w:pPr>
      <w:r w:rsidRPr="00D37963">
        <w:rPr>
          <w:b/>
          <w:sz w:val="36"/>
          <w:lang w:val="en-US"/>
        </w:rPr>
        <w:t>List of Actions and Decisions</w:t>
      </w:r>
    </w:p>
    <w:p w14:paraId="1081546D" w14:textId="77777777" w:rsidR="00D37963" w:rsidRDefault="00D37963" w:rsidP="00D37963">
      <w:pPr>
        <w:rPr>
          <w:rFonts w:eastAsia="Times New Roman"/>
          <w:bCs/>
          <w:lang w:val="en-GB"/>
        </w:rPr>
      </w:pPr>
    </w:p>
    <w:p w14:paraId="4C908DF9" w14:textId="77777777" w:rsidR="00D37963" w:rsidRPr="00250010" w:rsidRDefault="00D37963" w:rsidP="00D37963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GB"/>
        </w:rPr>
      </w:pPr>
      <w:r w:rsidRPr="00250010">
        <w:rPr>
          <w:rFonts w:eastAsia="Times New Roman"/>
          <w:b/>
          <w:bCs/>
          <w:lang w:val="en-GB"/>
        </w:rPr>
        <w:t>EAtHC Administration/organisational issues</w:t>
      </w:r>
    </w:p>
    <w:p w14:paraId="60A36205" w14:textId="77777777" w:rsid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Approval of agenda</w:t>
      </w:r>
    </w:p>
    <w:p w14:paraId="76F44E7A" w14:textId="77777777" w:rsidR="00D37963" w:rsidRPr="00D37963" w:rsidRDefault="00D37963" w:rsidP="00D37963">
      <w:pPr>
        <w:pStyle w:val="ListParagraph"/>
        <w:ind w:left="792"/>
        <w:rPr>
          <w:rFonts w:eastAsia="Times New Roman"/>
          <w:bCs/>
          <w:lang w:val="en-GB"/>
        </w:rPr>
      </w:pPr>
      <w:r w:rsidRPr="00B321BC">
        <w:rPr>
          <w:rFonts w:eastAsia="Times New Roman"/>
          <w:bCs/>
          <w:color w:val="FF0000"/>
          <w:szCs w:val="24"/>
          <w:lang w:val="en-GB"/>
        </w:rPr>
        <w:t xml:space="preserve">Decision 1: </w:t>
      </w:r>
      <w:r>
        <w:rPr>
          <w:rFonts w:eastAsia="Times New Roman"/>
          <w:bCs/>
          <w:color w:val="FF0000"/>
          <w:szCs w:val="24"/>
          <w:lang w:val="en-GB"/>
        </w:rPr>
        <w:t>A</w:t>
      </w:r>
      <w:r w:rsidRPr="00B321BC">
        <w:rPr>
          <w:rFonts w:eastAsia="Times New Roman"/>
          <w:bCs/>
          <w:color w:val="FF0000"/>
          <w:szCs w:val="24"/>
          <w:lang w:val="en-GB"/>
        </w:rPr>
        <w:t xml:space="preserve">pprove </w:t>
      </w:r>
      <w:r>
        <w:rPr>
          <w:rFonts w:eastAsia="Times New Roman"/>
          <w:bCs/>
          <w:color w:val="FF0000"/>
          <w:szCs w:val="24"/>
          <w:lang w:val="en-GB"/>
        </w:rPr>
        <w:t xml:space="preserve">the </w:t>
      </w:r>
      <w:r w:rsidRPr="00B321BC">
        <w:rPr>
          <w:rFonts w:eastAsia="Times New Roman"/>
          <w:bCs/>
          <w:color w:val="FF0000"/>
          <w:szCs w:val="24"/>
          <w:lang w:val="en-GB"/>
        </w:rPr>
        <w:t xml:space="preserve">Agenda of the </w:t>
      </w:r>
      <w:r>
        <w:rPr>
          <w:rFonts w:eastAsia="Times New Roman"/>
          <w:bCs/>
          <w:color w:val="FF0000"/>
          <w:szCs w:val="24"/>
          <w:lang w:val="en-GB"/>
        </w:rPr>
        <w:t xml:space="preserve">EAtHC16 </w:t>
      </w:r>
      <w:r w:rsidRPr="00B321BC">
        <w:rPr>
          <w:rFonts w:eastAsia="Times New Roman"/>
          <w:bCs/>
          <w:color w:val="FF0000"/>
          <w:szCs w:val="24"/>
          <w:lang w:val="en-GB"/>
        </w:rPr>
        <w:t>Meeting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Pr="00D37963">
        <w:rPr>
          <w:rFonts w:eastAsia="Times New Roman"/>
          <w:bCs/>
          <w:color w:val="FF0000"/>
          <w:szCs w:val="24"/>
          <w:lang w:val="en-GB"/>
        </w:rPr>
        <w:t>(doc. EAtHC16-01)</w:t>
      </w:r>
    </w:p>
    <w:p w14:paraId="15739768" w14:textId="77777777" w:rsidR="00D37963" w:rsidRP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Chairmanship/Vice-Chairmanship</w:t>
      </w:r>
    </w:p>
    <w:p w14:paraId="0E8438A4" w14:textId="77777777" w:rsidR="00D37963" w:rsidRP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Matters Arising from Minutes of EAtHC15</w:t>
      </w:r>
    </w:p>
    <w:p w14:paraId="017DA67A" w14:textId="77777777" w:rsid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Re</w:t>
      </w:r>
      <w:r>
        <w:rPr>
          <w:rFonts w:eastAsia="Times New Roman"/>
          <w:bCs/>
          <w:lang w:val="en-GB"/>
        </w:rPr>
        <w:t>view of 15th EAtHC Actions List</w:t>
      </w:r>
    </w:p>
    <w:p w14:paraId="4C6840F4" w14:textId="77777777" w:rsidR="00D37963" w:rsidRDefault="00D37963" w:rsidP="00D37963">
      <w:pPr>
        <w:pStyle w:val="ListParagraph"/>
        <w:ind w:left="792"/>
        <w:rPr>
          <w:rFonts w:eastAsia="Times New Roman"/>
          <w:bCs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</w:t>
      </w:r>
      <w:r w:rsidRPr="00B321BC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Approve </w:t>
      </w:r>
      <w:r w:rsidRPr="00D37963">
        <w:rPr>
          <w:rFonts w:eastAsia="Times New Roman"/>
          <w:bCs/>
          <w:color w:val="FF0000"/>
          <w:szCs w:val="24"/>
          <w:lang w:val="en-GB"/>
        </w:rPr>
        <w:t>actions list review proposal</w:t>
      </w:r>
    </w:p>
    <w:p w14:paraId="5690B80B" w14:textId="77777777" w:rsid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Actions and Recommendations arising from IRCC13</w:t>
      </w:r>
    </w:p>
    <w:p w14:paraId="08F1566A" w14:textId="77777777" w:rsidR="00D37963" w:rsidRP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Review of the current EAtHC Statutes</w:t>
      </w:r>
    </w:p>
    <w:p w14:paraId="2D8CE0DF" w14:textId="77777777" w:rsidR="00D37963" w:rsidRDefault="00D37963" w:rsidP="00D37963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3</w:t>
      </w:r>
      <w:r w:rsidRPr="00B321BC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Approve</w:t>
      </w:r>
      <w:r w:rsidRPr="00D37963">
        <w:rPr>
          <w:rFonts w:eastAsia="Times New Roman"/>
          <w:bCs/>
          <w:color w:val="FF0000"/>
          <w:szCs w:val="24"/>
          <w:lang w:val="en-GB"/>
        </w:rPr>
        <w:t xml:space="preserve"> on following the statutes amendment </w:t>
      </w:r>
      <w:r>
        <w:rPr>
          <w:rFonts w:eastAsia="Times New Roman"/>
          <w:bCs/>
          <w:color w:val="FF0000"/>
          <w:szCs w:val="24"/>
          <w:lang w:val="en-GB"/>
        </w:rPr>
        <w:t xml:space="preserve">proposal </w:t>
      </w:r>
      <w:r w:rsidRPr="00D37963">
        <w:rPr>
          <w:rFonts w:eastAsia="Times New Roman"/>
          <w:bCs/>
          <w:color w:val="FF0000"/>
          <w:szCs w:val="24"/>
          <w:lang w:val="en-GB"/>
        </w:rPr>
        <w:t>procedure</w:t>
      </w:r>
    </w:p>
    <w:p w14:paraId="109BA5FA" w14:textId="77777777" w:rsidR="00D37963" w:rsidRPr="00D37963" w:rsidRDefault="00D37963" w:rsidP="00D37963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</w:p>
    <w:p w14:paraId="3E3B2EED" w14:textId="77777777" w:rsidR="00D37963" w:rsidRPr="00250010" w:rsidRDefault="00D37963" w:rsidP="00D37963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GB"/>
        </w:rPr>
      </w:pPr>
      <w:r w:rsidRPr="00250010">
        <w:rPr>
          <w:rFonts w:eastAsia="Times New Roman"/>
          <w:b/>
          <w:bCs/>
          <w:lang w:val="en-GB"/>
        </w:rPr>
        <w:t>IHO Matters</w:t>
      </w:r>
    </w:p>
    <w:p w14:paraId="7F842265" w14:textId="77777777" w:rsid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IHO Secretariat Report</w:t>
      </w:r>
    </w:p>
    <w:p w14:paraId="0B2876E7" w14:textId="77777777" w:rsidR="00451FB3" w:rsidRPr="00451FB3" w:rsidRDefault="00451FB3" w:rsidP="00451FB3">
      <w:pPr>
        <w:pStyle w:val="ListParagraph"/>
        <w:ind w:left="792"/>
        <w:rPr>
          <w:rFonts w:eastAsia="Times New Roman"/>
          <w:bCs/>
          <w:lang w:val="en-GB"/>
        </w:rPr>
      </w:pPr>
      <w:r w:rsidRPr="00451FB3">
        <w:rPr>
          <w:rFonts w:eastAsia="Times New Roman"/>
          <w:bCs/>
          <w:color w:val="FF0000"/>
          <w:szCs w:val="24"/>
          <w:lang w:val="en-GB"/>
        </w:rPr>
        <w:t>Decision 4: Note the IHO Secretariat Report</w:t>
      </w:r>
    </w:p>
    <w:p w14:paraId="2A663949" w14:textId="77777777" w:rsidR="00D37963" w:rsidRPr="00451FB3" w:rsidRDefault="00451FB3" w:rsidP="00451FB3">
      <w:pPr>
        <w:pStyle w:val="ListParagraph"/>
        <w:ind w:left="792"/>
        <w:jc w:val="both"/>
        <w:rPr>
          <w:rStyle w:val="fontstyle01"/>
          <w:rFonts w:asciiTheme="minorHAnsi" w:hAnsiTheme="minorHAnsi"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 xml:space="preserve">Recommendation 1: </w:t>
      </w:r>
      <w:r w:rsidRPr="00451FB3">
        <w:rPr>
          <w:rStyle w:val="fontstyle01"/>
          <w:rFonts w:asciiTheme="minorHAnsi" w:hAnsiTheme="minorHAnsi"/>
          <w:color w:val="002060"/>
          <w:lang w:val="en-US"/>
        </w:rPr>
        <w:t>In accordance with the EAtHC Statutes in force, the DRC is now invited to consider the possibility of signing the EAtHC Statutes to become a full Member of the EAtHC.</w:t>
      </w:r>
    </w:p>
    <w:p w14:paraId="2EB0764B" w14:textId="77777777" w:rsidR="00451FB3" w:rsidRDefault="00451FB3" w:rsidP="00451FB3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Recommendation 2: As planned under agenda item 1.6; the EAtHC is invited to consider the need to adapt their respective instruments to comply with the recommendations of the IHO Resolution 2/1997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as amended by A-2 as appropriate.</w:t>
      </w:r>
    </w:p>
    <w:p w14:paraId="42B6EDBE" w14:textId="77777777" w:rsidR="00451FB3" w:rsidRDefault="00451FB3" w:rsidP="00451FB3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3:</w:t>
      </w:r>
      <w:r w:rsidRPr="00451FB3">
        <w:rPr>
          <w:rFonts w:eastAsia="Times New Roman"/>
          <w:bCs/>
          <w:color w:val="002060"/>
          <w:lang w:val="en-US"/>
        </w:rPr>
        <w:t xml:space="preserve"> With the possible development of INToGIS III to encompass S-100 services,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EAtHC members are invited to consider the future role of the Coordinator for Region G.</w:t>
      </w:r>
    </w:p>
    <w:p w14:paraId="7ECB6B56" w14:textId="26A28DBE" w:rsidR="00451FB3" w:rsidRDefault="00451FB3" w:rsidP="00451FB3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4</w:t>
      </w:r>
      <w:r w:rsidRPr="00451FB3">
        <w:rPr>
          <w:rFonts w:eastAsia="Times New Roman"/>
          <w:bCs/>
          <w:color w:val="002060"/>
          <w:lang w:val="en-US"/>
        </w:rPr>
        <w:t xml:space="preserve">. </w:t>
      </w:r>
      <w:r w:rsidR="009C7F77" w:rsidRPr="00451FB3">
        <w:rPr>
          <w:rFonts w:eastAsia="Times New Roman"/>
          <w:bCs/>
          <w:color w:val="002060"/>
          <w:lang w:val="en-US"/>
        </w:rPr>
        <w:t>EA</w:t>
      </w:r>
      <w:r w:rsidR="009C7F77">
        <w:rPr>
          <w:rFonts w:eastAsia="Times New Roman"/>
          <w:bCs/>
          <w:color w:val="002060"/>
          <w:lang w:val="en-US"/>
        </w:rPr>
        <w:t>t</w:t>
      </w:r>
      <w:r w:rsidR="009C7F77" w:rsidRPr="00451FB3">
        <w:rPr>
          <w:rFonts w:eastAsia="Times New Roman"/>
          <w:bCs/>
          <w:color w:val="002060"/>
          <w:lang w:val="en-US"/>
        </w:rPr>
        <w:t xml:space="preserve">HC </w:t>
      </w:r>
      <w:r w:rsidRPr="00451FB3">
        <w:rPr>
          <w:rFonts w:eastAsia="Times New Roman"/>
          <w:bCs/>
          <w:color w:val="002060"/>
          <w:lang w:val="en-US"/>
        </w:rPr>
        <w:t xml:space="preserve">members are invited to continue </w:t>
      </w:r>
      <w:r w:rsidR="009C7F77">
        <w:rPr>
          <w:rFonts w:eastAsia="Times New Roman"/>
          <w:bCs/>
          <w:color w:val="002060"/>
          <w:lang w:val="en-US"/>
        </w:rPr>
        <w:t xml:space="preserve">to </w:t>
      </w:r>
      <w:r w:rsidRPr="00451FB3">
        <w:rPr>
          <w:rFonts w:eastAsia="Times New Roman"/>
          <w:bCs/>
          <w:color w:val="002060"/>
          <w:lang w:val="en-US"/>
        </w:rPr>
        <w:t>follow and evaluate the possibility to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contribute to the CB Progra</w:t>
      </w:r>
      <w:r w:rsidR="009C7F77">
        <w:rPr>
          <w:rFonts w:eastAsia="Times New Roman"/>
          <w:bCs/>
          <w:color w:val="002060"/>
          <w:lang w:val="en-US"/>
        </w:rPr>
        <w:t>m</w:t>
      </w:r>
      <w:r w:rsidRPr="00451FB3">
        <w:rPr>
          <w:rFonts w:eastAsia="Times New Roman"/>
          <w:bCs/>
          <w:color w:val="002060"/>
          <w:lang w:val="en-US"/>
        </w:rPr>
        <w:t>.</w:t>
      </w:r>
    </w:p>
    <w:p w14:paraId="5CE1AFDC" w14:textId="77777777" w:rsidR="00451FB3" w:rsidRPr="00451FB3" w:rsidRDefault="00451FB3" w:rsidP="00451FB3">
      <w:pPr>
        <w:pStyle w:val="ListParagraph"/>
        <w:ind w:left="792"/>
        <w:jc w:val="both"/>
        <w:rPr>
          <w:rFonts w:eastAsia="Times New Roman"/>
          <w:bCs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Recommendation 5. The Chair is requested to encourage all EAtHC members to:</w:t>
      </w:r>
    </w:p>
    <w:p w14:paraId="5924813C" w14:textId="77777777" w:rsidR="00451FB3" w:rsidRPr="00451FB3" w:rsidRDefault="00451FB3" w:rsidP="005B087B">
      <w:pPr>
        <w:pStyle w:val="ListParagraph"/>
        <w:numPr>
          <w:ilvl w:val="3"/>
          <w:numId w:val="3"/>
        </w:numPr>
        <w:jc w:val="both"/>
        <w:rPr>
          <w:rFonts w:eastAsia="Times New Roman"/>
          <w:bCs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encourage all information providers (NAV and MET Area Coordinators and RCCs) to complete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agreements with all RMSS and commence the necessary testing of the SafetyCast system to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progress towards declaring full operational status;</w:t>
      </w:r>
    </w:p>
    <w:p w14:paraId="687EAD5E" w14:textId="77777777" w:rsidR="00451FB3" w:rsidRPr="00451FB3" w:rsidRDefault="00451FB3" w:rsidP="005B087B">
      <w:pPr>
        <w:pStyle w:val="ListParagraph"/>
        <w:numPr>
          <w:ilvl w:val="3"/>
          <w:numId w:val="3"/>
        </w:numPr>
        <w:jc w:val="both"/>
        <w:rPr>
          <w:rFonts w:eastAsia="Times New Roman"/>
          <w:bCs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establish and support, within their relevant maritime administrations, individual national structures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with responsibility for the gathering and communication of MSI;</w:t>
      </w:r>
    </w:p>
    <w:p w14:paraId="5ECDCF6E" w14:textId="77777777" w:rsidR="00451FB3" w:rsidRDefault="00451FB3" w:rsidP="005B087B">
      <w:pPr>
        <w:pStyle w:val="ListParagraph"/>
        <w:numPr>
          <w:ilvl w:val="3"/>
          <w:numId w:val="3"/>
        </w:numPr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establish and maintain effective communications with the relevant NAV and MET Area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Coordinators to ensure the timely provision of MSI;</w:t>
      </w:r>
    </w:p>
    <w:p w14:paraId="189B9876" w14:textId="77777777" w:rsidR="00451FB3" w:rsidRDefault="00451FB3" w:rsidP="005B087B">
      <w:pPr>
        <w:pStyle w:val="ListParagraph"/>
        <w:numPr>
          <w:ilvl w:val="3"/>
          <w:numId w:val="3"/>
        </w:numPr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t>use and follow the guidance provided in S-53 – Joint IMO/IHO/WMO Manual on Maritime Safety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Information – to ensure the necessary facilities and capabilities are provided and maintained for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the gathering and communication of MSI within their area of national responsibility;</w:t>
      </w:r>
    </w:p>
    <w:p w14:paraId="2434B71E" w14:textId="77777777" w:rsidR="00451FB3" w:rsidRDefault="00451FB3" w:rsidP="005B087B">
      <w:pPr>
        <w:pStyle w:val="ListParagraph"/>
        <w:numPr>
          <w:ilvl w:val="3"/>
          <w:numId w:val="3"/>
        </w:numPr>
        <w:jc w:val="both"/>
        <w:rPr>
          <w:rFonts w:eastAsia="Times New Roman"/>
          <w:bCs/>
          <w:color w:val="002060"/>
          <w:lang w:val="en-US"/>
        </w:rPr>
      </w:pPr>
      <w:r w:rsidRPr="00451FB3">
        <w:rPr>
          <w:rFonts w:eastAsia="Times New Roman"/>
          <w:bCs/>
          <w:color w:val="002060"/>
          <w:lang w:val="en-US"/>
        </w:rPr>
        <w:lastRenderedPageBreak/>
        <w:t>identify suitable individuals to undertake both the online e-learning modules and the physical MSI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training course, and ensure their subsequent continued relevant employment within the national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451FB3">
        <w:rPr>
          <w:rFonts w:eastAsia="Times New Roman"/>
          <w:bCs/>
          <w:color w:val="002060"/>
          <w:lang w:val="en-US"/>
        </w:rPr>
        <w:t>structure.</w:t>
      </w:r>
    </w:p>
    <w:p w14:paraId="1561C1FB" w14:textId="77777777" w:rsidR="005B087B" w:rsidRDefault="005B087B" w:rsidP="005B087B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 w:rsidR="003C7ABA">
        <w:rPr>
          <w:rFonts w:eastAsia="Times New Roman"/>
          <w:bCs/>
          <w:color w:val="002060"/>
          <w:lang w:val="en-US"/>
        </w:rPr>
        <w:t xml:space="preserve"> 6:</w:t>
      </w:r>
      <w:r w:rsidRPr="005B087B">
        <w:rPr>
          <w:rFonts w:eastAsia="Times New Roman"/>
          <w:bCs/>
          <w:color w:val="002060"/>
          <w:lang w:val="en-US"/>
        </w:rPr>
        <w:t xml:space="preserve"> Encourage Members, Associate Members and Observers to:</w:t>
      </w:r>
    </w:p>
    <w:p w14:paraId="625B89FB" w14:textId="77777777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make data openly available for inclusion in the DCDB and the widest possible use, in accordance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5B087B">
        <w:rPr>
          <w:rFonts w:eastAsia="Times New Roman"/>
          <w:bCs/>
          <w:color w:val="002060"/>
          <w:lang w:val="en-US"/>
        </w:rPr>
        <w:t>with IHO Resolution 1/2017;</w:t>
      </w:r>
    </w:p>
    <w:p w14:paraId="6CC94D2E" w14:textId="77777777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reply to IHO CL 21/2020;</w:t>
      </w:r>
    </w:p>
    <w:p w14:paraId="01A2C63D" w14:textId="77777777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review national legislation to remove barriers restricting CSB activities within their waters;</w:t>
      </w:r>
    </w:p>
    <w:p w14:paraId="5C9BD49F" w14:textId="45247409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actively support the collection of data within their waters and become actively involved in the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5B087B">
        <w:rPr>
          <w:rFonts w:eastAsia="Times New Roman"/>
          <w:bCs/>
          <w:color w:val="002060"/>
          <w:lang w:val="en-US"/>
        </w:rPr>
        <w:t>GEBCO program and its subordinate projects;</w:t>
      </w:r>
    </w:p>
    <w:p w14:paraId="6138B605" w14:textId="22845816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continue inviting GEBCO program and Seabed 2030 project representatives to EAtHC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5B087B">
        <w:rPr>
          <w:rFonts w:eastAsia="Times New Roman"/>
          <w:bCs/>
          <w:color w:val="002060"/>
          <w:lang w:val="en-US"/>
        </w:rPr>
        <w:t>meetings to discuss options for deepened cooperation and support;</w:t>
      </w:r>
    </w:p>
    <w:p w14:paraId="57ABD673" w14:textId="77777777" w:rsid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encourage Members to make more detailed and comprehensive seabed data available – in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5B087B">
        <w:rPr>
          <w:rFonts w:eastAsia="Times New Roman"/>
          <w:bCs/>
          <w:color w:val="002060"/>
          <w:lang w:val="en-US"/>
        </w:rPr>
        <w:t>particular deep ocean data from transit or commercial / scientific surveys;</w:t>
      </w:r>
    </w:p>
    <w:p w14:paraId="764EE48C" w14:textId="77777777" w:rsidR="005B087B" w:rsidRPr="005B087B" w:rsidRDefault="005B087B" w:rsidP="005B087B">
      <w:pPr>
        <w:pStyle w:val="ListParagraph"/>
        <w:numPr>
          <w:ilvl w:val="3"/>
          <w:numId w:val="4"/>
        </w:numPr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make more people aware of the importance of gaining a complete picture of the seabed.</w:t>
      </w:r>
    </w:p>
    <w:p w14:paraId="4BA2C8D8" w14:textId="77777777" w:rsidR="00451FB3" w:rsidRPr="00451FB3" w:rsidRDefault="00451FB3" w:rsidP="00451FB3">
      <w:pPr>
        <w:pStyle w:val="ListParagraph"/>
        <w:ind w:left="1728"/>
        <w:rPr>
          <w:rFonts w:eastAsia="Times New Roman"/>
          <w:bCs/>
          <w:color w:val="002060"/>
          <w:lang w:val="en-US"/>
        </w:rPr>
      </w:pPr>
    </w:p>
    <w:p w14:paraId="3EFFD538" w14:textId="77777777" w:rsidR="00D37963" w:rsidRDefault="00D37963" w:rsidP="00D37963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IRCC13 Report (include 01.5A)</w:t>
      </w:r>
    </w:p>
    <w:p w14:paraId="77A39B82" w14:textId="77777777" w:rsidR="003C7ABA" w:rsidRPr="00451FB3" w:rsidRDefault="003C7ABA" w:rsidP="00023924">
      <w:pPr>
        <w:pStyle w:val="ListParagraph"/>
        <w:ind w:left="792"/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5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Note the </w:t>
      </w:r>
      <w:r>
        <w:rPr>
          <w:rFonts w:eastAsia="Times New Roman"/>
          <w:bCs/>
          <w:color w:val="FF0000"/>
          <w:szCs w:val="24"/>
          <w:lang w:val="en-GB"/>
        </w:rPr>
        <w:t>IRCC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 Report</w:t>
      </w:r>
      <w:r w:rsidR="00023924">
        <w:rPr>
          <w:rFonts w:eastAsia="Times New Roman"/>
          <w:bCs/>
          <w:color w:val="FF0000"/>
          <w:szCs w:val="24"/>
          <w:lang w:val="en-GB"/>
        </w:rPr>
        <w:t xml:space="preserve"> and recommendations</w:t>
      </w:r>
    </w:p>
    <w:p w14:paraId="5A91C615" w14:textId="77777777" w:rsidR="00FB6A7F" w:rsidRPr="003C7ABA" w:rsidRDefault="003C7ABA" w:rsidP="00023924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6:</w:t>
      </w:r>
      <w:r w:rsidRPr="005B087B">
        <w:rPr>
          <w:rFonts w:eastAsia="Times New Roman"/>
          <w:bCs/>
          <w:color w:val="002060"/>
          <w:lang w:val="en-US"/>
        </w:rPr>
        <w:t xml:space="preserve"> </w:t>
      </w:r>
      <w:r w:rsidRPr="003C7ABA">
        <w:rPr>
          <w:rFonts w:eastAsia="Times New Roman"/>
          <w:bCs/>
          <w:color w:val="002060"/>
          <w:lang w:val="en-US"/>
        </w:rPr>
        <w:t xml:space="preserve">At least IRCC members (from EAtHC) should attend IRCC WORKSHOP ON THE STRATEGIC PLAN 7 October 2021, Video teleconference (VTC) event IOT prepare the following discussions and analysis </w:t>
      </w:r>
      <w:r w:rsidR="00023924">
        <w:rPr>
          <w:rFonts w:eastAsia="Times New Roman"/>
          <w:bCs/>
          <w:color w:val="002060"/>
          <w:lang w:val="en-US"/>
        </w:rPr>
        <w:t>gaps</w:t>
      </w:r>
    </w:p>
    <w:p w14:paraId="2568F736" w14:textId="77777777" w:rsidR="003C7ABA" w:rsidRPr="00D37963" w:rsidRDefault="003C7ABA" w:rsidP="00023924">
      <w:pPr>
        <w:pStyle w:val="ListParagraph"/>
        <w:ind w:left="792"/>
        <w:jc w:val="both"/>
        <w:rPr>
          <w:rFonts w:eastAsia="Times New Roman"/>
          <w:bCs/>
          <w:lang w:val="en-GB"/>
        </w:rPr>
      </w:pPr>
    </w:p>
    <w:p w14:paraId="46E09574" w14:textId="77777777" w:rsidR="00D37963" w:rsidRDefault="00D37963" w:rsidP="00023924">
      <w:pPr>
        <w:pStyle w:val="ListParagraph"/>
        <w:numPr>
          <w:ilvl w:val="1"/>
          <w:numId w:val="1"/>
        </w:numPr>
        <w:jc w:val="both"/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 xml:space="preserve">HSSC13 Report  </w:t>
      </w:r>
    </w:p>
    <w:p w14:paraId="30D25DE1" w14:textId="77777777" w:rsidR="003C7ABA" w:rsidRPr="00451FB3" w:rsidRDefault="003C7ABA" w:rsidP="00023924">
      <w:pPr>
        <w:pStyle w:val="ListParagraph"/>
        <w:ind w:left="792"/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5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Note the </w:t>
      </w:r>
      <w:r>
        <w:rPr>
          <w:rFonts w:eastAsia="Times New Roman"/>
          <w:bCs/>
          <w:color w:val="FF0000"/>
          <w:szCs w:val="24"/>
          <w:lang w:val="en-GB"/>
        </w:rPr>
        <w:t>HSSC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 Report</w:t>
      </w:r>
      <w:r w:rsidR="00023924">
        <w:rPr>
          <w:rFonts w:eastAsia="Times New Roman"/>
          <w:bCs/>
          <w:color w:val="FF0000"/>
          <w:szCs w:val="24"/>
          <w:lang w:val="en-GB"/>
        </w:rPr>
        <w:t xml:space="preserve"> and recommendations</w:t>
      </w:r>
    </w:p>
    <w:p w14:paraId="1168594F" w14:textId="77777777" w:rsidR="00FB6A7F" w:rsidRPr="00023924" w:rsidRDefault="00023924" w:rsidP="00023924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6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="00404DEA" w:rsidRPr="00023924">
        <w:rPr>
          <w:rFonts w:eastAsia="Times New Roman"/>
          <w:bCs/>
          <w:color w:val="FF0000"/>
          <w:szCs w:val="24"/>
          <w:lang w:val="en-GB"/>
        </w:rPr>
        <w:t>Note the proposed metrics for the SPIs and target values for 2026, consider the contribution of EAtHC Members to the SPIs under HSSC</w:t>
      </w:r>
    </w:p>
    <w:p w14:paraId="6B36D3A2" w14:textId="77777777" w:rsidR="00FB6A7F" w:rsidRPr="00023924" w:rsidRDefault="00023924" w:rsidP="00023924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7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="00404DEA" w:rsidRPr="00023924">
        <w:rPr>
          <w:rFonts w:eastAsia="Times New Roman"/>
          <w:bCs/>
          <w:color w:val="FF0000"/>
          <w:szCs w:val="24"/>
          <w:lang w:val="en-GB"/>
        </w:rPr>
        <w:t>Note the potential options for future production of S-101 ENC in conjunction for S-57</w:t>
      </w:r>
    </w:p>
    <w:p w14:paraId="3161E6F0" w14:textId="4783FE70" w:rsidR="00FB6A7F" w:rsidRDefault="00023924" w:rsidP="00023924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8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="00404DEA" w:rsidRPr="00023924">
        <w:rPr>
          <w:rFonts w:eastAsia="Times New Roman"/>
          <w:bCs/>
          <w:color w:val="FF0000"/>
          <w:szCs w:val="24"/>
          <w:lang w:val="en-GB"/>
        </w:rPr>
        <w:t xml:space="preserve">Note the establishment of the new PTs and encourage </w:t>
      </w:r>
      <w:r w:rsidR="00D3757A">
        <w:rPr>
          <w:rFonts w:eastAsia="Times New Roman"/>
          <w:bCs/>
          <w:color w:val="FF0000"/>
          <w:szCs w:val="24"/>
          <w:lang w:val="en-GB"/>
        </w:rPr>
        <w:t>Member States</w:t>
      </w:r>
      <w:r w:rsidR="00404DEA" w:rsidRPr="00023924">
        <w:rPr>
          <w:rFonts w:eastAsia="Times New Roman"/>
          <w:bCs/>
          <w:color w:val="FF0000"/>
          <w:szCs w:val="24"/>
          <w:lang w:val="en-GB"/>
        </w:rPr>
        <w:t xml:space="preserve"> to participate</w:t>
      </w:r>
    </w:p>
    <w:p w14:paraId="13E54D0C" w14:textId="77777777" w:rsidR="00023924" w:rsidRPr="00023924" w:rsidRDefault="00023924" w:rsidP="00023924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</w:p>
    <w:p w14:paraId="5EC98040" w14:textId="77777777" w:rsidR="00023924" w:rsidRDefault="00023924" w:rsidP="00023924">
      <w:pPr>
        <w:pStyle w:val="ListParagraph"/>
        <w:numPr>
          <w:ilvl w:val="1"/>
          <w:numId w:val="1"/>
        </w:numPr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CSB</w:t>
      </w:r>
      <w:r w:rsidRPr="00D37963">
        <w:rPr>
          <w:rFonts w:eastAsia="Times New Roman"/>
          <w:bCs/>
          <w:lang w:val="en-GB"/>
        </w:rPr>
        <w:t xml:space="preserve"> Report  </w:t>
      </w:r>
    </w:p>
    <w:p w14:paraId="734A0E9C" w14:textId="77777777" w:rsidR="00C66E1E" w:rsidRDefault="00C66E1E" w:rsidP="00C66E1E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9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Note the </w:t>
      </w:r>
      <w:r>
        <w:rPr>
          <w:rFonts w:eastAsia="Times New Roman"/>
          <w:bCs/>
          <w:color w:val="FF0000"/>
          <w:szCs w:val="24"/>
          <w:lang w:val="en-GB"/>
        </w:rPr>
        <w:t>CSB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 Report</w:t>
      </w:r>
    </w:p>
    <w:p w14:paraId="7B1F5E12" w14:textId="77777777" w:rsidR="00C66E1E" w:rsidRPr="00C66E1E" w:rsidRDefault="00C66E1E" w:rsidP="00C66E1E">
      <w:pPr>
        <w:pStyle w:val="ListParagraph"/>
        <w:ind w:left="792"/>
        <w:jc w:val="both"/>
        <w:rPr>
          <w:rFonts w:eastAsia="Times New Roman"/>
          <w:bCs/>
          <w:lang w:val="en-GB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6:</w:t>
      </w:r>
      <w:r w:rsidRPr="00C66E1E">
        <w:rPr>
          <w:rFonts w:eastAsia="Times New Roman"/>
          <w:bCs/>
          <w:lang w:val="en-GB"/>
        </w:rPr>
        <w:t xml:space="preserve"> </w:t>
      </w:r>
      <w:r w:rsidRPr="00C66E1E">
        <w:rPr>
          <w:rFonts w:eastAsia="Times New Roman"/>
          <w:bCs/>
          <w:color w:val="002060"/>
          <w:lang w:val="en-US"/>
        </w:rPr>
        <w:t>All Coastal States are now requested to indicate their position on the provision of CSB data from ships within waters subject to their national jurisdiction into the public domain</w:t>
      </w:r>
    </w:p>
    <w:p w14:paraId="7D68CBDA" w14:textId="77777777" w:rsidR="00FB6A7F" w:rsidRPr="00C66E1E" w:rsidRDefault="00C66E1E" w:rsidP="00C66E1E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7:</w:t>
      </w:r>
      <w:r w:rsidRPr="00C66E1E">
        <w:rPr>
          <w:rFonts w:eastAsia="Times New Roman"/>
          <w:bCs/>
          <w:lang w:val="en-GB"/>
        </w:rPr>
        <w:t xml:space="preserve"> </w:t>
      </w:r>
      <w:r w:rsidR="00404DEA" w:rsidRPr="00C66E1E">
        <w:rPr>
          <w:rFonts w:eastAsia="Times New Roman"/>
          <w:bCs/>
          <w:color w:val="002060"/>
          <w:lang w:val="en-US"/>
        </w:rPr>
        <w:t xml:space="preserve">Offer a positive response to the </w:t>
      </w:r>
      <w:r w:rsidRPr="00C66E1E">
        <w:rPr>
          <w:rFonts w:eastAsia="Times New Roman"/>
          <w:bCs/>
          <w:color w:val="002060"/>
          <w:lang w:val="en-US"/>
        </w:rPr>
        <w:t>IHO CL 21/2020 &amp; IRCC CL 01/2020</w:t>
      </w:r>
    </w:p>
    <w:p w14:paraId="38615904" w14:textId="77777777" w:rsidR="00FB6A7F" w:rsidRPr="00C66E1E" w:rsidRDefault="00C66E1E" w:rsidP="00C66E1E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8:</w:t>
      </w:r>
      <w:r w:rsidRPr="00C66E1E">
        <w:rPr>
          <w:rFonts w:eastAsia="Times New Roman"/>
          <w:bCs/>
          <w:lang w:val="en-GB"/>
        </w:rPr>
        <w:t xml:space="preserve"> </w:t>
      </w:r>
      <w:r w:rsidR="00404DEA" w:rsidRPr="00C66E1E">
        <w:rPr>
          <w:rFonts w:eastAsia="Times New Roman"/>
          <w:bCs/>
          <w:color w:val="002060"/>
          <w:lang w:val="en-US"/>
        </w:rPr>
        <w:t>Consider joi</w:t>
      </w:r>
      <w:r>
        <w:rPr>
          <w:rFonts w:eastAsia="Times New Roman"/>
          <w:bCs/>
          <w:color w:val="002060"/>
          <w:lang w:val="en-US"/>
        </w:rPr>
        <w:t>ning and/or attending the CSBWG</w:t>
      </w:r>
    </w:p>
    <w:p w14:paraId="09A0BACF" w14:textId="77777777" w:rsidR="00C66E1E" w:rsidRPr="00C66E1E" w:rsidRDefault="00C66E1E" w:rsidP="00C66E1E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</w:p>
    <w:p w14:paraId="762B4E32" w14:textId="77777777" w:rsidR="00C66E1E" w:rsidRPr="00C66E1E" w:rsidRDefault="00C66E1E" w:rsidP="00C66E1E">
      <w:pPr>
        <w:pStyle w:val="ListParagraph"/>
        <w:ind w:left="792"/>
        <w:jc w:val="both"/>
        <w:rPr>
          <w:rFonts w:eastAsia="Times New Roman"/>
          <w:bCs/>
          <w:lang w:val="en-US"/>
        </w:rPr>
      </w:pPr>
    </w:p>
    <w:p w14:paraId="7663BA70" w14:textId="77777777" w:rsidR="00250010" w:rsidRPr="00250010" w:rsidRDefault="00250010" w:rsidP="00250010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GB"/>
        </w:rPr>
      </w:pPr>
      <w:r w:rsidRPr="00250010">
        <w:rPr>
          <w:rFonts w:eastAsia="Times New Roman"/>
          <w:b/>
          <w:bCs/>
          <w:lang w:val="en-GB"/>
        </w:rPr>
        <w:t>EAtHC Committees and Working Groups</w:t>
      </w:r>
    </w:p>
    <w:p w14:paraId="6AF458A4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250010">
        <w:rPr>
          <w:rFonts w:eastAsia="Times New Roman"/>
          <w:bCs/>
          <w:lang w:val="en-GB"/>
        </w:rPr>
        <w:t xml:space="preserve">ICCWG </w:t>
      </w:r>
    </w:p>
    <w:p w14:paraId="3AF97275" w14:textId="77777777" w:rsidR="00A1635D" w:rsidRDefault="00A1635D" w:rsidP="00A1635D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10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N</w:t>
      </w:r>
      <w:r w:rsidRPr="00A1635D">
        <w:rPr>
          <w:rFonts w:eastAsia="Times New Roman"/>
          <w:bCs/>
          <w:color w:val="FF0000"/>
          <w:szCs w:val="24"/>
          <w:lang w:val="en-GB"/>
        </w:rPr>
        <w:t>ote ICCWG report</w:t>
      </w:r>
    </w:p>
    <w:p w14:paraId="0EA8B51E" w14:textId="77777777" w:rsidR="00A1635D" w:rsidRDefault="00A1635D" w:rsidP="00A1635D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11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A</w:t>
      </w:r>
      <w:r w:rsidRPr="00A1635D">
        <w:rPr>
          <w:rFonts w:eastAsia="Times New Roman"/>
          <w:bCs/>
          <w:color w:val="FF0000"/>
          <w:szCs w:val="24"/>
          <w:lang w:val="en-GB"/>
        </w:rPr>
        <w:t>gree to accept ICCWG proposed priorities</w:t>
      </w:r>
    </w:p>
    <w:p w14:paraId="793905BA" w14:textId="77777777" w:rsidR="00A1635D" w:rsidRP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lastRenderedPageBreak/>
        <w:t>Recommendation</w:t>
      </w:r>
      <w:r>
        <w:rPr>
          <w:rFonts w:eastAsia="Times New Roman"/>
          <w:bCs/>
          <w:color w:val="002060"/>
          <w:lang w:val="en-US"/>
        </w:rPr>
        <w:t xml:space="preserve"> 9:</w:t>
      </w:r>
      <w:r w:rsidRPr="00A1635D">
        <w:rPr>
          <w:rFonts w:eastAsia="Times New Roman"/>
          <w:bCs/>
          <w:color w:val="002060"/>
          <w:lang w:val="en-US"/>
        </w:rPr>
        <w:t xml:space="preserve"> To implement the S-57 ENC scheme via INToGIS and to maintain</w:t>
      </w:r>
      <w:r>
        <w:rPr>
          <w:rFonts w:eastAsia="Times New Roman"/>
          <w:bCs/>
          <w:color w:val="002060"/>
          <w:lang w:val="en-US"/>
        </w:rPr>
        <w:t xml:space="preserve"> </w:t>
      </w:r>
      <w:r w:rsidRPr="00A1635D">
        <w:rPr>
          <w:rFonts w:eastAsia="Times New Roman"/>
          <w:bCs/>
          <w:color w:val="002060"/>
          <w:lang w:val="en-US"/>
        </w:rPr>
        <w:t xml:space="preserve">it with </w:t>
      </w:r>
      <w:r w:rsidRPr="00A1635D">
        <w:rPr>
          <w:rFonts w:eastAsia="Times New Roman"/>
          <w:bCs/>
          <w:color w:val="002060"/>
          <w:lang w:val="en-US"/>
        </w:rPr>
        <w:tab/>
        <w:t>planned and produced ENCs (deadline for implementation:  December 2022)</w:t>
      </w:r>
    </w:p>
    <w:p w14:paraId="1B9DBBDD" w14:textId="77777777" w:rsidR="00A1635D" w:rsidRP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10:</w:t>
      </w:r>
      <w:r w:rsidRPr="00A1635D">
        <w:rPr>
          <w:rFonts w:eastAsia="Times New Roman"/>
          <w:bCs/>
          <w:color w:val="002060"/>
          <w:lang w:val="en-US"/>
        </w:rPr>
        <w:t xml:space="preserve"> To follow the relevant (ongoing) work of the WENDWG on the </w:t>
      </w:r>
      <w:r>
        <w:rPr>
          <w:rFonts w:eastAsia="Times New Roman"/>
          <w:bCs/>
          <w:color w:val="002060"/>
          <w:lang w:val="en-US"/>
        </w:rPr>
        <w:t>implementation</w:t>
      </w:r>
      <w:r w:rsidRPr="00A1635D">
        <w:rPr>
          <w:rFonts w:eastAsia="Times New Roman"/>
          <w:bCs/>
          <w:color w:val="002060"/>
          <w:lang w:val="en-US"/>
        </w:rPr>
        <w:t xml:space="preserve"> of the S-101 ENC scheme and on the application of some </w:t>
      </w:r>
      <w:r>
        <w:rPr>
          <w:rFonts w:eastAsia="Times New Roman"/>
          <w:bCs/>
          <w:color w:val="002060"/>
          <w:lang w:val="en-US"/>
        </w:rPr>
        <w:t>or</w:t>
      </w:r>
      <w:r w:rsidRPr="00A1635D">
        <w:rPr>
          <w:rFonts w:eastAsia="Times New Roman"/>
          <w:bCs/>
          <w:color w:val="002060"/>
          <w:lang w:val="en-US"/>
        </w:rPr>
        <w:t xml:space="preserve"> all of the S-101 principles to other S-1xx products</w:t>
      </w:r>
    </w:p>
    <w:p w14:paraId="0D3CDA8A" w14:textId="77777777" w:rsid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11:</w:t>
      </w:r>
      <w:r w:rsidRPr="00A1635D">
        <w:rPr>
          <w:rFonts w:eastAsia="Times New Roman"/>
          <w:bCs/>
          <w:color w:val="002060"/>
          <w:lang w:val="en-US"/>
        </w:rPr>
        <w:t xml:space="preserve"> To develop S-100 training in the framework of EAtHC Capacity Building and to benefit from S-100 training opportunities with IHO (other RHCs </w:t>
      </w:r>
      <w:r>
        <w:rPr>
          <w:rFonts w:eastAsia="Times New Roman"/>
          <w:bCs/>
          <w:color w:val="002060"/>
          <w:lang w:val="en-US"/>
        </w:rPr>
        <w:t>webinars…</w:t>
      </w:r>
      <w:r w:rsidRPr="00A1635D">
        <w:rPr>
          <w:rFonts w:eastAsia="Times New Roman"/>
          <w:bCs/>
          <w:color w:val="002060"/>
          <w:lang w:val="en-US"/>
        </w:rPr>
        <w:t>) and RENCs</w:t>
      </w:r>
    </w:p>
    <w:p w14:paraId="72989E05" w14:textId="77777777" w:rsidR="00A1635D" w:rsidRP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</w:p>
    <w:p w14:paraId="63F3275E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Approval of ICCWG TOR</w:t>
      </w:r>
    </w:p>
    <w:p w14:paraId="023A1D3D" w14:textId="77777777" w:rsidR="00A1635D" w:rsidRDefault="00A1635D" w:rsidP="00A1635D">
      <w:pPr>
        <w:pStyle w:val="ListParagraph"/>
        <w:rPr>
          <w:rFonts w:eastAsia="Times New Roman"/>
          <w:bCs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12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Pr="00A1635D">
        <w:rPr>
          <w:rFonts w:eastAsia="Times New Roman"/>
          <w:bCs/>
          <w:color w:val="FF0000"/>
          <w:szCs w:val="24"/>
          <w:lang w:val="en-GB"/>
        </w:rPr>
        <w:t>approve ICCWG ToR</w:t>
      </w:r>
    </w:p>
    <w:p w14:paraId="0A8069B5" w14:textId="77777777" w:rsidR="00A1635D" w:rsidRPr="00A1635D" w:rsidRDefault="00A1635D" w:rsidP="00A1635D">
      <w:pPr>
        <w:pStyle w:val="ListParagraph"/>
        <w:rPr>
          <w:rFonts w:eastAsia="Times New Roman"/>
          <w:bCs/>
          <w:lang w:val="en-GB"/>
        </w:rPr>
      </w:pPr>
    </w:p>
    <w:p w14:paraId="7B63EF3D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Report on GDMSS, MSI and NAVAREA Coordination</w:t>
      </w:r>
    </w:p>
    <w:p w14:paraId="43DDE79E" w14:textId="77777777" w:rsidR="00A1635D" w:rsidRDefault="00A1635D" w:rsidP="00A1635D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13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N</w:t>
      </w:r>
      <w:r w:rsidRPr="00A1635D">
        <w:rPr>
          <w:rFonts w:eastAsia="Times New Roman"/>
          <w:bCs/>
          <w:color w:val="FF0000"/>
          <w:szCs w:val="24"/>
          <w:lang w:val="en-GB"/>
        </w:rPr>
        <w:t>ote GDMSS, MSI and NAVAREA Coordination report</w:t>
      </w:r>
    </w:p>
    <w:p w14:paraId="330B7BAE" w14:textId="7989011E" w:rsid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12:</w:t>
      </w:r>
      <w:r w:rsidRPr="00A1635D">
        <w:rPr>
          <w:rFonts w:eastAsia="Times New Roman"/>
          <w:bCs/>
          <w:color w:val="002060"/>
          <w:lang w:val="en-US"/>
        </w:rPr>
        <w:t xml:space="preserve"> </w:t>
      </w:r>
      <w:r w:rsidR="008B6049">
        <w:rPr>
          <w:rFonts w:eastAsia="Times New Roman"/>
          <w:bCs/>
          <w:color w:val="002060"/>
          <w:lang w:val="en-US"/>
        </w:rPr>
        <w:t>have a</w:t>
      </w:r>
      <w:r w:rsidRPr="00A1635D">
        <w:rPr>
          <w:rFonts w:eastAsia="Times New Roman"/>
          <w:bCs/>
          <w:color w:val="002060"/>
          <w:lang w:val="en-US"/>
        </w:rPr>
        <w:t>wareness-raising actions for decision-makers in order to set up an efficient and sustainable organi</w:t>
      </w:r>
      <w:r w:rsidR="009C7F77">
        <w:rPr>
          <w:rFonts w:eastAsia="Times New Roman"/>
          <w:bCs/>
          <w:color w:val="002060"/>
          <w:lang w:val="en-US"/>
        </w:rPr>
        <w:t>z</w:t>
      </w:r>
      <w:r w:rsidRPr="00A1635D">
        <w:rPr>
          <w:rFonts w:eastAsia="Times New Roman"/>
          <w:bCs/>
          <w:color w:val="002060"/>
          <w:lang w:val="en-US"/>
        </w:rPr>
        <w:t>ation for the collection and dissemination of MSI, as well as training actions for operators are necessary in almost all Western and Central African coastal states.</w:t>
      </w:r>
    </w:p>
    <w:p w14:paraId="5A948F89" w14:textId="77777777" w:rsidR="00A1635D" w:rsidRPr="00A1635D" w:rsidRDefault="00A1635D" w:rsidP="00A1635D">
      <w:pPr>
        <w:pStyle w:val="ListParagraph"/>
        <w:ind w:left="792"/>
        <w:jc w:val="both"/>
        <w:rPr>
          <w:rFonts w:eastAsia="Times New Roman"/>
          <w:bCs/>
          <w:color w:val="002060"/>
          <w:lang w:val="en-US"/>
        </w:rPr>
      </w:pPr>
    </w:p>
    <w:p w14:paraId="105365FF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 xml:space="preserve">Capacity Building </w:t>
      </w:r>
    </w:p>
    <w:p w14:paraId="6A7C9856" w14:textId="77777777" w:rsidR="00A1635D" w:rsidRDefault="00A1635D" w:rsidP="00A1635D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</w:t>
      </w:r>
      <w:r w:rsidR="000C5268">
        <w:rPr>
          <w:rFonts w:eastAsia="Times New Roman"/>
          <w:bCs/>
          <w:color w:val="FF0000"/>
          <w:szCs w:val="24"/>
          <w:lang w:val="en-GB"/>
        </w:rPr>
        <w:t>4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N</w:t>
      </w:r>
      <w:r w:rsidRPr="00A1635D">
        <w:rPr>
          <w:rFonts w:eastAsia="Times New Roman"/>
          <w:bCs/>
          <w:color w:val="FF0000"/>
          <w:szCs w:val="24"/>
          <w:lang w:val="en-GB"/>
        </w:rPr>
        <w:t xml:space="preserve">ote </w:t>
      </w:r>
      <w:r w:rsidR="000C5268" w:rsidRPr="000C5268">
        <w:rPr>
          <w:rFonts w:eastAsia="Times New Roman"/>
          <w:bCs/>
          <w:color w:val="FF0000"/>
          <w:szCs w:val="24"/>
          <w:lang w:val="en-US"/>
        </w:rPr>
        <w:t xml:space="preserve">regional CB coordinator </w:t>
      </w:r>
      <w:r w:rsidRPr="00A1635D">
        <w:rPr>
          <w:rFonts w:eastAsia="Times New Roman"/>
          <w:bCs/>
          <w:color w:val="FF0000"/>
          <w:szCs w:val="24"/>
          <w:lang w:val="en-GB"/>
        </w:rPr>
        <w:t>report</w:t>
      </w:r>
    </w:p>
    <w:p w14:paraId="48ED1DFE" w14:textId="77777777" w:rsidR="000C5268" w:rsidRDefault="000C5268" w:rsidP="000C5268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15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Approve the CB working plan</w:t>
      </w:r>
    </w:p>
    <w:p w14:paraId="4BA471B0" w14:textId="77777777" w:rsidR="000C5268" w:rsidRPr="000C5268" w:rsidRDefault="000C5268" w:rsidP="000C5268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13:</w:t>
      </w:r>
      <w:r w:rsidRPr="00A1635D">
        <w:rPr>
          <w:rFonts w:eastAsia="Times New Roman"/>
          <w:bCs/>
          <w:color w:val="002060"/>
          <w:lang w:val="en-US"/>
        </w:rPr>
        <w:t xml:space="preserve"> </w:t>
      </w:r>
      <w:r w:rsidRPr="000C5268">
        <w:rPr>
          <w:rFonts w:eastAsia="Times New Roman"/>
          <w:bCs/>
          <w:color w:val="002060"/>
          <w:lang w:val="en-US"/>
        </w:rPr>
        <w:t>Member States are invited to consider actively sharing contents, resources and experiences with the E-learning PT.</w:t>
      </w:r>
    </w:p>
    <w:p w14:paraId="7EAA53A9" w14:textId="77777777" w:rsidR="00A1635D" w:rsidRPr="000C5268" w:rsidRDefault="00A1635D" w:rsidP="00A1635D">
      <w:pPr>
        <w:pStyle w:val="ListParagraph"/>
        <w:ind w:left="792"/>
        <w:rPr>
          <w:rFonts w:eastAsia="Times New Roman"/>
          <w:bCs/>
          <w:lang w:val="en-US"/>
        </w:rPr>
      </w:pPr>
    </w:p>
    <w:p w14:paraId="67587BB8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Open discussion in assistance, training and education: offers and needs</w:t>
      </w:r>
    </w:p>
    <w:p w14:paraId="488F2F77" w14:textId="6C8E58C9" w:rsidR="000C5268" w:rsidRDefault="0055668D" w:rsidP="000C5268">
      <w:pPr>
        <w:pStyle w:val="ListParagraph"/>
        <w:ind w:left="792"/>
        <w:rPr>
          <w:rFonts w:eastAsia="Times New Roman"/>
          <w:bCs/>
          <w:lang w:val="en-GB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14:</w:t>
      </w:r>
      <w:r w:rsidRPr="00A1635D">
        <w:rPr>
          <w:rFonts w:eastAsia="Times New Roman"/>
          <w:bCs/>
          <w:color w:val="002060"/>
          <w:lang w:val="en-US"/>
        </w:rPr>
        <w:t xml:space="preserve"> </w:t>
      </w:r>
      <w:r w:rsidRPr="0055668D">
        <w:rPr>
          <w:rFonts w:eastAsia="Times New Roman"/>
          <w:bCs/>
          <w:color w:val="002060"/>
          <w:lang w:val="en-US"/>
        </w:rPr>
        <w:t>M</w:t>
      </w:r>
      <w:r w:rsidR="009C7F77">
        <w:rPr>
          <w:rFonts w:eastAsia="Times New Roman"/>
          <w:bCs/>
          <w:color w:val="002060"/>
          <w:lang w:val="en-US"/>
        </w:rPr>
        <w:t xml:space="preserve">ember </w:t>
      </w:r>
      <w:r w:rsidRPr="0055668D">
        <w:rPr>
          <w:rFonts w:eastAsia="Times New Roman"/>
          <w:bCs/>
          <w:color w:val="002060"/>
          <w:lang w:val="en-US"/>
        </w:rPr>
        <w:t>S</w:t>
      </w:r>
      <w:r w:rsidR="009C7F77">
        <w:rPr>
          <w:rFonts w:eastAsia="Times New Roman"/>
          <w:bCs/>
          <w:color w:val="002060"/>
          <w:lang w:val="en-US"/>
        </w:rPr>
        <w:t>tates</w:t>
      </w:r>
      <w:r w:rsidRPr="0055668D">
        <w:rPr>
          <w:rFonts w:eastAsia="Times New Roman"/>
          <w:bCs/>
          <w:color w:val="002060"/>
          <w:lang w:val="en-US"/>
        </w:rPr>
        <w:t xml:space="preserve"> should share their </w:t>
      </w:r>
      <w:r>
        <w:rPr>
          <w:rFonts w:eastAsia="Times New Roman"/>
          <w:bCs/>
          <w:color w:val="002060"/>
          <w:lang w:val="en-US"/>
        </w:rPr>
        <w:t xml:space="preserve">education and </w:t>
      </w:r>
      <w:r w:rsidRPr="0055668D">
        <w:rPr>
          <w:rFonts w:eastAsia="Times New Roman"/>
          <w:bCs/>
          <w:color w:val="002060"/>
          <w:lang w:val="en-US"/>
        </w:rPr>
        <w:t>training programs and focus on on-job training (ex: onboard hydrographic survey training, in-office chart production training, etc.)</w:t>
      </w:r>
    </w:p>
    <w:p w14:paraId="381CB81B" w14:textId="17FCC28E" w:rsidR="000C5268" w:rsidRDefault="0055668D" w:rsidP="000C5268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15:</w:t>
      </w:r>
      <w:r w:rsidRPr="00A1635D">
        <w:rPr>
          <w:rFonts w:eastAsia="Times New Roman"/>
          <w:bCs/>
          <w:color w:val="002060"/>
          <w:lang w:val="en-US"/>
        </w:rPr>
        <w:t xml:space="preserve"> </w:t>
      </w:r>
      <w:r w:rsidRPr="0055668D">
        <w:rPr>
          <w:rFonts w:eastAsia="Times New Roman"/>
          <w:bCs/>
          <w:color w:val="002060"/>
          <w:lang w:val="en-US"/>
        </w:rPr>
        <w:t>Member states should articulate the IHO CB initiatives with national initiatives IOT have coastal state on-job training and add real value to the coastal states</w:t>
      </w:r>
    </w:p>
    <w:p w14:paraId="129B8AF2" w14:textId="77777777" w:rsidR="00AD61C6" w:rsidRDefault="00AD61C6" w:rsidP="000C5268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</w:p>
    <w:p w14:paraId="7A89338C" w14:textId="77777777" w:rsidR="00250010" w:rsidRDefault="00250010" w:rsidP="00250010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MSDI (include 02.1E)</w:t>
      </w:r>
    </w:p>
    <w:p w14:paraId="7C8B6AFB" w14:textId="77777777" w:rsidR="00A1635D" w:rsidRDefault="0055668D" w:rsidP="0055668D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16</w:t>
      </w:r>
      <w:r w:rsidR="00A1635D"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="00A1635D">
        <w:rPr>
          <w:rFonts w:eastAsia="Times New Roman"/>
          <w:bCs/>
          <w:color w:val="FF0000"/>
          <w:szCs w:val="24"/>
          <w:lang w:val="en-GB"/>
        </w:rPr>
        <w:t>N</w:t>
      </w:r>
      <w:r w:rsidR="00A1635D" w:rsidRPr="00A1635D">
        <w:rPr>
          <w:rFonts w:eastAsia="Times New Roman"/>
          <w:bCs/>
          <w:color w:val="FF0000"/>
          <w:szCs w:val="24"/>
          <w:lang w:val="en-GB"/>
        </w:rPr>
        <w:t xml:space="preserve">ote </w:t>
      </w:r>
      <w:r>
        <w:rPr>
          <w:rFonts w:eastAsia="Times New Roman"/>
          <w:bCs/>
          <w:color w:val="FF0000"/>
          <w:szCs w:val="24"/>
          <w:lang w:val="en-GB"/>
        </w:rPr>
        <w:t>MSDI</w:t>
      </w:r>
      <w:r w:rsidR="00A1635D" w:rsidRPr="00A1635D">
        <w:rPr>
          <w:rFonts w:eastAsia="Times New Roman"/>
          <w:bCs/>
          <w:color w:val="FF0000"/>
          <w:szCs w:val="24"/>
          <w:lang w:val="en-GB"/>
        </w:rPr>
        <w:t xml:space="preserve"> report</w:t>
      </w:r>
    </w:p>
    <w:p w14:paraId="0B941965" w14:textId="56C06F5E" w:rsidR="0055668D" w:rsidRPr="0055668D" w:rsidRDefault="0055668D" w:rsidP="0055668D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US"/>
        </w:rPr>
      </w:pPr>
      <w:r>
        <w:rPr>
          <w:rFonts w:eastAsia="Times New Roman"/>
          <w:bCs/>
          <w:color w:val="FF0000"/>
          <w:szCs w:val="24"/>
          <w:lang w:val="en-GB"/>
        </w:rPr>
        <w:t>Decision 17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Agree</w:t>
      </w:r>
      <w:r w:rsidRPr="0055668D">
        <w:rPr>
          <w:rFonts w:eastAsia="Times New Roman"/>
          <w:bCs/>
          <w:color w:val="FF0000"/>
          <w:szCs w:val="24"/>
          <w:lang w:val="en-GB"/>
        </w:rPr>
        <w:t xml:space="preserve"> to establish EAtHC MSDIWG.</w:t>
      </w:r>
    </w:p>
    <w:p w14:paraId="4B9EF50F" w14:textId="2F7D4250" w:rsidR="0055668D" w:rsidRDefault="0055668D" w:rsidP="0055668D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18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A</w:t>
      </w:r>
      <w:r w:rsidRPr="0055668D">
        <w:rPr>
          <w:rFonts w:eastAsia="Times New Roman"/>
          <w:bCs/>
          <w:color w:val="FF0000"/>
          <w:szCs w:val="24"/>
          <w:lang w:val="en-GB"/>
        </w:rPr>
        <w:t>gree to have Portugal leading MSDIWG</w:t>
      </w:r>
      <w:r>
        <w:rPr>
          <w:rFonts w:eastAsia="Times New Roman"/>
          <w:bCs/>
          <w:color w:val="FF0000"/>
          <w:szCs w:val="24"/>
          <w:lang w:val="en-GB"/>
        </w:rPr>
        <w:t xml:space="preserve">. Portugal must propose the ToRs </w:t>
      </w:r>
      <w:r w:rsidR="00EF3B0F">
        <w:rPr>
          <w:rFonts w:eastAsia="Times New Roman"/>
          <w:bCs/>
          <w:color w:val="FF0000"/>
          <w:szCs w:val="24"/>
          <w:lang w:val="en-GB"/>
        </w:rPr>
        <w:t>NLT December 31</w:t>
      </w:r>
      <w:r w:rsidR="009C7F77">
        <w:rPr>
          <w:rFonts w:eastAsia="Times New Roman"/>
          <w:bCs/>
          <w:color w:val="FF0000"/>
          <w:szCs w:val="24"/>
          <w:lang w:val="en-GB"/>
        </w:rPr>
        <w:t xml:space="preserve"> 2021</w:t>
      </w:r>
      <w:r>
        <w:rPr>
          <w:rFonts w:eastAsia="Times New Roman"/>
          <w:bCs/>
          <w:color w:val="FF0000"/>
          <w:szCs w:val="24"/>
          <w:lang w:val="en-GB"/>
        </w:rPr>
        <w:t>.</w:t>
      </w:r>
    </w:p>
    <w:p w14:paraId="2C2C1139" w14:textId="7365D6BE" w:rsidR="0055668D" w:rsidRPr="0055668D" w:rsidRDefault="0055668D" w:rsidP="0055668D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US"/>
        </w:rPr>
      </w:pPr>
      <w:r>
        <w:rPr>
          <w:rFonts w:eastAsia="Times New Roman"/>
          <w:bCs/>
          <w:color w:val="FF0000"/>
          <w:szCs w:val="24"/>
          <w:lang w:val="en-GB"/>
        </w:rPr>
        <w:t>Decision 19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Pr="0055668D">
        <w:rPr>
          <w:rFonts w:eastAsia="Times New Roman"/>
          <w:bCs/>
          <w:color w:val="FF0000"/>
          <w:szCs w:val="24"/>
          <w:lang w:val="en-US"/>
        </w:rPr>
        <w:t xml:space="preserve">EAtHC MSDIWG to be responsible for </w:t>
      </w:r>
      <w:r w:rsidR="00D3757A">
        <w:rPr>
          <w:rFonts w:eastAsia="Times New Roman"/>
          <w:bCs/>
          <w:color w:val="FF0000"/>
          <w:szCs w:val="24"/>
          <w:lang w:val="en-US"/>
        </w:rPr>
        <w:t xml:space="preserve">the </w:t>
      </w:r>
      <w:r>
        <w:rPr>
          <w:rFonts w:eastAsia="Times New Roman"/>
          <w:bCs/>
          <w:color w:val="FF0000"/>
          <w:szCs w:val="24"/>
          <w:lang w:val="en-US"/>
        </w:rPr>
        <w:t>support</w:t>
      </w:r>
      <w:r w:rsidR="00D3757A">
        <w:rPr>
          <w:rFonts w:eastAsia="Times New Roman"/>
          <w:bCs/>
          <w:color w:val="FF0000"/>
          <w:szCs w:val="24"/>
          <w:lang w:val="en-US"/>
        </w:rPr>
        <w:t xml:space="preserve"> to</w:t>
      </w:r>
      <w:r>
        <w:rPr>
          <w:rFonts w:eastAsia="Times New Roman"/>
          <w:bCs/>
          <w:color w:val="FF0000"/>
          <w:szCs w:val="24"/>
          <w:lang w:val="en-US"/>
        </w:rPr>
        <w:t xml:space="preserve"> </w:t>
      </w:r>
      <w:r w:rsidRPr="0055668D">
        <w:rPr>
          <w:rFonts w:eastAsia="Times New Roman"/>
          <w:bCs/>
          <w:color w:val="FF0000"/>
          <w:szCs w:val="24"/>
          <w:lang w:val="en-US"/>
        </w:rPr>
        <w:t xml:space="preserve">Seabed 2030, Crowdsourced Bathymetry and other programs/projects related with managing </w:t>
      </w:r>
      <w:r>
        <w:rPr>
          <w:rFonts w:eastAsia="Times New Roman"/>
          <w:bCs/>
          <w:color w:val="FF0000"/>
          <w:szCs w:val="24"/>
          <w:lang w:val="en-US"/>
        </w:rPr>
        <w:t>and sharing marine spatial data and for support of disaster response framework if required</w:t>
      </w:r>
    </w:p>
    <w:p w14:paraId="319D8A34" w14:textId="44B34E62" w:rsidR="00A1635D" w:rsidRDefault="0055668D" w:rsidP="00A1635D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15: M</w:t>
      </w:r>
      <w:r w:rsidR="00D3757A">
        <w:rPr>
          <w:rFonts w:eastAsia="Times New Roman"/>
          <w:bCs/>
          <w:color w:val="002060"/>
          <w:lang w:val="en-US"/>
        </w:rPr>
        <w:t xml:space="preserve">ember </w:t>
      </w:r>
      <w:r>
        <w:rPr>
          <w:rFonts w:eastAsia="Times New Roman"/>
          <w:bCs/>
          <w:color w:val="002060"/>
          <w:lang w:val="en-US"/>
        </w:rPr>
        <w:t>S</w:t>
      </w:r>
      <w:r w:rsidR="00D3757A">
        <w:rPr>
          <w:rFonts w:eastAsia="Times New Roman"/>
          <w:bCs/>
          <w:color w:val="002060"/>
          <w:lang w:val="en-US"/>
        </w:rPr>
        <w:t>tates</w:t>
      </w:r>
      <w:r>
        <w:rPr>
          <w:rFonts w:eastAsia="Times New Roman"/>
          <w:bCs/>
          <w:color w:val="002060"/>
          <w:lang w:val="en-US"/>
        </w:rPr>
        <w:t xml:space="preserve"> should </w:t>
      </w:r>
      <w:r w:rsidR="008B6049">
        <w:rPr>
          <w:rFonts w:eastAsia="Times New Roman"/>
          <w:bCs/>
          <w:color w:val="002060"/>
          <w:lang w:val="en-US"/>
        </w:rPr>
        <w:t xml:space="preserve">consider </w:t>
      </w:r>
      <w:r>
        <w:rPr>
          <w:rFonts w:eastAsia="Times New Roman"/>
          <w:bCs/>
          <w:color w:val="002060"/>
          <w:lang w:val="en-US"/>
        </w:rPr>
        <w:t>be</w:t>
      </w:r>
      <w:r w:rsidR="008B6049">
        <w:rPr>
          <w:rFonts w:eastAsia="Times New Roman"/>
          <w:bCs/>
          <w:color w:val="002060"/>
          <w:lang w:val="en-US"/>
        </w:rPr>
        <w:t>ing</w:t>
      </w:r>
      <w:r>
        <w:rPr>
          <w:rFonts w:eastAsia="Times New Roman"/>
          <w:bCs/>
          <w:color w:val="002060"/>
          <w:lang w:val="en-US"/>
        </w:rPr>
        <w:t xml:space="preserve"> members of the MSDIWG</w:t>
      </w:r>
    </w:p>
    <w:p w14:paraId="03CBC636" w14:textId="77777777" w:rsidR="0055668D" w:rsidRPr="008B6049" w:rsidRDefault="0055668D" w:rsidP="00A1635D">
      <w:pPr>
        <w:pStyle w:val="ListParagraph"/>
        <w:ind w:left="792"/>
        <w:rPr>
          <w:rFonts w:eastAsia="Times New Roman"/>
          <w:bCs/>
          <w:lang w:val="en-US"/>
        </w:rPr>
      </w:pPr>
    </w:p>
    <w:p w14:paraId="3B7FA683" w14:textId="77777777" w:rsidR="0055668D" w:rsidRDefault="0055668D" w:rsidP="0055668D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Disaster Response Framework proposal and approval</w:t>
      </w:r>
    </w:p>
    <w:p w14:paraId="2B23BF77" w14:textId="77777777" w:rsidR="0055668D" w:rsidRDefault="0055668D" w:rsidP="0055668D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20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Approve the disaster response framework with one recommendation from UKHO (include PCA</w:t>
      </w:r>
      <w:r w:rsidR="000A2369">
        <w:rPr>
          <w:rFonts w:eastAsia="Times New Roman"/>
          <w:bCs/>
          <w:color w:val="FF0000"/>
          <w:szCs w:val="24"/>
          <w:lang w:val="en-GB"/>
        </w:rPr>
        <w:t xml:space="preserve"> in the framework)</w:t>
      </w:r>
      <w:r w:rsidRPr="0055668D">
        <w:rPr>
          <w:rFonts w:eastAsia="Times New Roman"/>
          <w:bCs/>
          <w:color w:val="FF0000"/>
          <w:szCs w:val="24"/>
          <w:lang w:val="en-GB"/>
        </w:rPr>
        <w:t xml:space="preserve"> </w:t>
      </w:r>
    </w:p>
    <w:p w14:paraId="157503D6" w14:textId="045D772F" w:rsidR="00FB6A7F" w:rsidRPr="00404DEA" w:rsidRDefault="00404DEA" w:rsidP="00404DEA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16: </w:t>
      </w:r>
      <w:r w:rsidRPr="00404DEA">
        <w:rPr>
          <w:rFonts w:eastAsia="Times New Roman"/>
          <w:bCs/>
          <w:color w:val="002060"/>
          <w:lang w:val="en-US"/>
        </w:rPr>
        <w:t xml:space="preserve">EAtHC coastal States </w:t>
      </w:r>
      <w:r w:rsidR="008B6049">
        <w:rPr>
          <w:rFonts w:eastAsia="Times New Roman"/>
          <w:bCs/>
          <w:color w:val="002060"/>
          <w:lang w:val="en-US"/>
        </w:rPr>
        <w:t>should</w:t>
      </w:r>
      <w:r w:rsidR="008B6049" w:rsidRPr="00404DEA">
        <w:rPr>
          <w:rFonts w:eastAsia="Times New Roman"/>
          <w:bCs/>
          <w:color w:val="002060"/>
          <w:lang w:val="en-US"/>
        </w:rPr>
        <w:t xml:space="preserve"> </w:t>
      </w:r>
      <w:r w:rsidRPr="00404DEA">
        <w:rPr>
          <w:rFonts w:eastAsia="Times New Roman"/>
          <w:bCs/>
          <w:color w:val="002060"/>
          <w:lang w:val="en-US"/>
        </w:rPr>
        <w:t>inform the EAtHC Chair on points of contact (POC) and the means of communication</w:t>
      </w:r>
    </w:p>
    <w:p w14:paraId="4520E6C8" w14:textId="4C1082D9" w:rsidR="00FB6A7F" w:rsidRPr="00404DEA" w:rsidRDefault="00404DEA" w:rsidP="00404DEA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lastRenderedPageBreak/>
        <w:t>Recommendation</w:t>
      </w:r>
      <w:r>
        <w:rPr>
          <w:rFonts w:eastAsia="Times New Roman"/>
          <w:bCs/>
          <w:color w:val="002060"/>
          <w:lang w:val="en-US"/>
        </w:rPr>
        <w:t xml:space="preserve"> 17: </w:t>
      </w:r>
      <w:r w:rsidRPr="00404DEA">
        <w:rPr>
          <w:rFonts w:eastAsia="Times New Roman"/>
          <w:bCs/>
          <w:color w:val="002060"/>
          <w:lang w:val="en-US"/>
        </w:rPr>
        <w:t xml:space="preserve">EAtHC coastal States </w:t>
      </w:r>
      <w:r w:rsidR="00D3757A">
        <w:rPr>
          <w:rFonts w:eastAsia="Times New Roman"/>
          <w:bCs/>
          <w:color w:val="002060"/>
          <w:lang w:val="en-US"/>
        </w:rPr>
        <w:t xml:space="preserve">should </w:t>
      </w:r>
      <w:r w:rsidRPr="00404DEA">
        <w:rPr>
          <w:rFonts w:eastAsia="Times New Roman"/>
          <w:bCs/>
          <w:color w:val="002060"/>
          <w:lang w:val="en-US"/>
        </w:rPr>
        <w:t>prepare a list of (possibly) available assets that impacted coastal States may consider to request via diplomatic channels to the neighboring States</w:t>
      </w:r>
    </w:p>
    <w:p w14:paraId="1A426FC9" w14:textId="77777777" w:rsidR="00FB6A7F" w:rsidRDefault="00404DEA" w:rsidP="00404DEA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18: </w:t>
      </w:r>
      <w:r w:rsidRPr="00404DEA">
        <w:rPr>
          <w:rFonts w:eastAsia="Times New Roman"/>
          <w:bCs/>
          <w:color w:val="002060"/>
          <w:lang w:val="en-US"/>
        </w:rPr>
        <w:t>The Chair should ensure a permanent agenda item on RHC meetings to monitor the readiness of the Commission to respond to disasters and conducting regular table-top exercises to evaluate the procedures</w:t>
      </w:r>
    </w:p>
    <w:p w14:paraId="01C71F6E" w14:textId="77777777" w:rsidR="00404DEA" w:rsidRPr="00404DEA" w:rsidRDefault="00404DEA" w:rsidP="00404DEA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19: </w:t>
      </w:r>
      <w:r w:rsidR="00A36EEB">
        <w:rPr>
          <w:rFonts w:eastAsia="Times New Roman"/>
          <w:bCs/>
          <w:color w:val="002060"/>
          <w:lang w:val="en-US"/>
        </w:rPr>
        <w:t>C</w:t>
      </w:r>
      <w:r>
        <w:rPr>
          <w:rFonts w:eastAsia="Times New Roman"/>
          <w:bCs/>
          <w:color w:val="002060"/>
          <w:lang w:val="en-US"/>
        </w:rPr>
        <w:t>reate a section for disaster response in the EAtHC webpage</w:t>
      </w:r>
    </w:p>
    <w:p w14:paraId="4F0D7549" w14:textId="77777777" w:rsidR="0055668D" w:rsidRPr="00D37963" w:rsidRDefault="0055668D" w:rsidP="0055668D">
      <w:pPr>
        <w:pStyle w:val="ListParagraph"/>
        <w:ind w:left="792"/>
        <w:rPr>
          <w:rFonts w:eastAsia="Times New Roman"/>
          <w:bCs/>
          <w:lang w:val="en-GB"/>
        </w:rPr>
      </w:pPr>
    </w:p>
    <w:p w14:paraId="52593F72" w14:textId="77777777" w:rsidR="00A1635D" w:rsidRDefault="0055668D" w:rsidP="0055668D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D37963">
        <w:rPr>
          <w:rFonts w:eastAsia="Times New Roman"/>
          <w:bCs/>
          <w:lang w:val="en-GB"/>
        </w:rPr>
        <w:t>Open discussion about Bilateral and Regional Cooperation Agreements.</w:t>
      </w:r>
    </w:p>
    <w:p w14:paraId="44E3E5A9" w14:textId="1B9F7D81" w:rsidR="00A1635D" w:rsidRPr="00A36EEB" w:rsidRDefault="00A36EEB" w:rsidP="00A36EEB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20:</w:t>
      </w:r>
      <w:r w:rsidR="00B52050">
        <w:rPr>
          <w:rFonts w:eastAsia="Times New Roman"/>
          <w:bCs/>
          <w:color w:val="002060"/>
          <w:lang w:val="en-US"/>
        </w:rPr>
        <w:t xml:space="preserve"> </w:t>
      </w:r>
      <w:r w:rsidR="00B52050" w:rsidRPr="00B52050">
        <w:rPr>
          <w:rFonts w:eastAsia="Times New Roman"/>
          <w:bCs/>
          <w:color w:val="002060"/>
          <w:lang w:val="en-US"/>
        </w:rPr>
        <w:t xml:space="preserve">EAtHC Chair </w:t>
      </w:r>
      <w:r w:rsidR="008B6049">
        <w:rPr>
          <w:rFonts w:eastAsia="Times New Roman"/>
          <w:bCs/>
          <w:color w:val="002060"/>
          <w:lang w:val="en-US"/>
        </w:rPr>
        <w:t>should</w:t>
      </w:r>
      <w:r w:rsidR="00B52050" w:rsidRPr="00B52050">
        <w:rPr>
          <w:rFonts w:eastAsia="Times New Roman"/>
          <w:bCs/>
          <w:color w:val="002060"/>
          <w:lang w:val="en-US"/>
        </w:rPr>
        <w:t xml:space="preserve"> continue engaging MOWCA and PMAWCA (&amp; other regional organizations) to participate in the Plenary's</w:t>
      </w:r>
    </w:p>
    <w:p w14:paraId="75EE57C9" w14:textId="3ED23800" w:rsidR="00A1635D" w:rsidRDefault="00B52050" w:rsidP="00B52050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  <w:r w:rsidRPr="005B087B">
        <w:rPr>
          <w:rFonts w:eastAsia="Times New Roman"/>
          <w:bCs/>
          <w:color w:val="002060"/>
          <w:lang w:val="en-US"/>
        </w:rPr>
        <w:t>Recommendation</w:t>
      </w:r>
      <w:r>
        <w:rPr>
          <w:rFonts w:eastAsia="Times New Roman"/>
          <w:bCs/>
          <w:color w:val="002060"/>
          <w:lang w:val="en-US"/>
        </w:rPr>
        <w:t xml:space="preserve"> 21: Coastal States </w:t>
      </w:r>
      <w:r w:rsidR="008B6049">
        <w:rPr>
          <w:rFonts w:eastAsia="Times New Roman"/>
          <w:bCs/>
          <w:color w:val="002060"/>
          <w:lang w:val="en-US"/>
        </w:rPr>
        <w:t>should</w:t>
      </w:r>
      <w:r>
        <w:rPr>
          <w:rFonts w:eastAsia="Times New Roman"/>
          <w:bCs/>
          <w:color w:val="002060"/>
          <w:lang w:val="en-US"/>
        </w:rPr>
        <w:t xml:space="preserve"> share experiences and POCs at regional level</w:t>
      </w:r>
      <w:r w:rsidR="00EF3B0F">
        <w:rPr>
          <w:rFonts w:eastAsia="Times New Roman"/>
          <w:bCs/>
          <w:color w:val="002060"/>
          <w:lang w:val="en-US"/>
        </w:rPr>
        <w:t>.</w:t>
      </w:r>
    </w:p>
    <w:p w14:paraId="1F96BFDD" w14:textId="77777777" w:rsidR="00EF3B0F" w:rsidRDefault="00EF3B0F" w:rsidP="00B52050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</w:p>
    <w:p w14:paraId="6167504B" w14:textId="43649FC7" w:rsidR="00EF3B0F" w:rsidRDefault="00EF3B0F" w:rsidP="00EF3B0F">
      <w:pPr>
        <w:pStyle w:val="ListParagraph"/>
        <w:numPr>
          <w:ilvl w:val="1"/>
          <w:numId w:val="1"/>
        </w:numPr>
        <w:rPr>
          <w:rFonts w:cstheme="minorHAnsi"/>
          <w:sz w:val="24"/>
          <w:lang w:val="en-US" w:eastAsia="pt-PT"/>
        </w:rPr>
      </w:pPr>
      <w:r w:rsidRPr="00EF3B0F">
        <w:rPr>
          <w:rFonts w:eastAsia="Times New Roman"/>
          <w:bCs/>
          <w:lang w:val="en-GB"/>
        </w:rPr>
        <w:t>Regional</w:t>
      </w:r>
      <w:r>
        <w:rPr>
          <w:rFonts w:cstheme="minorHAnsi"/>
          <w:sz w:val="24"/>
          <w:lang w:val="en-US" w:eastAsia="pt-PT"/>
        </w:rPr>
        <w:t xml:space="preserve"> projects</w:t>
      </w:r>
    </w:p>
    <w:p w14:paraId="23156EAD" w14:textId="64175574" w:rsidR="00EF3B0F" w:rsidRDefault="00EF3B0F" w:rsidP="00EF3B0F">
      <w:pPr>
        <w:pStyle w:val="ListParagraph"/>
        <w:ind w:left="792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21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N</w:t>
      </w:r>
      <w:r w:rsidRPr="00A1635D">
        <w:rPr>
          <w:rFonts w:eastAsia="Times New Roman"/>
          <w:bCs/>
          <w:color w:val="FF0000"/>
          <w:szCs w:val="24"/>
          <w:lang w:val="en-GB"/>
        </w:rPr>
        <w:t xml:space="preserve">ote </w:t>
      </w:r>
      <w:r>
        <w:rPr>
          <w:rFonts w:eastAsia="Times New Roman"/>
          <w:bCs/>
          <w:color w:val="FF0000"/>
          <w:szCs w:val="24"/>
          <w:lang w:val="en-GB"/>
        </w:rPr>
        <w:t>the EMODNet and Air Centre</w:t>
      </w:r>
      <w:r w:rsidRPr="00A1635D">
        <w:rPr>
          <w:rFonts w:eastAsia="Times New Roman"/>
          <w:bCs/>
          <w:color w:val="FF0000"/>
          <w:szCs w:val="24"/>
          <w:lang w:val="en-GB"/>
        </w:rPr>
        <w:t xml:space="preserve"> report</w:t>
      </w:r>
      <w:r>
        <w:rPr>
          <w:rFonts w:eastAsia="Times New Roman"/>
          <w:bCs/>
          <w:color w:val="FF0000"/>
          <w:szCs w:val="24"/>
          <w:lang w:val="en-GB"/>
        </w:rPr>
        <w:t>s</w:t>
      </w:r>
    </w:p>
    <w:p w14:paraId="04C25857" w14:textId="6E3633AE" w:rsidR="00EF3B0F" w:rsidRDefault="00EF3B0F" w:rsidP="00B52050">
      <w:pPr>
        <w:pStyle w:val="ListParagraph"/>
        <w:ind w:left="792"/>
        <w:rPr>
          <w:rFonts w:eastAsia="Times New Roman"/>
          <w:bCs/>
          <w:lang w:val="en-GB"/>
        </w:rPr>
      </w:pPr>
    </w:p>
    <w:p w14:paraId="306993AC" w14:textId="5D52F1E4" w:rsidR="00EF3B0F" w:rsidRDefault="00EF3B0F" w:rsidP="00B52050">
      <w:pPr>
        <w:pStyle w:val="ListParagraph"/>
        <w:ind w:left="792"/>
        <w:rPr>
          <w:rFonts w:eastAsia="Times New Roman"/>
          <w:bCs/>
          <w:lang w:val="en-GB"/>
        </w:rPr>
      </w:pPr>
    </w:p>
    <w:p w14:paraId="716AE506" w14:textId="657D5527" w:rsidR="00EF3B0F" w:rsidRPr="00EF3B0F" w:rsidRDefault="00EF3B0F" w:rsidP="00EF3B0F">
      <w:pPr>
        <w:pStyle w:val="ListParagraph"/>
        <w:numPr>
          <w:ilvl w:val="0"/>
          <w:numId w:val="1"/>
        </w:numPr>
        <w:rPr>
          <w:rFonts w:eastAsia="Times New Roman"/>
          <w:b/>
          <w:lang w:val="en-US"/>
        </w:rPr>
      </w:pPr>
      <w:r w:rsidRPr="00EF3B0F">
        <w:rPr>
          <w:rFonts w:eastAsia="Times New Roman"/>
          <w:b/>
          <w:lang w:val="en-US"/>
        </w:rPr>
        <w:t xml:space="preserve">S-100 </w:t>
      </w:r>
      <w:r w:rsidRPr="00EF3B0F">
        <w:rPr>
          <w:rFonts w:eastAsia="Times New Roman"/>
          <w:b/>
          <w:lang w:val="en-GB"/>
        </w:rPr>
        <w:t>implementation</w:t>
      </w:r>
      <w:r w:rsidRPr="00EF3B0F">
        <w:rPr>
          <w:rFonts w:eastAsia="Times New Roman"/>
          <w:b/>
          <w:lang w:val="en-US"/>
        </w:rPr>
        <w:t xml:space="preserve"> in the Region</w:t>
      </w:r>
      <w:r>
        <w:rPr>
          <w:rFonts w:eastAsia="Times New Roman"/>
          <w:b/>
          <w:lang w:val="en-US"/>
        </w:rPr>
        <w:t xml:space="preserve"> and WENDWG report</w:t>
      </w:r>
    </w:p>
    <w:p w14:paraId="0224FC32" w14:textId="77777777" w:rsidR="00D52DA8" w:rsidRDefault="00EF3B0F" w:rsidP="00D52DA8">
      <w:pPr>
        <w:pStyle w:val="ListParagraph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22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>
        <w:rPr>
          <w:rFonts w:eastAsia="Times New Roman"/>
          <w:bCs/>
          <w:color w:val="FF0000"/>
          <w:szCs w:val="24"/>
          <w:lang w:val="en-GB"/>
        </w:rPr>
        <w:t>N</w:t>
      </w:r>
      <w:r w:rsidRPr="00A1635D">
        <w:rPr>
          <w:rFonts w:eastAsia="Times New Roman"/>
          <w:bCs/>
          <w:color w:val="FF0000"/>
          <w:szCs w:val="24"/>
          <w:lang w:val="en-GB"/>
        </w:rPr>
        <w:t xml:space="preserve">ote </w:t>
      </w:r>
      <w:r>
        <w:rPr>
          <w:rFonts w:eastAsia="Times New Roman"/>
          <w:bCs/>
          <w:color w:val="FF0000"/>
          <w:szCs w:val="24"/>
          <w:lang w:val="en-GB"/>
        </w:rPr>
        <w:t>the WENDWG</w:t>
      </w:r>
      <w:r w:rsidRPr="00A1635D">
        <w:rPr>
          <w:rFonts w:eastAsia="Times New Roman"/>
          <w:bCs/>
          <w:color w:val="FF0000"/>
          <w:szCs w:val="24"/>
          <w:lang w:val="en-GB"/>
        </w:rPr>
        <w:t xml:space="preserve"> report</w:t>
      </w:r>
    </w:p>
    <w:p w14:paraId="6F672ECB" w14:textId="21BB2A6C" w:rsidR="00D52DA8" w:rsidRPr="00D52DA8" w:rsidRDefault="00D52DA8" w:rsidP="00D52DA8">
      <w:pPr>
        <w:pStyle w:val="ListParagraph"/>
        <w:jc w:val="both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23</w:t>
      </w:r>
      <w:r w:rsidRPr="00451FB3">
        <w:rPr>
          <w:rFonts w:eastAsia="Times New Roman"/>
          <w:bCs/>
          <w:color w:val="FF0000"/>
          <w:szCs w:val="24"/>
          <w:lang w:val="en-GB"/>
        </w:rPr>
        <w:t xml:space="preserve">: </w:t>
      </w:r>
      <w:r w:rsidRPr="00D52DA8">
        <w:rPr>
          <w:rFonts w:eastAsia="Times New Roman"/>
          <w:bCs/>
          <w:color w:val="FF0000"/>
          <w:szCs w:val="24"/>
          <w:lang w:val="en-GB"/>
        </w:rPr>
        <w:t>EAtHC M</w:t>
      </w:r>
      <w:r w:rsidR="00D3757A">
        <w:rPr>
          <w:rFonts w:eastAsia="Times New Roman"/>
          <w:bCs/>
          <w:color w:val="FF0000"/>
          <w:szCs w:val="24"/>
          <w:lang w:val="en-GB"/>
        </w:rPr>
        <w:t>ember states</w:t>
      </w:r>
      <w:r w:rsidRPr="00D52DA8">
        <w:rPr>
          <w:rFonts w:eastAsia="Times New Roman"/>
          <w:bCs/>
          <w:color w:val="FF0000"/>
          <w:szCs w:val="24"/>
          <w:lang w:val="en-GB"/>
        </w:rPr>
        <w:t xml:space="preserve"> to coordinate the efforts on the implementation of S-100 and promote the cooperation and exchange of experiences</w:t>
      </w:r>
    </w:p>
    <w:p w14:paraId="10CAF52A" w14:textId="42C87682" w:rsidR="00EF3B0F" w:rsidRDefault="00EF3B0F" w:rsidP="008F6F9C">
      <w:pPr>
        <w:pStyle w:val="ListParagraph"/>
        <w:jc w:val="both"/>
        <w:rPr>
          <w:rFonts w:eastAsia="Times New Roman"/>
          <w:bCs/>
          <w:color w:val="002060"/>
          <w:lang w:val="en-US"/>
        </w:rPr>
      </w:pPr>
      <w:r w:rsidRPr="008F6F9C">
        <w:rPr>
          <w:rFonts w:eastAsia="Times New Roman"/>
          <w:bCs/>
          <w:color w:val="002060"/>
          <w:lang w:val="en-US"/>
        </w:rPr>
        <w:t xml:space="preserve">Recommendation 21: </w:t>
      </w:r>
      <w:r w:rsidR="00D3757A">
        <w:rPr>
          <w:rFonts w:eastAsia="Times New Roman"/>
          <w:bCs/>
          <w:color w:val="002060"/>
          <w:lang w:val="en-US"/>
        </w:rPr>
        <w:t>A</w:t>
      </w:r>
      <w:r w:rsidRPr="008F6F9C">
        <w:rPr>
          <w:rFonts w:eastAsia="Times New Roman"/>
          <w:bCs/>
          <w:color w:val="002060"/>
          <w:lang w:val="en-US"/>
        </w:rPr>
        <w:t>doption the IHO Resolution - Principles of the WEND for S-1XX Products (WEND-100 Principles) – CL 37/2021</w:t>
      </w:r>
    </w:p>
    <w:p w14:paraId="15FC4D54" w14:textId="1F7728BA" w:rsidR="008F6F9C" w:rsidRDefault="00D52DA8" w:rsidP="008F6F9C">
      <w:pPr>
        <w:pStyle w:val="ListParagraph"/>
        <w:jc w:val="both"/>
        <w:rPr>
          <w:rFonts w:eastAsia="Times New Roman"/>
          <w:bCs/>
          <w:color w:val="002060"/>
          <w:lang w:val="en-US"/>
        </w:rPr>
      </w:pPr>
      <w:r w:rsidRPr="008F6F9C">
        <w:rPr>
          <w:rFonts w:eastAsia="Times New Roman"/>
          <w:bCs/>
          <w:color w:val="002060"/>
          <w:lang w:val="en-US"/>
        </w:rPr>
        <w:t>Recommendation 2</w:t>
      </w:r>
      <w:r>
        <w:rPr>
          <w:rFonts w:eastAsia="Times New Roman"/>
          <w:bCs/>
          <w:color w:val="002060"/>
          <w:lang w:val="en-US"/>
        </w:rPr>
        <w:t>2</w:t>
      </w:r>
      <w:r w:rsidRPr="008F6F9C">
        <w:rPr>
          <w:rFonts w:eastAsia="Times New Roman"/>
          <w:bCs/>
          <w:color w:val="002060"/>
          <w:lang w:val="en-US"/>
        </w:rPr>
        <w:t xml:space="preserve">: </w:t>
      </w:r>
      <w:r w:rsidR="008F6F9C" w:rsidRPr="00D52DA8">
        <w:rPr>
          <w:rFonts w:eastAsia="Times New Roman"/>
          <w:bCs/>
          <w:color w:val="002060"/>
          <w:lang w:val="en-US"/>
        </w:rPr>
        <w:t>Note the S-100 concerns at regional level (transition from S-57 to S-101;</w:t>
      </w:r>
      <w:r>
        <w:rPr>
          <w:rFonts w:eastAsia="Times New Roman"/>
          <w:bCs/>
          <w:color w:val="002060"/>
          <w:lang w:val="en-US"/>
        </w:rPr>
        <w:t xml:space="preserve"> </w:t>
      </w:r>
      <w:r w:rsidR="008F6F9C" w:rsidRPr="008F6F9C">
        <w:rPr>
          <w:rFonts w:eastAsia="Times New Roman"/>
          <w:bCs/>
          <w:color w:val="002060"/>
          <w:lang w:val="en-US"/>
        </w:rPr>
        <w:t>S-101 ENC Scheme</w:t>
      </w:r>
      <w:r w:rsidR="008F6F9C" w:rsidRPr="00D52DA8">
        <w:rPr>
          <w:rFonts w:eastAsia="Times New Roman"/>
          <w:bCs/>
          <w:color w:val="002060"/>
          <w:lang w:val="en-US"/>
        </w:rPr>
        <w:t xml:space="preserve">; </w:t>
      </w:r>
      <w:r w:rsidR="008F6F9C" w:rsidRPr="008F6F9C">
        <w:rPr>
          <w:rFonts w:eastAsia="Times New Roman"/>
          <w:bCs/>
          <w:color w:val="002060"/>
          <w:lang w:val="en-US"/>
        </w:rPr>
        <w:t>Production/publication of S-101 ENCs;</w:t>
      </w:r>
      <w:r w:rsidR="008F6F9C" w:rsidRPr="00D52DA8">
        <w:rPr>
          <w:rFonts w:eastAsia="Times New Roman"/>
          <w:bCs/>
          <w:color w:val="002060"/>
          <w:lang w:val="en-US"/>
        </w:rPr>
        <w:t xml:space="preserve"> </w:t>
      </w:r>
      <w:r w:rsidR="008F6F9C" w:rsidRPr="008F6F9C">
        <w:rPr>
          <w:rFonts w:eastAsia="Times New Roman"/>
          <w:bCs/>
          <w:color w:val="002060"/>
          <w:lang w:val="en-US"/>
        </w:rPr>
        <w:t>Coordination; cooperation between HOs;</w:t>
      </w:r>
      <w:r w:rsidR="008F6F9C" w:rsidRPr="00D52DA8">
        <w:rPr>
          <w:rFonts w:eastAsia="Times New Roman"/>
          <w:bCs/>
          <w:color w:val="002060"/>
          <w:lang w:val="en-US"/>
        </w:rPr>
        <w:t xml:space="preserve"> </w:t>
      </w:r>
      <w:r w:rsidR="008F6F9C" w:rsidRPr="008F6F9C">
        <w:rPr>
          <w:rFonts w:eastAsia="Times New Roman"/>
          <w:bCs/>
          <w:color w:val="002060"/>
          <w:lang w:val="en-US"/>
        </w:rPr>
        <w:t>PCA role;</w:t>
      </w:r>
      <w:r w:rsidR="008F6F9C" w:rsidRPr="00D52DA8">
        <w:rPr>
          <w:rFonts w:eastAsia="Times New Roman"/>
          <w:bCs/>
          <w:color w:val="002060"/>
          <w:lang w:val="en-US"/>
        </w:rPr>
        <w:t xml:space="preserve"> </w:t>
      </w:r>
      <w:r w:rsidR="008F6F9C" w:rsidRPr="008F6F9C">
        <w:rPr>
          <w:rFonts w:eastAsia="Times New Roman"/>
          <w:bCs/>
          <w:color w:val="002060"/>
          <w:lang w:val="en-US"/>
        </w:rPr>
        <w:t>RENCs involvement/participation (ex: seminars; training etc)</w:t>
      </w:r>
      <w:r w:rsidR="008F6F9C" w:rsidRPr="00D52DA8">
        <w:rPr>
          <w:rFonts w:eastAsia="Times New Roman"/>
          <w:bCs/>
          <w:color w:val="002060"/>
          <w:lang w:val="en-US"/>
        </w:rPr>
        <w:t xml:space="preserve">; </w:t>
      </w:r>
      <w:r w:rsidR="008F6F9C" w:rsidRPr="008F6F9C">
        <w:rPr>
          <w:rFonts w:eastAsia="Times New Roman"/>
          <w:bCs/>
          <w:color w:val="002060"/>
          <w:lang w:val="en-US"/>
        </w:rPr>
        <w:t>Other applicable S-100 products;</w:t>
      </w:r>
      <w:r w:rsidR="008F6F9C" w:rsidRPr="00D52DA8">
        <w:rPr>
          <w:rFonts w:eastAsia="Times New Roman"/>
          <w:bCs/>
          <w:color w:val="002060"/>
          <w:lang w:val="en-US"/>
        </w:rPr>
        <w:t xml:space="preserve"> Other national authorities were HOs is not the data owners).</w:t>
      </w:r>
    </w:p>
    <w:p w14:paraId="6325EE0A" w14:textId="5BCDA77E" w:rsidR="008B6049" w:rsidRPr="008B6049" w:rsidRDefault="008B6049" w:rsidP="008B6049">
      <w:pPr>
        <w:pStyle w:val="ListParagraph"/>
        <w:jc w:val="both"/>
        <w:rPr>
          <w:rFonts w:eastAsia="Times New Roman"/>
          <w:bCs/>
          <w:color w:val="002060"/>
          <w:lang w:val="en-US"/>
        </w:rPr>
      </w:pPr>
      <w:r w:rsidRPr="008F6F9C">
        <w:rPr>
          <w:rFonts w:eastAsia="Times New Roman"/>
          <w:bCs/>
          <w:color w:val="002060"/>
          <w:lang w:val="en-US"/>
        </w:rPr>
        <w:t>Recommendation 2</w:t>
      </w:r>
      <w:r>
        <w:rPr>
          <w:rFonts w:eastAsia="Times New Roman"/>
          <w:bCs/>
          <w:color w:val="002060"/>
          <w:lang w:val="en-US"/>
        </w:rPr>
        <w:t xml:space="preserve">3: Member States be engaged </w:t>
      </w:r>
      <w:r w:rsidRPr="008B6049">
        <w:rPr>
          <w:rFonts w:eastAsia="Times New Roman"/>
          <w:bCs/>
          <w:color w:val="002060"/>
          <w:lang w:val="en-US"/>
        </w:rPr>
        <w:t>in the WG working on S100</w:t>
      </w:r>
      <w:r>
        <w:rPr>
          <w:rFonts w:eastAsia="Times New Roman"/>
          <w:bCs/>
          <w:color w:val="002060"/>
          <w:lang w:val="en-US"/>
        </w:rPr>
        <w:t xml:space="preserve"> and should attend next WENDWG meeting.</w:t>
      </w:r>
    </w:p>
    <w:p w14:paraId="2E666928" w14:textId="7B9F6E78" w:rsidR="00EF3B0F" w:rsidRDefault="00EF3B0F" w:rsidP="00EF3B0F">
      <w:pPr>
        <w:pStyle w:val="ListParagraph"/>
        <w:ind w:left="792"/>
        <w:rPr>
          <w:rFonts w:eastAsia="Times New Roman"/>
          <w:bCs/>
          <w:color w:val="002060"/>
          <w:lang w:val="en-US"/>
        </w:rPr>
      </w:pPr>
    </w:p>
    <w:p w14:paraId="1B947F7D" w14:textId="77777777" w:rsidR="00EF3B0F" w:rsidRPr="00EF3B0F" w:rsidRDefault="00EF3B0F" w:rsidP="00EF3B0F">
      <w:pPr>
        <w:pStyle w:val="ListParagraph"/>
        <w:numPr>
          <w:ilvl w:val="0"/>
          <w:numId w:val="1"/>
        </w:numPr>
        <w:rPr>
          <w:rFonts w:eastAsia="Times New Roman"/>
          <w:b/>
          <w:lang w:val="en-US"/>
        </w:rPr>
      </w:pPr>
      <w:r w:rsidRPr="00EF3B0F">
        <w:rPr>
          <w:rFonts w:eastAsia="Times New Roman"/>
          <w:b/>
          <w:lang w:val="en-US"/>
        </w:rPr>
        <w:t>IHO Revised Strategic Plan 2021-2026</w:t>
      </w:r>
    </w:p>
    <w:p w14:paraId="22EDE794" w14:textId="26A1426F" w:rsidR="00AD61C6" w:rsidRDefault="002E00F4" w:rsidP="00EF3B0F">
      <w:pPr>
        <w:pStyle w:val="ListParagraph"/>
        <w:ind w:left="792"/>
        <w:rPr>
          <w:rFonts w:eastAsia="Times New Roman"/>
          <w:bCs/>
          <w:color w:val="FF0000"/>
          <w:szCs w:val="24"/>
          <w:lang w:val="en-GB"/>
        </w:rPr>
      </w:pPr>
      <w:r>
        <w:rPr>
          <w:rFonts w:eastAsia="Times New Roman"/>
          <w:bCs/>
          <w:color w:val="FF0000"/>
          <w:szCs w:val="24"/>
          <w:lang w:val="en-GB"/>
        </w:rPr>
        <w:t>Decision 24</w:t>
      </w:r>
      <w:r w:rsidRPr="00451FB3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EAtHC </w:t>
      </w:r>
      <w:r w:rsidRPr="002E00F4">
        <w:rPr>
          <w:rFonts w:eastAsia="Times New Roman"/>
          <w:bCs/>
          <w:color w:val="FF0000"/>
          <w:szCs w:val="24"/>
          <w:lang w:val="en-GB"/>
        </w:rPr>
        <w:t>M</w:t>
      </w:r>
      <w:r w:rsidR="00D3757A">
        <w:rPr>
          <w:rFonts w:eastAsia="Times New Roman"/>
          <w:bCs/>
          <w:color w:val="FF0000"/>
          <w:szCs w:val="24"/>
          <w:lang w:val="en-GB"/>
        </w:rPr>
        <w:t xml:space="preserve">ember </w:t>
      </w:r>
      <w:r w:rsidRPr="002E00F4">
        <w:rPr>
          <w:rFonts w:eastAsia="Times New Roman"/>
          <w:bCs/>
          <w:color w:val="FF0000"/>
          <w:szCs w:val="24"/>
          <w:lang w:val="en-GB"/>
        </w:rPr>
        <w:t>S</w:t>
      </w:r>
      <w:r w:rsidR="00D3757A">
        <w:rPr>
          <w:rFonts w:eastAsia="Times New Roman"/>
          <w:bCs/>
          <w:color w:val="FF0000"/>
          <w:szCs w:val="24"/>
          <w:lang w:val="en-GB"/>
        </w:rPr>
        <w:t>tates</w:t>
      </w:r>
      <w:r w:rsidRPr="002E00F4">
        <w:rPr>
          <w:rFonts w:eastAsia="Times New Roman"/>
          <w:bCs/>
          <w:color w:val="FF0000"/>
          <w:szCs w:val="24"/>
          <w:lang w:val="en-GB"/>
        </w:rPr>
        <w:t xml:space="preserve"> agree to participate on IRCC WORKSHOP ON THE IHO STRATEGIC PLAN IOT contribute to SPI and develop </w:t>
      </w:r>
      <w:r>
        <w:rPr>
          <w:rFonts w:eastAsia="Times New Roman"/>
          <w:bCs/>
          <w:color w:val="FF0000"/>
          <w:szCs w:val="24"/>
          <w:lang w:val="en-GB"/>
        </w:rPr>
        <w:t>the</w:t>
      </w:r>
      <w:r w:rsidRPr="002E00F4">
        <w:rPr>
          <w:rFonts w:eastAsia="Times New Roman"/>
          <w:bCs/>
          <w:color w:val="FF0000"/>
          <w:szCs w:val="24"/>
          <w:lang w:val="en-GB"/>
        </w:rPr>
        <w:t xml:space="preserve"> Analyses Gap</w:t>
      </w:r>
    </w:p>
    <w:p w14:paraId="61617BB6" w14:textId="61F8948C" w:rsidR="002E00F4" w:rsidRDefault="002E00F4" w:rsidP="00EF3B0F">
      <w:pPr>
        <w:pStyle w:val="ListParagraph"/>
        <w:ind w:left="792"/>
        <w:rPr>
          <w:rFonts w:eastAsia="Times New Roman"/>
          <w:bCs/>
          <w:lang w:val="en-US"/>
        </w:rPr>
      </w:pPr>
      <w:r>
        <w:rPr>
          <w:rFonts w:eastAsia="Times New Roman"/>
          <w:bCs/>
          <w:color w:val="FF0000"/>
          <w:szCs w:val="24"/>
          <w:lang w:val="en-GB"/>
        </w:rPr>
        <w:t>Decision 25</w:t>
      </w:r>
      <w:r w:rsidRPr="00451FB3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EAtHC </w:t>
      </w:r>
      <w:r w:rsidR="00D3757A">
        <w:rPr>
          <w:rFonts w:eastAsia="Times New Roman"/>
          <w:bCs/>
          <w:color w:val="FF0000"/>
          <w:szCs w:val="24"/>
          <w:lang w:val="en-GB"/>
        </w:rPr>
        <w:t>Member States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D3757A">
        <w:rPr>
          <w:rFonts w:eastAsia="Times New Roman"/>
          <w:bCs/>
          <w:color w:val="FF0000"/>
          <w:szCs w:val="24"/>
          <w:lang w:val="en-GB"/>
        </w:rPr>
        <w:t xml:space="preserve">to be </w:t>
      </w:r>
      <w:r w:rsidRPr="002E00F4">
        <w:rPr>
          <w:rFonts w:eastAsia="Times New Roman"/>
          <w:bCs/>
          <w:color w:val="FF0000"/>
          <w:szCs w:val="24"/>
          <w:lang w:val="en-GB"/>
        </w:rPr>
        <w:t>involved to develop measurements to the SPI allocated to them and report back to IRCC14</w:t>
      </w:r>
      <w:r>
        <w:rPr>
          <w:rFonts w:eastAsia="Times New Roman"/>
          <w:bCs/>
          <w:color w:val="FF0000"/>
          <w:szCs w:val="24"/>
          <w:lang w:val="en-GB"/>
        </w:rPr>
        <w:t xml:space="preserve"> and </w:t>
      </w:r>
      <w:r w:rsidRPr="002E00F4">
        <w:rPr>
          <w:rFonts w:eastAsia="Times New Roman"/>
          <w:bCs/>
          <w:color w:val="FF0000"/>
          <w:szCs w:val="24"/>
          <w:lang w:val="en-GB"/>
        </w:rPr>
        <w:t>consider the contribution to the SPIs under HSSC</w:t>
      </w:r>
    </w:p>
    <w:p w14:paraId="165057DD" w14:textId="7FE63FD4" w:rsidR="00AD61C6" w:rsidRDefault="00AD61C6" w:rsidP="00D37963">
      <w:pPr>
        <w:rPr>
          <w:rFonts w:eastAsia="Times New Roman"/>
          <w:bCs/>
          <w:lang w:val="en-GB"/>
        </w:rPr>
      </w:pPr>
    </w:p>
    <w:p w14:paraId="2AEF207B" w14:textId="6DA388E3" w:rsidR="002E00F4" w:rsidRPr="002E00F4" w:rsidRDefault="002E00F4" w:rsidP="002E00F4">
      <w:pPr>
        <w:pStyle w:val="ListParagraph"/>
        <w:numPr>
          <w:ilvl w:val="0"/>
          <w:numId w:val="1"/>
        </w:numPr>
        <w:rPr>
          <w:rFonts w:eastAsia="Times New Roman"/>
          <w:b/>
          <w:lang w:val="en-US"/>
        </w:rPr>
      </w:pPr>
      <w:r w:rsidRPr="002E00F4">
        <w:rPr>
          <w:rFonts w:eastAsia="Times New Roman"/>
          <w:b/>
          <w:lang w:val="en-US"/>
        </w:rPr>
        <w:t xml:space="preserve">National Reports </w:t>
      </w:r>
    </w:p>
    <w:p w14:paraId="3F2B951D" w14:textId="08618286" w:rsidR="002E00F4" w:rsidRPr="002E00F4" w:rsidRDefault="002E00F4" w:rsidP="002E00F4">
      <w:pPr>
        <w:pStyle w:val="ListParagraph"/>
        <w:ind w:left="792"/>
        <w:rPr>
          <w:color w:val="FF0000"/>
          <w:lang w:val="en-US"/>
        </w:rPr>
      </w:pPr>
      <w:r w:rsidRPr="002E00F4">
        <w:rPr>
          <w:color w:val="FF0000"/>
          <w:lang w:val="en-US"/>
        </w:rPr>
        <w:t xml:space="preserve">Decision </w:t>
      </w:r>
      <w:r>
        <w:rPr>
          <w:color w:val="FF0000"/>
          <w:lang w:val="en-US"/>
        </w:rPr>
        <w:t>26</w:t>
      </w:r>
      <w:r w:rsidRPr="002E00F4">
        <w:rPr>
          <w:color w:val="FF0000"/>
          <w:lang w:val="en-US"/>
        </w:rPr>
        <w:t>: Note all reports from agenda item 6</w:t>
      </w:r>
      <w:r>
        <w:rPr>
          <w:color w:val="FF0000"/>
          <w:lang w:val="en-US"/>
        </w:rPr>
        <w:t xml:space="preserve"> (</w:t>
      </w:r>
      <w:r w:rsidRPr="002E00F4">
        <w:rPr>
          <w:color w:val="FF0000"/>
          <w:lang w:val="en-US"/>
        </w:rPr>
        <w:t>France, Ghana, Morrocco, Nigeria, Portugal, Spain, Cabo Verde, United Kingdom)</w:t>
      </w:r>
    </w:p>
    <w:p w14:paraId="1FD8FD83" w14:textId="071213E6" w:rsidR="002E00F4" w:rsidRPr="002E00F4" w:rsidRDefault="002E00F4" w:rsidP="002E00F4">
      <w:pPr>
        <w:pStyle w:val="ListParagraph"/>
        <w:ind w:left="792"/>
        <w:rPr>
          <w:rFonts w:eastAsia="Times New Roman"/>
          <w:bCs/>
        </w:rPr>
      </w:pPr>
      <w:r w:rsidRPr="002E00F4">
        <w:rPr>
          <w:color w:val="FF0000"/>
        </w:rPr>
        <w:t>Decision 27: Note all statements from agenda item 6 (Guiné-Bissau, São Tomé e Príncipe</w:t>
      </w:r>
      <w:r>
        <w:rPr>
          <w:color w:val="FF0000"/>
        </w:rPr>
        <w:t xml:space="preserve"> and Gambia)</w:t>
      </w:r>
    </w:p>
    <w:p w14:paraId="3C99210F" w14:textId="599619CF" w:rsidR="002E00F4" w:rsidRPr="002E00F4" w:rsidRDefault="002E00F4" w:rsidP="002E00F4">
      <w:pPr>
        <w:pStyle w:val="ListParagraph"/>
        <w:ind w:left="792"/>
        <w:rPr>
          <w:rFonts w:eastAsia="Times New Roman"/>
          <w:bCs/>
        </w:rPr>
      </w:pPr>
    </w:p>
    <w:p w14:paraId="49863493" w14:textId="1867B819" w:rsidR="002E00F4" w:rsidRDefault="002E00F4" w:rsidP="002E00F4">
      <w:pPr>
        <w:pStyle w:val="ListParagraph"/>
        <w:ind w:left="792"/>
        <w:rPr>
          <w:rFonts w:eastAsia="Times New Roman"/>
          <w:bCs/>
        </w:rPr>
      </w:pPr>
    </w:p>
    <w:p w14:paraId="5E0E4683" w14:textId="77777777" w:rsidR="008B6049" w:rsidRPr="002E00F4" w:rsidRDefault="008B6049" w:rsidP="002E00F4">
      <w:pPr>
        <w:pStyle w:val="ListParagraph"/>
        <w:ind w:left="792"/>
        <w:rPr>
          <w:rFonts w:eastAsia="Times New Roman"/>
          <w:bCs/>
        </w:rPr>
      </w:pPr>
    </w:p>
    <w:p w14:paraId="184E54F2" w14:textId="77777777" w:rsidR="00D37963" w:rsidRPr="003F741C" w:rsidRDefault="00D37963" w:rsidP="003F741C">
      <w:pPr>
        <w:pStyle w:val="ListParagraph"/>
        <w:numPr>
          <w:ilvl w:val="0"/>
          <w:numId w:val="1"/>
        </w:numPr>
        <w:rPr>
          <w:rFonts w:eastAsia="Times New Roman"/>
          <w:b/>
          <w:lang w:val="en-US"/>
        </w:rPr>
      </w:pPr>
      <w:r w:rsidRPr="003F741C">
        <w:rPr>
          <w:rFonts w:eastAsia="Times New Roman"/>
          <w:b/>
          <w:lang w:val="en-US"/>
        </w:rPr>
        <w:lastRenderedPageBreak/>
        <w:t>Relevant International and Regional Organizations’ Report</w:t>
      </w:r>
    </w:p>
    <w:p w14:paraId="7D376BB8" w14:textId="77777777" w:rsidR="003F741C" w:rsidRDefault="003F741C" w:rsidP="003F741C">
      <w:pPr>
        <w:pStyle w:val="ListParagraph"/>
        <w:ind w:left="360"/>
        <w:rPr>
          <w:color w:val="FF0000"/>
          <w:lang w:val="en-US"/>
        </w:rPr>
      </w:pPr>
      <w:r w:rsidRPr="002E00F4">
        <w:rPr>
          <w:color w:val="FF0000"/>
          <w:lang w:val="en-US"/>
        </w:rPr>
        <w:t xml:space="preserve">Decision </w:t>
      </w:r>
      <w:r>
        <w:rPr>
          <w:color w:val="FF0000"/>
          <w:lang w:val="en-US"/>
        </w:rPr>
        <w:t>28</w:t>
      </w:r>
      <w:r w:rsidRPr="002E00F4">
        <w:rPr>
          <w:color w:val="FF0000"/>
          <w:lang w:val="en-US"/>
        </w:rPr>
        <w:t xml:space="preserve">: Note all reports from agenda item </w:t>
      </w:r>
      <w:r>
        <w:rPr>
          <w:color w:val="FF0000"/>
          <w:lang w:val="en-US"/>
        </w:rPr>
        <w:t>7:</w:t>
      </w:r>
    </w:p>
    <w:p w14:paraId="72FC5FCE" w14:textId="77777777" w:rsidR="003F741C" w:rsidRPr="003F741C" w:rsidRDefault="003F741C" w:rsidP="003F741C">
      <w:pPr>
        <w:pStyle w:val="ListParagraph"/>
        <w:numPr>
          <w:ilvl w:val="0"/>
          <w:numId w:val="11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International Association of Lighthouse Authorities (IALA)</w:t>
      </w:r>
    </w:p>
    <w:p w14:paraId="56F45586" w14:textId="77777777" w:rsidR="003F741C" w:rsidRPr="003F741C" w:rsidRDefault="003F741C" w:rsidP="003F741C">
      <w:pPr>
        <w:pStyle w:val="ListParagraph"/>
        <w:numPr>
          <w:ilvl w:val="0"/>
          <w:numId w:val="11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IOC Sub Commission for Africa &amp; the Adjacent Island States (IOCAFRICA)</w:t>
      </w:r>
    </w:p>
    <w:p w14:paraId="7681E0E6" w14:textId="77777777" w:rsidR="003F741C" w:rsidRPr="003F741C" w:rsidRDefault="003F741C" w:rsidP="003F741C">
      <w:pPr>
        <w:pStyle w:val="ListParagraph"/>
        <w:numPr>
          <w:ilvl w:val="0"/>
          <w:numId w:val="11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Support to West Africa Integrated Maritime Security (SWAIMS)</w:t>
      </w:r>
    </w:p>
    <w:p w14:paraId="0F1A1CEF" w14:textId="6F9DD4FB" w:rsidR="003F741C" w:rsidRDefault="003F741C" w:rsidP="003F741C">
      <w:pPr>
        <w:pStyle w:val="ListParagraph"/>
        <w:numPr>
          <w:ilvl w:val="0"/>
          <w:numId w:val="11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Seabed 2030 Project</w:t>
      </w:r>
    </w:p>
    <w:p w14:paraId="503CF9C6" w14:textId="77777777" w:rsidR="003F741C" w:rsidRPr="003F741C" w:rsidRDefault="003F741C" w:rsidP="00D37963">
      <w:pPr>
        <w:rPr>
          <w:rFonts w:eastAsia="Times New Roman"/>
          <w:bCs/>
          <w:lang w:val="en-US"/>
        </w:rPr>
      </w:pPr>
    </w:p>
    <w:p w14:paraId="7E22FA1A" w14:textId="57FA03B8" w:rsidR="003F741C" w:rsidRPr="003F741C" w:rsidRDefault="003F741C" w:rsidP="009B6175">
      <w:pPr>
        <w:pStyle w:val="ListParagraph"/>
        <w:numPr>
          <w:ilvl w:val="0"/>
          <w:numId w:val="1"/>
        </w:numPr>
        <w:rPr>
          <w:rFonts w:eastAsia="Times New Roman"/>
          <w:bCs/>
          <w:lang w:val="en-GB"/>
        </w:rPr>
      </w:pPr>
      <w:r w:rsidRPr="003F741C">
        <w:rPr>
          <w:rFonts w:eastAsia="Times New Roman"/>
          <w:b/>
          <w:lang w:val="en-US"/>
        </w:rPr>
        <w:t xml:space="preserve">Industry and other organizations </w:t>
      </w:r>
    </w:p>
    <w:p w14:paraId="559F715B" w14:textId="0B0F1118" w:rsidR="003F741C" w:rsidRDefault="003F741C" w:rsidP="003F741C">
      <w:pPr>
        <w:pStyle w:val="ListParagraph"/>
        <w:ind w:left="360"/>
        <w:rPr>
          <w:color w:val="FF0000"/>
          <w:lang w:val="en-US"/>
        </w:rPr>
      </w:pPr>
      <w:r w:rsidRPr="002E00F4">
        <w:rPr>
          <w:color w:val="FF0000"/>
          <w:lang w:val="en-US"/>
        </w:rPr>
        <w:t xml:space="preserve">Decision </w:t>
      </w:r>
      <w:r>
        <w:rPr>
          <w:color w:val="FF0000"/>
          <w:lang w:val="en-US"/>
        </w:rPr>
        <w:t>28</w:t>
      </w:r>
      <w:r w:rsidRPr="002E00F4">
        <w:rPr>
          <w:color w:val="FF0000"/>
          <w:lang w:val="en-US"/>
        </w:rPr>
        <w:t>: Note all reports from agenda item</w:t>
      </w:r>
      <w:r>
        <w:rPr>
          <w:color w:val="FF0000"/>
          <w:lang w:val="en-US"/>
        </w:rPr>
        <w:t xml:space="preserve"> 8:</w:t>
      </w:r>
    </w:p>
    <w:p w14:paraId="5CD7A874" w14:textId="58664986" w:rsidR="003F741C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KONGSBERG Maritime</w:t>
      </w:r>
    </w:p>
    <w:p w14:paraId="1EE1C463" w14:textId="2D6D8016" w:rsidR="003F741C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EOMAP</w:t>
      </w:r>
    </w:p>
    <w:p w14:paraId="5637D711" w14:textId="671F7C49" w:rsidR="003F741C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 xml:space="preserve">Teledyne Caris </w:t>
      </w:r>
    </w:p>
    <w:p w14:paraId="37427D7E" w14:textId="77777777" w:rsidR="003F741C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ESRI Inc.</w:t>
      </w:r>
    </w:p>
    <w:p w14:paraId="0CD52E35" w14:textId="77777777" w:rsidR="003F741C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IC-ENC</w:t>
      </w:r>
    </w:p>
    <w:p w14:paraId="1F228828" w14:textId="695A5C27" w:rsidR="00D37963" w:rsidRPr="003F741C" w:rsidRDefault="003F741C" w:rsidP="003F741C">
      <w:pPr>
        <w:pStyle w:val="ListParagraph"/>
        <w:numPr>
          <w:ilvl w:val="0"/>
          <w:numId w:val="12"/>
        </w:numPr>
        <w:rPr>
          <w:color w:val="FF0000"/>
          <w:lang w:val="en-US"/>
        </w:rPr>
      </w:pPr>
      <w:r w:rsidRPr="003F741C">
        <w:rPr>
          <w:color w:val="FF0000"/>
          <w:lang w:val="en-US"/>
        </w:rPr>
        <w:t>PRIMAR</w:t>
      </w:r>
    </w:p>
    <w:p w14:paraId="50D32428" w14:textId="77777777" w:rsidR="003F741C" w:rsidRPr="003F741C" w:rsidRDefault="003F741C" w:rsidP="003F741C">
      <w:pPr>
        <w:pStyle w:val="ListParagraph"/>
        <w:numPr>
          <w:ilvl w:val="0"/>
          <w:numId w:val="1"/>
        </w:numPr>
        <w:rPr>
          <w:rFonts w:eastAsia="Times New Roman"/>
          <w:b/>
          <w:lang w:val="en-US"/>
        </w:rPr>
      </w:pPr>
      <w:r w:rsidRPr="003F741C">
        <w:rPr>
          <w:rFonts w:eastAsia="Times New Roman"/>
          <w:b/>
          <w:lang w:val="en-US"/>
        </w:rPr>
        <w:t>Closure</w:t>
      </w:r>
    </w:p>
    <w:p w14:paraId="4F1EE3FA" w14:textId="5DC0396C" w:rsidR="003F741C" w:rsidRDefault="003F741C" w:rsidP="003F741C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3F741C">
        <w:rPr>
          <w:rFonts w:eastAsia="Times New Roman"/>
          <w:bCs/>
          <w:lang w:val="en-GB"/>
        </w:rPr>
        <w:t>Any other business</w:t>
      </w:r>
    </w:p>
    <w:p w14:paraId="4C572DFC" w14:textId="29799311" w:rsidR="003F741C" w:rsidRPr="003F741C" w:rsidRDefault="003F741C" w:rsidP="003F741C">
      <w:pPr>
        <w:pStyle w:val="ListParagraph"/>
        <w:ind w:left="792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xxx</w:t>
      </w:r>
    </w:p>
    <w:p w14:paraId="6F1CD8AA" w14:textId="5670BD73" w:rsidR="003F741C" w:rsidRDefault="003F741C" w:rsidP="003F741C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3F741C">
        <w:rPr>
          <w:rFonts w:eastAsia="Times New Roman"/>
          <w:bCs/>
          <w:lang w:val="en-GB"/>
        </w:rPr>
        <w:t>Approval of statutes</w:t>
      </w:r>
    </w:p>
    <w:p w14:paraId="5D073432" w14:textId="271DBDF2" w:rsidR="003F741C" w:rsidRPr="003F741C" w:rsidRDefault="003F741C" w:rsidP="003F741C">
      <w:pPr>
        <w:pStyle w:val="ListParagraph"/>
        <w:ind w:left="360"/>
        <w:rPr>
          <w:color w:val="FF0000"/>
          <w:lang w:val="en-US"/>
        </w:rPr>
      </w:pPr>
      <w:r w:rsidRPr="003F741C">
        <w:rPr>
          <w:color w:val="FF0000"/>
          <w:lang w:val="en-US"/>
        </w:rPr>
        <w:t>Decision 2</w:t>
      </w:r>
      <w:r>
        <w:rPr>
          <w:color w:val="FF0000"/>
          <w:lang w:val="en-US"/>
        </w:rPr>
        <w:t>9</w:t>
      </w:r>
      <w:r w:rsidRPr="003F741C">
        <w:rPr>
          <w:color w:val="FF0000"/>
          <w:lang w:val="en-US"/>
        </w:rPr>
        <w:t xml:space="preserve">: </w:t>
      </w:r>
      <w:r>
        <w:rPr>
          <w:color w:val="FF0000"/>
          <w:lang w:val="en-US"/>
        </w:rPr>
        <w:t xml:space="preserve">Approve </w:t>
      </w:r>
      <w:r>
        <w:rPr>
          <w:color w:val="FF0000"/>
          <w:lang w:val="en-US"/>
        </w:rPr>
        <w:t xml:space="preserve">the </w:t>
      </w:r>
      <w:r w:rsidR="00FD2C28">
        <w:rPr>
          <w:color w:val="FF0000"/>
          <w:lang w:val="en-US"/>
        </w:rPr>
        <w:t xml:space="preserve">statutes </w:t>
      </w:r>
      <w:r>
        <w:rPr>
          <w:color w:val="FF0000"/>
          <w:lang w:val="en-US"/>
        </w:rPr>
        <w:t>amendment</w:t>
      </w:r>
      <w:r w:rsidR="00FD2C28">
        <w:rPr>
          <w:color w:val="FF0000"/>
          <w:lang w:val="en-US"/>
        </w:rPr>
        <w:t>s</w:t>
      </w:r>
    </w:p>
    <w:p w14:paraId="3E20C07D" w14:textId="77777777" w:rsidR="003F741C" w:rsidRPr="003F741C" w:rsidRDefault="003F741C" w:rsidP="003F741C">
      <w:pPr>
        <w:pStyle w:val="ListParagraph"/>
        <w:ind w:left="792"/>
        <w:rPr>
          <w:rFonts w:eastAsia="Times New Roman"/>
          <w:bCs/>
          <w:lang w:val="en-US"/>
        </w:rPr>
      </w:pPr>
    </w:p>
    <w:p w14:paraId="40B0F2B6" w14:textId="3B0CC1BC" w:rsidR="003F741C" w:rsidRDefault="003F741C" w:rsidP="003F741C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3F741C">
        <w:rPr>
          <w:rFonts w:eastAsia="Times New Roman"/>
          <w:bCs/>
          <w:lang w:val="en-GB"/>
        </w:rPr>
        <w:t xml:space="preserve">Review of Actions and Decisions  </w:t>
      </w:r>
    </w:p>
    <w:p w14:paraId="73711472" w14:textId="77345788" w:rsidR="00FD2C28" w:rsidRDefault="004F3D0E" w:rsidP="00FD2C28">
      <w:pPr>
        <w:pStyle w:val="ListParagraph"/>
        <w:ind w:left="792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x</w:t>
      </w:r>
      <w:bookmarkStart w:id="0" w:name="_GoBack"/>
      <w:bookmarkEnd w:id="0"/>
      <w:r w:rsidR="00FD2C28">
        <w:rPr>
          <w:rFonts w:eastAsia="Times New Roman"/>
          <w:bCs/>
          <w:lang w:val="en-GB"/>
        </w:rPr>
        <w:t>xx</w:t>
      </w:r>
    </w:p>
    <w:p w14:paraId="300456E5" w14:textId="77777777" w:rsidR="00FD2C28" w:rsidRPr="003F741C" w:rsidRDefault="00FD2C28" w:rsidP="00FD2C28">
      <w:pPr>
        <w:pStyle w:val="ListParagraph"/>
        <w:ind w:left="792"/>
        <w:rPr>
          <w:rFonts w:eastAsia="Times New Roman"/>
          <w:bCs/>
          <w:lang w:val="en-GB"/>
        </w:rPr>
      </w:pPr>
    </w:p>
    <w:p w14:paraId="217800AD" w14:textId="2ADA77E4" w:rsidR="003F741C" w:rsidRDefault="003F741C" w:rsidP="003F741C">
      <w:pPr>
        <w:pStyle w:val="ListParagraph"/>
        <w:numPr>
          <w:ilvl w:val="1"/>
          <w:numId w:val="1"/>
        </w:numPr>
        <w:rPr>
          <w:rFonts w:eastAsia="Times New Roman"/>
          <w:bCs/>
          <w:lang w:val="en-GB"/>
        </w:rPr>
      </w:pPr>
      <w:r w:rsidRPr="003F741C">
        <w:rPr>
          <w:rFonts w:eastAsia="Times New Roman"/>
          <w:bCs/>
          <w:lang w:val="en-GB"/>
        </w:rPr>
        <w:t>Details for the next meeting </w:t>
      </w:r>
    </w:p>
    <w:p w14:paraId="1A3637A7" w14:textId="2888E49A" w:rsidR="00FD2C28" w:rsidRPr="003F741C" w:rsidRDefault="00FD2C28" w:rsidP="00FD2C28">
      <w:pPr>
        <w:pStyle w:val="ListParagraph"/>
        <w:ind w:left="792"/>
        <w:rPr>
          <w:rFonts w:eastAsia="Times New Roman"/>
          <w:bCs/>
          <w:lang w:val="en-GB"/>
        </w:rPr>
      </w:pPr>
      <w:r w:rsidRPr="008F6F9C">
        <w:rPr>
          <w:rFonts w:eastAsia="Times New Roman"/>
          <w:bCs/>
          <w:color w:val="002060"/>
          <w:lang w:val="en-US"/>
        </w:rPr>
        <w:t>Recommendation 2</w:t>
      </w:r>
      <w:r w:rsidR="008B6049">
        <w:rPr>
          <w:rFonts w:eastAsia="Times New Roman"/>
          <w:bCs/>
          <w:color w:val="002060"/>
          <w:lang w:val="en-US"/>
        </w:rPr>
        <w:t>4</w:t>
      </w:r>
      <w:r w:rsidRPr="008F6F9C">
        <w:rPr>
          <w:rFonts w:eastAsia="Times New Roman"/>
          <w:bCs/>
          <w:color w:val="002060"/>
          <w:lang w:val="en-US"/>
        </w:rPr>
        <w:t>:</w:t>
      </w:r>
      <w:r>
        <w:rPr>
          <w:rFonts w:eastAsia="Times New Roman"/>
          <w:bCs/>
          <w:color w:val="002060"/>
          <w:lang w:val="en-US"/>
        </w:rPr>
        <w:t xml:space="preserve"> Cabo Verde </w:t>
      </w:r>
      <w:r w:rsidR="00D3757A">
        <w:rPr>
          <w:rFonts w:eastAsia="Times New Roman"/>
          <w:bCs/>
          <w:color w:val="002060"/>
          <w:lang w:val="en-US"/>
        </w:rPr>
        <w:t xml:space="preserve">to </w:t>
      </w:r>
      <w:r>
        <w:rPr>
          <w:rFonts w:eastAsia="Times New Roman"/>
          <w:bCs/>
          <w:color w:val="002060"/>
          <w:lang w:val="en-US"/>
        </w:rPr>
        <w:t xml:space="preserve">decide viability to </w:t>
      </w:r>
      <w:r w:rsidR="004F3D0E">
        <w:rPr>
          <w:rFonts w:eastAsia="Times New Roman"/>
          <w:bCs/>
          <w:color w:val="002060"/>
          <w:lang w:val="en-US"/>
        </w:rPr>
        <w:t>hold the</w:t>
      </w:r>
      <w:r>
        <w:rPr>
          <w:rFonts w:eastAsia="Times New Roman"/>
          <w:bCs/>
          <w:color w:val="002060"/>
          <w:lang w:val="en-US"/>
        </w:rPr>
        <w:t xml:space="preserve"> next EAtHC</w:t>
      </w:r>
      <w:r w:rsidR="004F3D0E">
        <w:rPr>
          <w:rFonts w:eastAsia="Times New Roman"/>
          <w:bCs/>
          <w:color w:val="002060"/>
          <w:lang w:val="en-US"/>
        </w:rPr>
        <w:t>,</w:t>
      </w:r>
      <w:r>
        <w:rPr>
          <w:rFonts w:eastAsia="Times New Roman"/>
          <w:bCs/>
          <w:color w:val="002060"/>
          <w:lang w:val="en-US"/>
        </w:rPr>
        <w:t xml:space="preserve"> NLT 31 DEC 2021. France still in stand-by.</w:t>
      </w:r>
    </w:p>
    <w:sectPr w:rsidR="00FD2C28" w:rsidRPr="003F7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B26"/>
    <w:multiLevelType w:val="hybridMultilevel"/>
    <w:tmpl w:val="3B0E1024"/>
    <w:lvl w:ilvl="0" w:tplc="FA845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C5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E1987"/>
    <w:multiLevelType w:val="hybridMultilevel"/>
    <w:tmpl w:val="2A5A0C44"/>
    <w:lvl w:ilvl="0" w:tplc="D12C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54DC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6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6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6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8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8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8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FA0D44"/>
    <w:multiLevelType w:val="hybridMultilevel"/>
    <w:tmpl w:val="33F2437E"/>
    <w:lvl w:ilvl="0" w:tplc="C602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A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D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F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1E06A7"/>
    <w:multiLevelType w:val="multilevel"/>
    <w:tmpl w:val="C2B66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25522"/>
    <w:multiLevelType w:val="hybridMultilevel"/>
    <w:tmpl w:val="8BD4B988"/>
    <w:lvl w:ilvl="0" w:tplc="08160017">
      <w:start w:val="1"/>
      <w:numFmt w:val="lowerLetter"/>
      <w:lvlText w:val="%1)"/>
      <w:lvlJc w:val="left"/>
      <w:pPr>
        <w:ind w:left="1512" w:hanging="360"/>
      </w:pPr>
    </w:lvl>
    <w:lvl w:ilvl="1" w:tplc="08160019" w:tentative="1">
      <w:start w:val="1"/>
      <w:numFmt w:val="lowerLetter"/>
      <w:lvlText w:val="%2."/>
      <w:lvlJc w:val="left"/>
      <w:pPr>
        <w:ind w:left="2232" w:hanging="360"/>
      </w:p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19E0D26"/>
    <w:multiLevelType w:val="multilevel"/>
    <w:tmpl w:val="C2B66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6A100E"/>
    <w:multiLevelType w:val="hybridMultilevel"/>
    <w:tmpl w:val="1932DD0C"/>
    <w:lvl w:ilvl="0" w:tplc="AE30E4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EDA0B5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435A48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EBEA37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E828DD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88BE7E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1708E8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3390AA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5B6EF9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8" w15:restartNumberingAfterBreak="0">
    <w:nsid w:val="6B962CD3"/>
    <w:multiLevelType w:val="hybridMultilevel"/>
    <w:tmpl w:val="B2002D92"/>
    <w:lvl w:ilvl="0" w:tplc="ABB4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81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EF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0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AA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1C7A99"/>
    <w:multiLevelType w:val="hybridMultilevel"/>
    <w:tmpl w:val="2872083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33584"/>
    <w:multiLevelType w:val="hybridMultilevel"/>
    <w:tmpl w:val="8E8298D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E40EE"/>
    <w:multiLevelType w:val="hybridMultilevel"/>
    <w:tmpl w:val="47A86818"/>
    <w:lvl w:ilvl="0" w:tplc="EBEA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E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A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6864C6"/>
    <w:multiLevelType w:val="hybridMultilevel"/>
    <w:tmpl w:val="97D8B7C2"/>
    <w:lvl w:ilvl="0" w:tplc="22FC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E244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7E6A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7A4E9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8CFC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8578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6EA0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6C7C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A308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3"/>
    <w:rsid w:val="00023924"/>
    <w:rsid w:val="000A2369"/>
    <w:rsid w:val="000C5268"/>
    <w:rsid w:val="00250010"/>
    <w:rsid w:val="002E00F4"/>
    <w:rsid w:val="003C7ABA"/>
    <w:rsid w:val="003F741C"/>
    <w:rsid w:val="00404DEA"/>
    <w:rsid w:val="00451FB3"/>
    <w:rsid w:val="004F3D0E"/>
    <w:rsid w:val="0055668D"/>
    <w:rsid w:val="005B087B"/>
    <w:rsid w:val="00810DDE"/>
    <w:rsid w:val="008B6049"/>
    <w:rsid w:val="008F6F9C"/>
    <w:rsid w:val="009C7F77"/>
    <w:rsid w:val="00A1635D"/>
    <w:rsid w:val="00A36EEB"/>
    <w:rsid w:val="00AD61C6"/>
    <w:rsid w:val="00B52050"/>
    <w:rsid w:val="00C66E1E"/>
    <w:rsid w:val="00D3757A"/>
    <w:rsid w:val="00D37963"/>
    <w:rsid w:val="00D52DA8"/>
    <w:rsid w:val="00E67120"/>
    <w:rsid w:val="00EF3B0F"/>
    <w:rsid w:val="00FB6A7F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4D18"/>
  <w15:chartTrackingRefBased/>
  <w15:docId w15:val="{7A5E95B2-F72E-475F-8560-B3AA891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63"/>
    <w:pPr>
      <w:ind w:left="720"/>
      <w:contextualSpacing/>
    </w:pPr>
  </w:style>
  <w:style w:type="character" w:customStyle="1" w:styleId="fontstyle01">
    <w:name w:val="fontstyle01"/>
    <w:basedOn w:val="DefaultParagraphFont"/>
    <w:rsid w:val="00451F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451F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51F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51FB3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52050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C7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172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14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8469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Juliao</dc:creator>
  <cp:keywords/>
  <dc:description/>
  <cp:lastModifiedBy>IH - DT - HI -  Chefe Divisão de Hidrografia</cp:lastModifiedBy>
  <cp:revision>2</cp:revision>
  <dcterms:created xsi:type="dcterms:W3CDTF">2021-10-11T13:00:00Z</dcterms:created>
  <dcterms:modified xsi:type="dcterms:W3CDTF">2021-10-11T13:00:00Z</dcterms:modified>
</cp:coreProperties>
</file>