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0E1" w:rsidRDefault="00A030E1" w:rsidP="00A030E1">
      <w:pPr>
        <w:tabs>
          <w:tab w:val="left" w:pos="3360"/>
        </w:tabs>
        <w:ind w:left="-709" w:right="-567"/>
        <w:jc w:val="center"/>
        <w:rPr>
          <w:rFonts w:ascii="Arial" w:hAnsi="Arial" w:cs="Arial"/>
          <w:b/>
          <w:sz w:val="24"/>
          <w:lang w:val="en-US"/>
        </w:rPr>
      </w:pPr>
      <w:r w:rsidRPr="00A030E1">
        <w:rPr>
          <w:rFonts w:ascii="Arial" w:hAnsi="Arial" w:cs="Arial"/>
          <w:b/>
          <w:sz w:val="24"/>
          <w:lang w:val="en-US"/>
        </w:rPr>
        <w:t>17</w:t>
      </w:r>
      <w:r w:rsidRPr="00A030E1">
        <w:rPr>
          <w:rFonts w:ascii="Arial" w:hAnsi="Arial" w:cs="Arial"/>
          <w:b/>
          <w:sz w:val="24"/>
          <w:vertAlign w:val="superscript"/>
          <w:lang w:val="en-US"/>
        </w:rPr>
        <w:t>th</w:t>
      </w:r>
      <w:r w:rsidRPr="00A030E1">
        <w:rPr>
          <w:rFonts w:ascii="Arial" w:hAnsi="Arial" w:cs="Arial"/>
          <w:b/>
          <w:sz w:val="24"/>
          <w:lang w:val="en-US"/>
        </w:rPr>
        <w:t xml:space="preserve"> Eastern Atlantic Hydrographic Commission </w:t>
      </w:r>
      <w:r>
        <w:rPr>
          <w:rFonts w:ascii="Arial" w:hAnsi="Arial" w:cs="Arial"/>
          <w:b/>
          <w:sz w:val="24"/>
          <w:lang w:val="en-US"/>
        </w:rPr>
        <w:t>Conference</w:t>
      </w:r>
      <w:r w:rsidRPr="00A030E1">
        <w:rPr>
          <w:rFonts w:ascii="Arial" w:hAnsi="Arial" w:cs="Arial"/>
          <w:b/>
          <w:sz w:val="24"/>
          <w:lang w:val="en-US"/>
        </w:rPr>
        <w:t xml:space="preserve"> (EAtHC17)</w:t>
      </w:r>
      <w:r>
        <w:rPr>
          <w:rFonts w:ascii="Arial" w:hAnsi="Arial" w:cs="Arial"/>
          <w:b/>
          <w:sz w:val="24"/>
          <w:lang w:val="en-US"/>
        </w:rPr>
        <w:t xml:space="preserve"> /</w:t>
      </w:r>
    </w:p>
    <w:p w:rsidR="00A030E1" w:rsidRPr="00A030E1" w:rsidRDefault="00A030E1" w:rsidP="00A030E1">
      <w:pPr>
        <w:tabs>
          <w:tab w:val="left" w:pos="3360"/>
        </w:tabs>
        <w:ind w:left="-709" w:right="-567"/>
        <w:jc w:val="center"/>
        <w:rPr>
          <w:rFonts w:ascii="Arial" w:hAnsi="Arial" w:cs="Arial"/>
          <w:b/>
          <w:i/>
          <w:sz w:val="24"/>
        </w:rPr>
      </w:pPr>
      <w:r w:rsidRPr="00A030E1">
        <w:rPr>
          <w:rFonts w:ascii="Arial" w:hAnsi="Arial" w:cs="Arial"/>
          <w:b/>
          <w:i/>
          <w:sz w:val="24"/>
        </w:rPr>
        <w:t xml:space="preserve">17ème conférence de la Commission hydrographique de l’Atlantique Oriental (CHAtO17) </w:t>
      </w:r>
    </w:p>
    <w:p w:rsidR="00A030E1" w:rsidRPr="00A030E1" w:rsidRDefault="00A030E1" w:rsidP="00A030E1">
      <w:pPr>
        <w:tabs>
          <w:tab w:val="left" w:pos="3360"/>
        </w:tabs>
        <w:jc w:val="center"/>
        <w:rPr>
          <w:rFonts w:ascii="Arial" w:hAnsi="Arial" w:cs="Arial"/>
          <w:lang w:val="en-US"/>
        </w:rPr>
      </w:pPr>
      <w:r w:rsidRPr="00A030E1">
        <w:rPr>
          <w:rFonts w:ascii="Arial" w:hAnsi="Arial" w:cs="Arial"/>
          <w:lang w:val="en-US"/>
        </w:rPr>
        <w:t>28 – 30 September 202</w:t>
      </w:r>
      <w:r w:rsidR="00C82E34">
        <w:rPr>
          <w:rFonts w:ascii="Arial" w:hAnsi="Arial" w:cs="Arial"/>
          <w:lang w:val="en-US"/>
        </w:rPr>
        <w:t>2</w:t>
      </w:r>
      <w:r w:rsidRPr="00A030E1">
        <w:rPr>
          <w:rFonts w:ascii="Arial" w:hAnsi="Arial" w:cs="Arial"/>
          <w:lang w:val="en-US"/>
        </w:rPr>
        <w:t xml:space="preserve"> / </w:t>
      </w:r>
      <w:r w:rsidRPr="00A030E1">
        <w:rPr>
          <w:rFonts w:ascii="Arial" w:hAnsi="Arial" w:cs="Arial"/>
          <w:i/>
          <w:lang w:val="en-US"/>
        </w:rPr>
        <w:t xml:space="preserve">28 – 30 </w:t>
      </w:r>
      <w:proofErr w:type="spellStart"/>
      <w:r w:rsidRPr="00A030E1">
        <w:rPr>
          <w:rFonts w:ascii="Arial" w:hAnsi="Arial" w:cs="Arial"/>
          <w:i/>
          <w:lang w:val="en-US"/>
        </w:rPr>
        <w:t>septembre</w:t>
      </w:r>
      <w:proofErr w:type="spellEnd"/>
      <w:r w:rsidRPr="00A030E1">
        <w:rPr>
          <w:rFonts w:ascii="Arial" w:hAnsi="Arial" w:cs="Arial"/>
          <w:i/>
          <w:lang w:val="en-US"/>
        </w:rPr>
        <w:t xml:space="preserve"> 202</w:t>
      </w:r>
      <w:r w:rsidR="00C82E34">
        <w:rPr>
          <w:rFonts w:ascii="Arial" w:hAnsi="Arial" w:cs="Arial"/>
          <w:i/>
          <w:lang w:val="en-US"/>
        </w:rPr>
        <w:t>2</w:t>
      </w:r>
    </w:p>
    <w:p w:rsidR="00A030E1" w:rsidRPr="00A030E1" w:rsidRDefault="002A0610" w:rsidP="002A0610">
      <w:pPr>
        <w:tabs>
          <w:tab w:val="left" w:pos="3360"/>
          <w:tab w:val="center" w:pos="4536"/>
          <w:tab w:val="left" w:pos="8295"/>
        </w:tabs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ab/>
      </w:r>
      <w:r w:rsidR="00A030E1" w:rsidRPr="00A030E1">
        <w:rPr>
          <w:rFonts w:ascii="Arial" w:hAnsi="Arial" w:cs="Arial"/>
          <w:lang w:val="es-EC"/>
        </w:rPr>
        <w:t xml:space="preserve">São Vicente, </w:t>
      </w:r>
      <w:proofErr w:type="spellStart"/>
      <w:r w:rsidR="00A030E1" w:rsidRPr="00A030E1">
        <w:rPr>
          <w:rFonts w:ascii="Arial" w:hAnsi="Arial" w:cs="Arial"/>
          <w:lang w:val="es-EC"/>
        </w:rPr>
        <w:t>Mindelo</w:t>
      </w:r>
      <w:proofErr w:type="spellEnd"/>
      <w:r w:rsidR="00A030E1" w:rsidRPr="00A030E1">
        <w:rPr>
          <w:rFonts w:ascii="Arial" w:hAnsi="Arial" w:cs="Arial"/>
          <w:lang w:val="es-EC"/>
        </w:rPr>
        <w:t xml:space="preserve">, Cabo Verde / </w:t>
      </w:r>
      <w:proofErr w:type="spellStart"/>
      <w:r w:rsidR="00A030E1" w:rsidRPr="00A030E1">
        <w:rPr>
          <w:rFonts w:ascii="Arial" w:hAnsi="Arial" w:cs="Arial"/>
          <w:i/>
          <w:lang w:val="es-EC"/>
        </w:rPr>
        <w:t>Cap-Vert</w:t>
      </w:r>
      <w:proofErr w:type="spellEnd"/>
      <w:r>
        <w:rPr>
          <w:rFonts w:ascii="Arial" w:hAnsi="Arial" w:cs="Arial"/>
          <w:i/>
          <w:lang w:val="es-EC"/>
        </w:rPr>
        <w:tab/>
      </w:r>
    </w:p>
    <w:p w:rsidR="008F0168" w:rsidRDefault="00A030E1" w:rsidP="00A030E1">
      <w:pPr>
        <w:tabs>
          <w:tab w:val="left" w:pos="3360"/>
        </w:tabs>
        <w:jc w:val="center"/>
        <w:rPr>
          <w:rFonts w:ascii="Arial" w:hAnsi="Arial" w:cs="Arial"/>
          <w:i/>
          <w:lang w:val="en-US"/>
        </w:rPr>
      </w:pPr>
      <w:r w:rsidRPr="00A030E1">
        <w:rPr>
          <w:rFonts w:ascii="Arial" w:hAnsi="Arial" w:cs="Arial"/>
          <w:lang w:val="en-US"/>
        </w:rPr>
        <w:t xml:space="preserve">Hybrid / </w:t>
      </w:r>
      <w:proofErr w:type="spellStart"/>
      <w:r w:rsidRPr="00A030E1">
        <w:rPr>
          <w:rFonts w:ascii="Arial" w:hAnsi="Arial" w:cs="Arial"/>
          <w:i/>
          <w:lang w:val="en-US"/>
        </w:rPr>
        <w:t>Hybride</w:t>
      </w:r>
      <w:proofErr w:type="spellEnd"/>
    </w:p>
    <w:p w:rsidR="004765A8" w:rsidRPr="00B304D6" w:rsidRDefault="004765A8" w:rsidP="00A030E1">
      <w:pPr>
        <w:tabs>
          <w:tab w:val="left" w:pos="3360"/>
        </w:tabs>
        <w:jc w:val="center"/>
        <w:rPr>
          <w:rFonts w:ascii="Arial" w:hAnsi="Arial" w:cs="Arial"/>
          <w:sz w:val="10"/>
          <w:lang w:val="en-US"/>
        </w:rPr>
      </w:pPr>
    </w:p>
    <w:p w:rsidR="00566B94" w:rsidRPr="00906BED" w:rsidRDefault="004765A8" w:rsidP="004765A8">
      <w:pPr>
        <w:shd w:val="clear" w:color="auto" w:fill="D9D9D9" w:themeFill="background1" w:themeFillShade="D9"/>
        <w:tabs>
          <w:tab w:val="left" w:pos="3360"/>
        </w:tabs>
        <w:jc w:val="center"/>
        <w:rPr>
          <w:rFonts w:ascii="Arial" w:hAnsi="Arial" w:cs="Arial"/>
          <w:b/>
          <w:lang w:val="en-US"/>
        </w:rPr>
      </w:pPr>
      <w:r w:rsidRPr="00906BED">
        <w:rPr>
          <w:rFonts w:ascii="Arial" w:hAnsi="Arial" w:cs="Arial"/>
          <w:b/>
          <w:lang w:val="en-US"/>
        </w:rPr>
        <w:t>LIST OF DECISIONS</w:t>
      </w:r>
      <w:r w:rsidR="00906BED" w:rsidRPr="00906BED">
        <w:rPr>
          <w:rFonts w:ascii="Arial" w:hAnsi="Arial" w:cs="Arial"/>
          <w:b/>
          <w:lang w:val="en-US"/>
        </w:rPr>
        <w:t xml:space="preserve"> / </w:t>
      </w:r>
      <w:r w:rsidR="00906BED" w:rsidRPr="00906BED">
        <w:rPr>
          <w:rFonts w:ascii="Arial" w:hAnsi="Arial" w:cs="Arial"/>
          <w:b/>
          <w:i/>
          <w:lang w:val="en-US"/>
        </w:rPr>
        <w:t>LISTE DES DECISIONS</w:t>
      </w:r>
    </w:p>
    <w:p w:rsidR="003303A7" w:rsidRPr="003303A7" w:rsidRDefault="003303A7" w:rsidP="004765A8">
      <w:pPr>
        <w:shd w:val="clear" w:color="auto" w:fill="D9D9D9" w:themeFill="background1" w:themeFillShade="D9"/>
        <w:tabs>
          <w:tab w:val="left" w:pos="3360"/>
        </w:tabs>
        <w:jc w:val="center"/>
        <w:rPr>
          <w:rFonts w:ascii="Arial" w:hAnsi="Arial" w:cs="Arial"/>
          <w:color w:val="FF0000"/>
          <w:lang w:val="en-US"/>
        </w:rPr>
      </w:pPr>
      <w:r w:rsidRPr="003303A7">
        <w:rPr>
          <w:rFonts w:ascii="Arial" w:hAnsi="Arial" w:cs="Arial"/>
          <w:color w:val="FF0000"/>
          <w:lang w:val="en-US"/>
        </w:rPr>
        <w:t>(1</w:t>
      </w:r>
      <w:r w:rsidR="00356961">
        <w:rPr>
          <w:rFonts w:ascii="Arial" w:hAnsi="Arial" w:cs="Arial"/>
          <w:color w:val="FF0000"/>
          <w:lang w:val="en-US"/>
        </w:rPr>
        <w:t>9</w:t>
      </w:r>
      <w:bookmarkStart w:id="0" w:name="_GoBack"/>
      <w:bookmarkEnd w:id="0"/>
      <w:r w:rsidRPr="003303A7">
        <w:rPr>
          <w:rFonts w:ascii="Arial" w:hAnsi="Arial" w:cs="Arial"/>
          <w:color w:val="FF0000"/>
          <w:lang w:val="en-US"/>
        </w:rPr>
        <w:t>/04/2023)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E3F7A" w:rsidTr="00BE3F7A">
        <w:tc>
          <w:tcPr>
            <w:tcW w:w="2405" w:type="dxa"/>
            <w:shd w:val="clear" w:color="auto" w:fill="B4C6E7" w:themeFill="accent1" w:themeFillTint="66"/>
          </w:tcPr>
          <w:p w:rsidR="00BE3F7A" w:rsidRPr="00BE3F7A" w:rsidRDefault="00BE3F7A" w:rsidP="00566B9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E3F7A">
              <w:rPr>
                <w:rFonts w:ascii="Arial" w:hAnsi="Arial" w:cs="Arial"/>
                <w:b/>
                <w:lang w:val="en-US"/>
              </w:rPr>
              <w:t>Reference</w:t>
            </w:r>
          </w:p>
        </w:tc>
        <w:tc>
          <w:tcPr>
            <w:tcW w:w="6657" w:type="dxa"/>
            <w:shd w:val="clear" w:color="auto" w:fill="B4C6E7" w:themeFill="accent1" w:themeFillTint="66"/>
          </w:tcPr>
          <w:p w:rsidR="00BE3F7A" w:rsidRPr="00BE3F7A" w:rsidRDefault="00BE3F7A" w:rsidP="00566B9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E3F7A">
              <w:rPr>
                <w:rFonts w:ascii="Arial" w:hAnsi="Arial" w:cs="Arial"/>
                <w:b/>
                <w:lang w:val="en-US"/>
              </w:rPr>
              <w:t>Decision</w:t>
            </w:r>
          </w:p>
        </w:tc>
      </w:tr>
      <w:tr w:rsidR="00BE3F7A" w:rsidRPr="007422DD" w:rsidTr="00BE3F7A">
        <w:tc>
          <w:tcPr>
            <w:tcW w:w="2405" w:type="dxa"/>
            <w:vAlign w:val="center"/>
          </w:tcPr>
          <w:p w:rsidR="00BE3F7A" w:rsidRDefault="00BE3F7A" w:rsidP="00FB733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EAtHC17 Decision 1</w:t>
            </w:r>
          </w:p>
        </w:tc>
        <w:tc>
          <w:tcPr>
            <w:tcW w:w="6657" w:type="dxa"/>
            <w:vAlign w:val="center"/>
          </w:tcPr>
          <w:p w:rsidR="00BE3F7A" w:rsidRDefault="007422DD" w:rsidP="00BE3F7A">
            <w:pPr>
              <w:rPr>
                <w:rFonts w:ascii="Arial" w:hAnsi="Arial" w:cs="Arial"/>
                <w:lang w:val="en-US"/>
              </w:rPr>
            </w:pPr>
            <w:r w:rsidRPr="007422DD">
              <w:rPr>
                <w:rFonts w:ascii="Arial" w:hAnsi="Arial" w:cs="Arial"/>
                <w:lang w:val="en-US"/>
              </w:rPr>
              <w:t>Approve the Agenda of the EAtHC17 Meeting (Doc EAtHC17-02 - Agenda)</w:t>
            </w:r>
          </w:p>
          <w:p w:rsidR="007422DD" w:rsidRPr="007422DD" w:rsidRDefault="007422DD" w:rsidP="00BE3F7A">
            <w:pPr>
              <w:rPr>
                <w:rFonts w:ascii="Arial" w:hAnsi="Arial" w:cs="Arial"/>
                <w:i/>
              </w:rPr>
            </w:pPr>
            <w:r w:rsidRPr="007422DD">
              <w:rPr>
                <w:rFonts w:ascii="Arial" w:hAnsi="Arial" w:cs="Arial"/>
                <w:i/>
              </w:rPr>
              <w:t>Approuver l'ordre du jour de la réunion EAtHC17</w:t>
            </w:r>
          </w:p>
        </w:tc>
      </w:tr>
      <w:tr w:rsidR="007422DD" w:rsidRPr="002835F5" w:rsidTr="00BE3F7A">
        <w:tc>
          <w:tcPr>
            <w:tcW w:w="2405" w:type="dxa"/>
            <w:vAlign w:val="center"/>
          </w:tcPr>
          <w:p w:rsidR="007422DD" w:rsidRDefault="007422DD" w:rsidP="00FB733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EAtHC17 Decision 2</w:t>
            </w:r>
          </w:p>
        </w:tc>
        <w:tc>
          <w:tcPr>
            <w:tcW w:w="6657" w:type="dxa"/>
            <w:vAlign w:val="center"/>
          </w:tcPr>
          <w:p w:rsidR="007422DD" w:rsidRPr="0070578F" w:rsidRDefault="002835F5" w:rsidP="007422DD">
            <w:pPr>
              <w:rPr>
                <w:rFonts w:ascii="Arial" w:hAnsi="Arial" w:cs="Arial"/>
              </w:rPr>
            </w:pPr>
            <w:proofErr w:type="spellStart"/>
            <w:r w:rsidRPr="0070578F">
              <w:rPr>
                <w:rFonts w:ascii="Arial" w:hAnsi="Arial" w:cs="Arial"/>
              </w:rPr>
              <w:t>Approve</w:t>
            </w:r>
            <w:proofErr w:type="spellEnd"/>
            <w:r w:rsidRPr="0070578F">
              <w:rPr>
                <w:rFonts w:ascii="Arial" w:hAnsi="Arial" w:cs="Arial"/>
              </w:rPr>
              <w:t xml:space="preserve"> actions </w:t>
            </w:r>
            <w:proofErr w:type="spellStart"/>
            <w:r w:rsidRPr="0070578F">
              <w:rPr>
                <w:rFonts w:ascii="Arial" w:hAnsi="Arial" w:cs="Arial"/>
              </w:rPr>
              <w:t>list</w:t>
            </w:r>
            <w:proofErr w:type="spellEnd"/>
            <w:r w:rsidRPr="0070578F">
              <w:rPr>
                <w:rFonts w:ascii="Arial" w:hAnsi="Arial" w:cs="Arial"/>
              </w:rPr>
              <w:t xml:space="preserve"> </w:t>
            </w:r>
            <w:proofErr w:type="spellStart"/>
            <w:r w:rsidRPr="0070578F">
              <w:rPr>
                <w:rFonts w:ascii="Arial" w:hAnsi="Arial" w:cs="Arial"/>
              </w:rPr>
              <w:t>review</w:t>
            </w:r>
            <w:proofErr w:type="spellEnd"/>
            <w:r w:rsidRPr="0070578F">
              <w:rPr>
                <w:rFonts w:ascii="Arial" w:hAnsi="Arial" w:cs="Arial"/>
              </w:rPr>
              <w:t xml:space="preserve"> </w:t>
            </w:r>
            <w:proofErr w:type="spellStart"/>
            <w:r w:rsidRPr="0070578F">
              <w:rPr>
                <w:rFonts w:ascii="Arial" w:hAnsi="Arial" w:cs="Arial"/>
              </w:rPr>
              <w:t>proposal</w:t>
            </w:r>
            <w:proofErr w:type="spellEnd"/>
          </w:p>
          <w:p w:rsidR="002835F5" w:rsidRPr="002835F5" w:rsidRDefault="002835F5" w:rsidP="007422DD">
            <w:pPr>
              <w:rPr>
                <w:rFonts w:ascii="Arial" w:hAnsi="Arial" w:cs="Arial"/>
                <w:i/>
              </w:rPr>
            </w:pPr>
            <w:r w:rsidRPr="002835F5">
              <w:rPr>
                <w:rFonts w:ascii="Arial" w:hAnsi="Arial" w:cs="Arial"/>
                <w:i/>
              </w:rPr>
              <w:t>Approuver la proposition de revue de la liste d’actions</w:t>
            </w:r>
          </w:p>
        </w:tc>
      </w:tr>
      <w:tr w:rsidR="002835F5" w:rsidRPr="00600869" w:rsidTr="00BE3F7A">
        <w:tc>
          <w:tcPr>
            <w:tcW w:w="2405" w:type="dxa"/>
            <w:vAlign w:val="center"/>
          </w:tcPr>
          <w:p w:rsidR="002835F5" w:rsidRDefault="002835F5" w:rsidP="00FB733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EAtHC17 Decision 3</w:t>
            </w:r>
          </w:p>
        </w:tc>
        <w:tc>
          <w:tcPr>
            <w:tcW w:w="6657" w:type="dxa"/>
            <w:vAlign w:val="center"/>
          </w:tcPr>
          <w:p w:rsidR="002835F5" w:rsidRPr="0070578F" w:rsidRDefault="00423A33" w:rsidP="002835F5">
            <w:pPr>
              <w:rPr>
                <w:rFonts w:ascii="Arial" w:hAnsi="Arial" w:cs="Arial"/>
              </w:rPr>
            </w:pPr>
            <w:r w:rsidRPr="0070578F">
              <w:rPr>
                <w:rFonts w:ascii="Arial" w:hAnsi="Arial" w:cs="Arial"/>
              </w:rPr>
              <w:t xml:space="preserve">Note the IHO </w:t>
            </w:r>
            <w:proofErr w:type="spellStart"/>
            <w:r w:rsidRPr="0070578F">
              <w:rPr>
                <w:rFonts w:ascii="Arial" w:hAnsi="Arial" w:cs="Arial"/>
              </w:rPr>
              <w:t>Secretariat</w:t>
            </w:r>
            <w:proofErr w:type="spellEnd"/>
            <w:r w:rsidRPr="0070578F">
              <w:rPr>
                <w:rFonts w:ascii="Arial" w:hAnsi="Arial" w:cs="Arial"/>
              </w:rPr>
              <w:t xml:space="preserve"> Report</w:t>
            </w:r>
          </w:p>
          <w:p w:rsidR="00600869" w:rsidRPr="00600869" w:rsidRDefault="00600869" w:rsidP="002835F5">
            <w:pPr>
              <w:rPr>
                <w:rFonts w:ascii="Arial" w:hAnsi="Arial" w:cs="Arial"/>
                <w:i/>
              </w:rPr>
            </w:pPr>
            <w:r w:rsidRPr="00600869">
              <w:rPr>
                <w:rFonts w:ascii="Arial" w:hAnsi="Arial" w:cs="Arial"/>
                <w:i/>
              </w:rPr>
              <w:t>Prendre note du rapport du secrétariat de l'OHI</w:t>
            </w:r>
          </w:p>
        </w:tc>
      </w:tr>
      <w:tr w:rsidR="00600869" w:rsidRPr="00600869" w:rsidTr="00BE3F7A">
        <w:tc>
          <w:tcPr>
            <w:tcW w:w="2405" w:type="dxa"/>
            <w:vAlign w:val="center"/>
          </w:tcPr>
          <w:p w:rsidR="00600869" w:rsidRDefault="00600869" w:rsidP="00FB733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EAtHC17 Decision 4</w:t>
            </w:r>
          </w:p>
        </w:tc>
        <w:tc>
          <w:tcPr>
            <w:tcW w:w="6657" w:type="dxa"/>
            <w:vAlign w:val="center"/>
          </w:tcPr>
          <w:p w:rsidR="00600869" w:rsidRDefault="009779C0" w:rsidP="00600869">
            <w:pPr>
              <w:rPr>
                <w:rFonts w:ascii="Arial" w:hAnsi="Arial" w:cs="Arial"/>
              </w:rPr>
            </w:pPr>
            <w:r w:rsidRPr="009779C0">
              <w:rPr>
                <w:rFonts w:ascii="Arial" w:hAnsi="Arial" w:cs="Arial"/>
              </w:rPr>
              <w:t>Note the IRCC Report</w:t>
            </w:r>
          </w:p>
          <w:p w:rsidR="009779C0" w:rsidRPr="00600869" w:rsidRDefault="009779C0" w:rsidP="00600869">
            <w:pPr>
              <w:rPr>
                <w:rFonts w:ascii="Arial" w:hAnsi="Arial" w:cs="Arial"/>
              </w:rPr>
            </w:pPr>
            <w:r w:rsidRPr="00600869">
              <w:rPr>
                <w:rFonts w:ascii="Arial" w:hAnsi="Arial" w:cs="Arial"/>
                <w:i/>
              </w:rPr>
              <w:t xml:space="preserve">Prendre note du rapport </w:t>
            </w:r>
            <w:r>
              <w:rPr>
                <w:rFonts w:ascii="Arial" w:hAnsi="Arial" w:cs="Arial"/>
                <w:i/>
              </w:rPr>
              <w:t>de l’IRCC</w:t>
            </w:r>
          </w:p>
        </w:tc>
      </w:tr>
      <w:tr w:rsidR="009779C0" w:rsidRPr="00600869" w:rsidTr="00BE3F7A">
        <w:tc>
          <w:tcPr>
            <w:tcW w:w="2405" w:type="dxa"/>
            <w:vAlign w:val="center"/>
          </w:tcPr>
          <w:p w:rsidR="009779C0" w:rsidRDefault="009779C0" w:rsidP="00FB733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EAtHC17 Decision 5</w:t>
            </w:r>
          </w:p>
        </w:tc>
        <w:tc>
          <w:tcPr>
            <w:tcW w:w="6657" w:type="dxa"/>
            <w:vAlign w:val="center"/>
          </w:tcPr>
          <w:p w:rsidR="009779C0" w:rsidRDefault="009779C0" w:rsidP="009779C0">
            <w:pPr>
              <w:rPr>
                <w:rFonts w:ascii="Arial" w:hAnsi="Arial" w:cs="Arial"/>
              </w:rPr>
            </w:pPr>
            <w:r w:rsidRPr="009779C0">
              <w:rPr>
                <w:rFonts w:ascii="Arial" w:hAnsi="Arial" w:cs="Arial"/>
              </w:rPr>
              <w:t xml:space="preserve">Note the </w:t>
            </w:r>
            <w:r>
              <w:rPr>
                <w:rFonts w:ascii="Arial" w:hAnsi="Arial" w:cs="Arial"/>
              </w:rPr>
              <w:t>HSSC</w:t>
            </w:r>
            <w:r w:rsidRPr="009779C0">
              <w:rPr>
                <w:rFonts w:ascii="Arial" w:hAnsi="Arial" w:cs="Arial"/>
              </w:rPr>
              <w:t xml:space="preserve"> Report</w:t>
            </w:r>
          </w:p>
          <w:p w:rsidR="009779C0" w:rsidRPr="00600869" w:rsidRDefault="009779C0" w:rsidP="009779C0">
            <w:pPr>
              <w:rPr>
                <w:rFonts w:ascii="Arial" w:hAnsi="Arial" w:cs="Arial"/>
              </w:rPr>
            </w:pPr>
            <w:r w:rsidRPr="00600869">
              <w:rPr>
                <w:rFonts w:ascii="Arial" w:hAnsi="Arial" w:cs="Arial"/>
                <w:i/>
              </w:rPr>
              <w:t xml:space="preserve">Prendre note du rapport </w:t>
            </w:r>
            <w:r>
              <w:rPr>
                <w:rFonts w:ascii="Arial" w:hAnsi="Arial" w:cs="Arial"/>
                <w:i/>
              </w:rPr>
              <w:t>du HSSC</w:t>
            </w:r>
          </w:p>
        </w:tc>
      </w:tr>
      <w:tr w:rsidR="00600869" w:rsidRPr="00B75952" w:rsidTr="00BE3F7A">
        <w:tc>
          <w:tcPr>
            <w:tcW w:w="2405" w:type="dxa"/>
            <w:vAlign w:val="center"/>
          </w:tcPr>
          <w:p w:rsidR="00600869" w:rsidRPr="00600869" w:rsidRDefault="00BD577A" w:rsidP="00FB73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EAtHC17 Decision 6</w:t>
            </w:r>
          </w:p>
        </w:tc>
        <w:tc>
          <w:tcPr>
            <w:tcW w:w="6657" w:type="dxa"/>
            <w:vAlign w:val="center"/>
          </w:tcPr>
          <w:p w:rsidR="00600869" w:rsidRDefault="00B75952" w:rsidP="00600869">
            <w:pPr>
              <w:rPr>
                <w:rFonts w:ascii="Arial" w:hAnsi="Arial" w:cs="Arial"/>
                <w:lang w:val="en-US"/>
              </w:rPr>
            </w:pPr>
            <w:r w:rsidRPr="00B75952">
              <w:rPr>
                <w:rFonts w:ascii="Arial" w:hAnsi="Arial" w:cs="Arial"/>
                <w:lang w:val="en-US"/>
              </w:rPr>
              <w:t>Note the important challenges on the S-100 implementation and the commitments towards IMO and IEC</w:t>
            </w:r>
          </w:p>
          <w:p w:rsidR="00B75952" w:rsidRPr="00B75952" w:rsidRDefault="00B75952" w:rsidP="00600869">
            <w:pPr>
              <w:rPr>
                <w:rFonts w:ascii="Arial" w:hAnsi="Arial" w:cs="Arial"/>
                <w:i/>
              </w:rPr>
            </w:pPr>
            <w:r w:rsidRPr="00B75952">
              <w:rPr>
                <w:rFonts w:ascii="Arial" w:hAnsi="Arial" w:cs="Arial"/>
                <w:i/>
              </w:rPr>
              <w:t>Prendre note des défis importants concernant la mise en œuvre de la S-100 et des engagements vis-à-vis de l'OMI et de la CEI</w:t>
            </w:r>
          </w:p>
        </w:tc>
      </w:tr>
      <w:tr w:rsidR="009F436E" w:rsidRPr="00B75952" w:rsidTr="00BE3F7A">
        <w:tc>
          <w:tcPr>
            <w:tcW w:w="2405" w:type="dxa"/>
            <w:vAlign w:val="center"/>
          </w:tcPr>
          <w:p w:rsidR="009F436E" w:rsidRPr="00600869" w:rsidRDefault="009F436E" w:rsidP="00FB73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EAtHC17 Decision 7</w:t>
            </w:r>
          </w:p>
        </w:tc>
        <w:tc>
          <w:tcPr>
            <w:tcW w:w="6657" w:type="dxa"/>
            <w:vAlign w:val="center"/>
          </w:tcPr>
          <w:p w:rsidR="009F436E" w:rsidRDefault="00BD3F49" w:rsidP="009F436E">
            <w:pPr>
              <w:rPr>
                <w:rFonts w:ascii="Arial" w:hAnsi="Arial" w:cs="Arial"/>
              </w:rPr>
            </w:pPr>
            <w:r w:rsidRPr="00BD3F49">
              <w:rPr>
                <w:rFonts w:ascii="Arial" w:hAnsi="Arial" w:cs="Arial"/>
              </w:rPr>
              <w:t>Note the IALA Report</w:t>
            </w:r>
          </w:p>
          <w:p w:rsidR="00BD3F49" w:rsidRPr="00BD3F49" w:rsidRDefault="00BD3F49" w:rsidP="009F436E">
            <w:pPr>
              <w:rPr>
                <w:rFonts w:ascii="Arial" w:hAnsi="Arial" w:cs="Arial"/>
                <w:i/>
              </w:rPr>
            </w:pPr>
            <w:r w:rsidRPr="00BD3F49">
              <w:rPr>
                <w:rFonts w:ascii="Arial" w:hAnsi="Arial" w:cs="Arial"/>
                <w:i/>
              </w:rPr>
              <w:t>Prendre note du rapport de l’AISM</w:t>
            </w:r>
          </w:p>
        </w:tc>
      </w:tr>
      <w:tr w:rsidR="00BD3F49" w:rsidRPr="00B75952" w:rsidTr="00BE3F7A">
        <w:tc>
          <w:tcPr>
            <w:tcW w:w="2405" w:type="dxa"/>
            <w:vAlign w:val="center"/>
          </w:tcPr>
          <w:p w:rsidR="00BD3F49" w:rsidRPr="00600869" w:rsidRDefault="00BD3F49" w:rsidP="00FB73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EAtHC17 Decision 8</w:t>
            </w:r>
          </w:p>
        </w:tc>
        <w:tc>
          <w:tcPr>
            <w:tcW w:w="6657" w:type="dxa"/>
            <w:vAlign w:val="center"/>
          </w:tcPr>
          <w:p w:rsidR="00BD3F49" w:rsidRDefault="0070578F" w:rsidP="00BD3F49">
            <w:pPr>
              <w:rPr>
                <w:rFonts w:ascii="Arial" w:hAnsi="Arial" w:cs="Arial"/>
              </w:rPr>
            </w:pPr>
            <w:r w:rsidRPr="0070578F">
              <w:rPr>
                <w:rFonts w:ascii="Arial" w:hAnsi="Arial" w:cs="Arial"/>
              </w:rPr>
              <w:t>Note the IOCAFRICA Report</w:t>
            </w:r>
          </w:p>
          <w:p w:rsidR="0070578F" w:rsidRPr="009F436E" w:rsidRDefault="0070578F" w:rsidP="00BD3F49">
            <w:pPr>
              <w:rPr>
                <w:rFonts w:ascii="Arial" w:hAnsi="Arial" w:cs="Arial"/>
              </w:rPr>
            </w:pPr>
            <w:r w:rsidRPr="00BD3F49">
              <w:rPr>
                <w:rFonts w:ascii="Arial" w:hAnsi="Arial" w:cs="Arial"/>
                <w:i/>
              </w:rPr>
              <w:t>Prendre note du rapport de l’</w:t>
            </w:r>
            <w:r>
              <w:rPr>
                <w:rFonts w:ascii="Arial" w:hAnsi="Arial" w:cs="Arial"/>
                <w:i/>
              </w:rPr>
              <w:t>IOCAFRICA</w:t>
            </w:r>
          </w:p>
        </w:tc>
      </w:tr>
      <w:tr w:rsidR="00C52862" w:rsidRPr="00B75952" w:rsidTr="00BE3F7A">
        <w:tc>
          <w:tcPr>
            <w:tcW w:w="2405" w:type="dxa"/>
            <w:vAlign w:val="center"/>
          </w:tcPr>
          <w:p w:rsidR="00C52862" w:rsidRPr="00600869" w:rsidRDefault="00C52862" w:rsidP="00FB73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EAtHC17 Decision 9</w:t>
            </w:r>
          </w:p>
        </w:tc>
        <w:tc>
          <w:tcPr>
            <w:tcW w:w="6657" w:type="dxa"/>
            <w:vAlign w:val="center"/>
          </w:tcPr>
          <w:p w:rsidR="00C52862" w:rsidRDefault="00C52862" w:rsidP="00C52862">
            <w:pPr>
              <w:rPr>
                <w:rFonts w:ascii="Arial" w:hAnsi="Arial" w:cs="Arial"/>
              </w:rPr>
            </w:pPr>
            <w:r w:rsidRPr="0070578F">
              <w:rPr>
                <w:rFonts w:ascii="Arial" w:hAnsi="Arial" w:cs="Arial"/>
              </w:rPr>
              <w:t xml:space="preserve">Note the </w:t>
            </w:r>
            <w:r>
              <w:rPr>
                <w:rFonts w:ascii="Arial" w:hAnsi="Arial" w:cs="Arial"/>
              </w:rPr>
              <w:t>ICCWG</w:t>
            </w:r>
            <w:r w:rsidRPr="0070578F">
              <w:rPr>
                <w:rFonts w:ascii="Arial" w:hAnsi="Arial" w:cs="Arial"/>
              </w:rPr>
              <w:t xml:space="preserve"> Report</w:t>
            </w:r>
          </w:p>
          <w:p w:rsidR="00C52862" w:rsidRPr="009F436E" w:rsidRDefault="00C52862" w:rsidP="00C52862">
            <w:pPr>
              <w:rPr>
                <w:rFonts w:ascii="Arial" w:hAnsi="Arial" w:cs="Arial"/>
              </w:rPr>
            </w:pPr>
            <w:r w:rsidRPr="00BD3F49">
              <w:rPr>
                <w:rFonts w:ascii="Arial" w:hAnsi="Arial" w:cs="Arial"/>
                <w:i/>
              </w:rPr>
              <w:t>Prendre note du rapport de l’</w:t>
            </w:r>
            <w:r>
              <w:rPr>
                <w:rFonts w:ascii="Arial" w:hAnsi="Arial" w:cs="Arial"/>
                <w:i/>
              </w:rPr>
              <w:t>ICCWG</w:t>
            </w:r>
          </w:p>
        </w:tc>
      </w:tr>
      <w:tr w:rsidR="004117CA" w:rsidRPr="00870948" w:rsidTr="00BE3F7A">
        <w:tc>
          <w:tcPr>
            <w:tcW w:w="2405" w:type="dxa"/>
            <w:vAlign w:val="center"/>
          </w:tcPr>
          <w:p w:rsidR="004117CA" w:rsidRPr="00600869" w:rsidRDefault="004117CA" w:rsidP="00FB73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EAtHC17 Decision 10</w:t>
            </w:r>
          </w:p>
        </w:tc>
        <w:tc>
          <w:tcPr>
            <w:tcW w:w="6657" w:type="dxa"/>
            <w:vAlign w:val="center"/>
          </w:tcPr>
          <w:p w:rsidR="004117CA" w:rsidRDefault="00870948" w:rsidP="004117CA">
            <w:pPr>
              <w:rPr>
                <w:rFonts w:ascii="Arial" w:hAnsi="Arial" w:cs="Arial"/>
                <w:lang w:val="en-US"/>
              </w:rPr>
            </w:pPr>
            <w:r w:rsidRPr="00870948">
              <w:rPr>
                <w:rFonts w:ascii="Arial" w:hAnsi="Arial" w:cs="Arial"/>
                <w:lang w:val="en-US"/>
              </w:rPr>
              <w:t>Note the GDMSS, MSI and NAVAREA Coordination Report</w:t>
            </w:r>
          </w:p>
          <w:p w:rsidR="00870948" w:rsidRPr="00870948" w:rsidRDefault="00870948" w:rsidP="004117CA">
            <w:pPr>
              <w:rPr>
                <w:rFonts w:ascii="Arial" w:hAnsi="Arial" w:cs="Arial"/>
              </w:rPr>
            </w:pPr>
            <w:r w:rsidRPr="00BD3F49">
              <w:rPr>
                <w:rFonts w:ascii="Arial" w:hAnsi="Arial" w:cs="Arial"/>
                <w:i/>
              </w:rPr>
              <w:t xml:space="preserve">Prendre note du rapport </w:t>
            </w:r>
            <w:r>
              <w:rPr>
                <w:rFonts w:ascii="Arial" w:hAnsi="Arial" w:cs="Arial"/>
                <w:i/>
              </w:rPr>
              <w:t>SMDSM, RSM et de coordination NAVAREA</w:t>
            </w:r>
          </w:p>
        </w:tc>
      </w:tr>
      <w:tr w:rsidR="00C34F8A" w:rsidRPr="00870948" w:rsidTr="00BE3F7A">
        <w:tc>
          <w:tcPr>
            <w:tcW w:w="2405" w:type="dxa"/>
            <w:vAlign w:val="center"/>
          </w:tcPr>
          <w:p w:rsidR="00C34F8A" w:rsidRPr="00600869" w:rsidRDefault="00C34F8A" w:rsidP="00C34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EAtHC17 Decision 11</w:t>
            </w:r>
          </w:p>
        </w:tc>
        <w:tc>
          <w:tcPr>
            <w:tcW w:w="6657" w:type="dxa"/>
            <w:vAlign w:val="center"/>
          </w:tcPr>
          <w:p w:rsidR="00C34F8A" w:rsidRDefault="00C34F8A" w:rsidP="00C34F8A">
            <w:pPr>
              <w:rPr>
                <w:rFonts w:ascii="Arial" w:hAnsi="Arial" w:cs="Arial"/>
              </w:rPr>
            </w:pPr>
            <w:r w:rsidRPr="0070578F">
              <w:rPr>
                <w:rFonts w:ascii="Arial" w:hAnsi="Arial" w:cs="Arial"/>
              </w:rPr>
              <w:t xml:space="preserve">Note the </w:t>
            </w:r>
            <w:r>
              <w:rPr>
                <w:rFonts w:ascii="Arial" w:hAnsi="Arial" w:cs="Arial"/>
              </w:rPr>
              <w:t>CB</w:t>
            </w:r>
            <w:r w:rsidRPr="0070578F">
              <w:rPr>
                <w:rFonts w:ascii="Arial" w:hAnsi="Arial" w:cs="Arial"/>
              </w:rPr>
              <w:t xml:space="preserve"> Report</w:t>
            </w:r>
          </w:p>
          <w:p w:rsidR="00C34F8A" w:rsidRPr="00870948" w:rsidRDefault="00C34F8A" w:rsidP="00C34F8A">
            <w:pPr>
              <w:rPr>
                <w:rFonts w:ascii="Arial" w:hAnsi="Arial" w:cs="Arial"/>
              </w:rPr>
            </w:pPr>
            <w:r w:rsidRPr="00BD3F49">
              <w:rPr>
                <w:rFonts w:ascii="Arial" w:hAnsi="Arial" w:cs="Arial"/>
                <w:i/>
              </w:rPr>
              <w:t xml:space="preserve">Prendre note du rapport </w:t>
            </w:r>
            <w:r>
              <w:rPr>
                <w:rFonts w:ascii="Arial" w:hAnsi="Arial" w:cs="Arial"/>
                <w:i/>
              </w:rPr>
              <w:t>sur le renforcement des capacités</w:t>
            </w:r>
          </w:p>
        </w:tc>
      </w:tr>
      <w:tr w:rsidR="00041A32" w:rsidRPr="00BD108E" w:rsidTr="00BE3F7A">
        <w:tc>
          <w:tcPr>
            <w:tcW w:w="2405" w:type="dxa"/>
            <w:vAlign w:val="center"/>
          </w:tcPr>
          <w:p w:rsidR="00041A32" w:rsidRPr="00600869" w:rsidRDefault="00041A32" w:rsidP="00041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EAtHC17 Decision 12</w:t>
            </w:r>
          </w:p>
        </w:tc>
        <w:tc>
          <w:tcPr>
            <w:tcW w:w="6657" w:type="dxa"/>
            <w:vAlign w:val="center"/>
          </w:tcPr>
          <w:p w:rsidR="00041A32" w:rsidRDefault="00BD108E" w:rsidP="00041A32">
            <w:pPr>
              <w:rPr>
                <w:rFonts w:ascii="Arial" w:hAnsi="Arial" w:cs="Arial"/>
                <w:lang w:val="en-US"/>
              </w:rPr>
            </w:pPr>
            <w:r w:rsidRPr="00BD108E">
              <w:rPr>
                <w:rFonts w:ascii="Arial" w:hAnsi="Arial" w:cs="Arial"/>
                <w:lang w:val="en-US"/>
              </w:rPr>
              <w:t>Note of the decrease in IHO funding dedicated to CB and consider external funding solutions for collective CB actions (seminars, etc.)</w:t>
            </w:r>
          </w:p>
          <w:p w:rsidR="00BD108E" w:rsidRPr="00BD108E" w:rsidRDefault="00BD108E" w:rsidP="00041A32">
            <w:pPr>
              <w:rPr>
                <w:rFonts w:ascii="Arial" w:hAnsi="Arial" w:cs="Arial"/>
                <w:i/>
              </w:rPr>
            </w:pPr>
            <w:r w:rsidRPr="00BD108E">
              <w:rPr>
                <w:rFonts w:ascii="Arial" w:hAnsi="Arial" w:cs="Arial"/>
                <w:i/>
              </w:rPr>
              <w:t>Prendre note de la diminution du budget OHI dédié au renforcement des capacités et</w:t>
            </w:r>
            <w:r>
              <w:rPr>
                <w:rFonts w:ascii="Arial" w:hAnsi="Arial" w:cs="Arial"/>
                <w:i/>
              </w:rPr>
              <w:t xml:space="preserve"> envisager des solutions de financement externes pour les actions collectives de renforcement des capacités (séminaires…)</w:t>
            </w:r>
          </w:p>
        </w:tc>
      </w:tr>
      <w:tr w:rsidR="00F02FCD" w:rsidRPr="00BD108E" w:rsidTr="00BE3F7A">
        <w:tc>
          <w:tcPr>
            <w:tcW w:w="2405" w:type="dxa"/>
            <w:vAlign w:val="center"/>
          </w:tcPr>
          <w:p w:rsidR="00F02FCD" w:rsidRPr="00600869" w:rsidRDefault="00F02FCD" w:rsidP="00F02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EAtHC17 Decision 13</w:t>
            </w:r>
          </w:p>
        </w:tc>
        <w:tc>
          <w:tcPr>
            <w:tcW w:w="6657" w:type="dxa"/>
            <w:vAlign w:val="center"/>
          </w:tcPr>
          <w:p w:rsidR="00F02FCD" w:rsidRDefault="002D24A0" w:rsidP="00F02FCD">
            <w:pPr>
              <w:rPr>
                <w:rFonts w:ascii="Arial" w:hAnsi="Arial" w:cs="Arial"/>
              </w:rPr>
            </w:pPr>
            <w:r w:rsidRPr="002D24A0">
              <w:rPr>
                <w:rFonts w:ascii="Arial" w:hAnsi="Arial" w:cs="Arial"/>
              </w:rPr>
              <w:t>Note the CSB Report</w:t>
            </w:r>
          </w:p>
          <w:p w:rsidR="002D24A0" w:rsidRPr="00BD108E" w:rsidRDefault="002D24A0" w:rsidP="00F02FCD">
            <w:pPr>
              <w:rPr>
                <w:rFonts w:ascii="Arial" w:hAnsi="Arial" w:cs="Arial"/>
              </w:rPr>
            </w:pPr>
            <w:r w:rsidRPr="00BD3F49">
              <w:rPr>
                <w:rFonts w:ascii="Arial" w:hAnsi="Arial" w:cs="Arial"/>
                <w:i/>
              </w:rPr>
              <w:t xml:space="preserve">Prendre note du rapport </w:t>
            </w:r>
            <w:r>
              <w:rPr>
                <w:rFonts w:ascii="Arial" w:hAnsi="Arial" w:cs="Arial"/>
                <w:i/>
              </w:rPr>
              <w:t xml:space="preserve">sur </w:t>
            </w:r>
            <w:r w:rsidR="00E63D04">
              <w:rPr>
                <w:rFonts w:ascii="Arial" w:hAnsi="Arial" w:cs="Arial"/>
                <w:i/>
              </w:rPr>
              <w:t>la bathymétrie participative</w:t>
            </w:r>
          </w:p>
        </w:tc>
      </w:tr>
      <w:tr w:rsidR="00FC2063" w:rsidRPr="00BD108E" w:rsidTr="00BE3F7A">
        <w:tc>
          <w:tcPr>
            <w:tcW w:w="2405" w:type="dxa"/>
            <w:vAlign w:val="center"/>
          </w:tcPr>
          <w:p w:rsidR="00FC2063" w:rsidRPr="00600869" w:rsidRDefault="00FC2063" w:rsidP="00FC2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EAtHC17 Decision 14</w:t>
            </w:r>
          </w:p>
        </w:tc>
        <w:tc>
          <w:tcPr>
            <w:tcW w:w="6657" w:type="dxa"/>
            <w:vAlign w:val="center"/>
          </w:tcPr>
          <w:p w:rsidR="00FC2063" w:rsidRDefault="002C5176" w:rsidP="00FC2063">
            <w:pPr>
              <w:rPr>
                <w:rFonts w:ascii="Arial" w:hAnsi="Arial" w:cs="Arial"/>
              </w:rPr>
            </w:pPr>
            <w:r w:rsidRPr="002C5176">
              <w:rPr>
                <w:rFonts w:ascii="Arial" w:hAnsi="Arial" w:cs="Arial"/>
              </w:rPr>
              <w:t>Note the SEABED 2030 Report</w:t>
            </w:r>
          </w:p>
          <w:p w:rsidR="002C5176" w:rsidRPr="001B1875" w:rsidRDefault="002C5176" w:rsidP="00FC2063">
            <w:pPr>
              <w:rPr>
                <w:rFonts w:ascii="Arial" w:hAnsi="Arial" w:cs="Arial"/>
                <w:i/>
              </w:rPr>
            </w:pPr>
            <w:r w:rsidRPr="001B1875">
              <w:rPr>
                <w:rFonts w:ascii="Arial" w:hAnsi="Arial" w:cs="Arial"/>
                <w:i/>
              </w:rPr>
              <w:t>Prendre note du rapport SEABED 2030</w:t>
            </w:r>
          </w:p>
        </w:tc>
      </w:tr>
      <w:tr w:rsidR="008F1ECD" w:rsidRPr="00BD108E" w:rsidTr="00BE3F7A">
        <w:tc>
          <w:tcPr>
            <w:tcW w:w="2405" w:type="dxa"/>
            <w:vAlign w:val="center"/>
          </w:tcPr>
          <w:p w:rsidR="008F1ECD" w:rsidRPr="00600869" w:rsidRDefault="008F1ECD" w:rsidP="008F1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EAtHC17 Decision 15</w:t>
            </w:r>
          </w:p>
        </w:tc>
        <w:tc>
          <w:tcPr>
            <w:tcW w:w="6657" w:type="dxa"/>
            <w:vAlign w:val="center"/>
          </w:tcPr>
          <w:p w:rsidR="00884022" w:rsidRDefault="00884022" w:rsidP="00884022">
            <w:pPr>
              <w:rPr>
                <w:rFonts w:ascii="Arial" w:hAnsi="Arial" w:cs="Arial"/>
              </w:rPr>
            </w:pPr>
            <w:r w:rsidRPr="0070578F">
              <w:rPr>
                <w:rFonts w:ascii="Arial" w:hAnsi="Arial" w:cs="Arial"/>
              </w:rPr>
              <w:t xml:space="preserve">Note the </w:t>
            </w:r>
            <w:r>
              <w:rPr>
                <w:rFonts w:ascii="Arial" w:hAnsi="Arial" w:cs="Arial"/>
              </w:rPr>
              <w:t>MSDI</w:t>
            </w:r>
            <w:r w:rsidRPr="0070578F">
              <w:rPr>
                <w:rFonts w:ascii="Arial" w:hAnsi="Arial" w:cs="Arial"/>
              </w:rPr>
              <w:t xml:space="preserve"> Report</w:t>
            </w:r>
          </w:p>
          <w:p w:rsidR="008F1ECD" w:rsidRPr="00BD108E" w:rsidRDefault="00884022" w:rsidP="00884022">
            <w:pPr>
              <w:rPr>
                <w:rFonts w:ascii="Arial" w:hAnsi="Arial" w:cs="Arial"/>
              </w:rPr>
            </w:pPr>
            <w:r w:rsidRPr="00BD3F49">
              <w:rPr>
                <w:rFonts w:ascii="Arial" w:hAnsi="Arial" w:cs="Arial"/>
                <w:i/>
              </w:rPr>
              <w:t xml:space="preserve">Prendre note du rapport </w:t>
            </w:r>
            <w:r>
              <w:rPr>
                <w:rFonts w:ascii="Arial" w:hAnsi="Arial" w:cs="Arial"/>
                <w:i/>
              </w:rPr>
              <w:t>sur les IDGM</w:t>
            </w:r>
          </w:p>
        </w:tc>
      </w:tr>
      <w:tr w:rsidR="008F1ECD" w:rsidRPr="00441C0F" w:rsidTr="00BE3F7A">
        <w:tc>
          <w:tcPr>
            <w:tcW w:w="2405" w:type="dxa"/>
            <w:vAlign w:val="center"/>
          </w:tcPr>
          <w:p w:rsidR="008F1ECD" w:rsidRPr="00600869" w:rsidRDefault="008F1ECD" w:rsidP="008F1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EAtHC17 Decision 16</w:t>
            </w:r>
          </w:p>
        </w:tc>
        <w:tc>
          <w:tcPr>
            <w:tcW w:w="6657" w:type="dxa"/>
            <w:vAlign w:val="center"/>
          </w:tcPr>
          <w:p w:rsidR="008F1ECD" w:rsidRDefault="00441C0F" w:rsidP="008F1ECD">
            <w:pPr>
              <w:rPr>
                <w:rFonts w:ascii="Arial" w:hAnsi="Arial" w:cs="Arial"/>
                <w:lang w:val="en-US"/>
              </w:rPr>
            </w:pPr>
            <w:r w:rsidRPr="00441C0F">
              <w:rPr>
                <w:rFonts w:ascii="Arial" w:hAnsi="Arial" w:cs="Arial"/>
                <w:lang w:val="en-US"/>
              </w:rPr>
              <w:t>Note the IHO-EU Network WG Report</w:t>
            </w:r>
          </w:p>
          <w:p w:rsidR="00441C0F" w:rsidRPr="00441C0F" w:rsidRDefault="00441C0F" w:rsidP="008F1ECD">
            <w:pPr>
              <w:rPr>
                <w:rFonts w:ascii="Arial" w:hAnsi="Arial" w:cs="Arial"/>
                <w:i/>
              </w:rPr>
            </w:pPr>
            <w:r w:rsidRPr="00441C0F">
              <w:rPr>
                <w:rFonts w:ascii="Arial" w:hAnsi="Arial" w:cs="Arial"/>
                <w:i/>
              </w:rPr>
              <w:lastRenderedPageBreak/>
              <w:t xml:space="preserve">Prendre note du rapport </w:t>
            </w:r>
            <w:r>
              <w:rPr>
                <w:rFonts w:ascii="Arial" w:hAnsi="Arial" w:cs="Arial"/>
                <w:i/>
              </w:rPr>
              <w:t>de l’IENWG</w:t>
            </w:r>
          </w:p>
        </w:tc>
      </w:tr>
      <w:tr w:rsidR="008F1ECD" w:rsidRPr="002F56D8" w:rsidTr="00BE3F7A">
        <w:tc>
          <w:tcPr>
            <w:tcW w:w="2405" w:type="dxa"/>
            <w:vAlign w:val="center"/>
          </w:tcPr>
          <w:p w:rsidR="008F1ECD" w:rsidRPr="00600869" w:rsidRDefault="008F1ECD" w:rsidP="008F1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EAtHC17 Decision 17</w:t>
            </w:r>
          </w:p>
        </w:tc>
        <w:tc>
          <w:tcPr>
            <w:tcW w:w="6657" w:type="dxa"/>
            <w:vAlign w:val="center"/>
          </w:tcPr>
          <w:p w:rsidR="008F1ECD" w:rsidRDefault="00522244" w:rsidP="008F1ECD">
            <w:pPr>
              <w:rPr>
                <w:rFonts w:ascii="Arial" w:hAnsi="Arial" w:cs="Arial"/>
                <w:lang w:val="en-US"/>
              </w:rPr>
            </w:pPr>
            <w:r w:rsidRPr="00522244">
              <w:rPr>
                <w:rFonts w:ascii="Arial" w:hAnsi="Arial" w:cs="Arial"/>
                <w:lang w:val="en-US"/>
              </w:rPr>
              <w:t>Note the analysis of the WENDWG on the S-101 scheme</w:t>
            </w:r>
          </w:p>
          <w:p w:rsidR="002F56D8" w:rsidRPr="002F56D8" w:rsidRDefault="002F56D8" w:rsidP="008F1ECD">
            <w:pPr>
              <w:rPr>
                <w:rFonts w:ascii="Arial" w:hAnsi="Arial" w:cs="Arial"/>
              </w:rPr>
            </w:pPr>
            <w:r w:rsidRPr="00441C0F">
              <w:rPr>
                <w:rFonts w:ascii="Arial" w:hAnsi="Arial" w:cs="Arial"/>
                <w:i/>
              </w:rPr>
              <w:t xml:space="preserve">Prendre note </w:t>
            </w:r>
            <w:r>
              <w:rPr>
                <w:rFonts w:ascii="Arial" w:hAnsi="Arial" w:cs="Arial"/>
                <w:i/>
              </w:rPr>
              <w:t>de l’analyse du WENDWG sur le schéma S-101</w:t>
            </w:r>
          </w:p>
        </w:tc>
      </w:tr>
      <w:tr w:rsidR="008F1ECD" w:rsidRPr="00B40211" w:rsidTr="00BE3F7A">
        <w:tc>
          <w:tcPr>
            <w:tcW w:w="2405" w:type="dxa"/>
            <w:vAlign w:val="center"/>
          </w:tcPr>
          <w:p w:rsidR="008F1ECD" w:rsidRPr="00600869" w:rsidRDefault="008F1ECD" w:rsidP="008F1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EAtHC17 Decision 18</w:t>
            </w:r>
          </w:p>
        </w:tc>
        <w:tc>
          <w:tcPr>
            <w:tcW w:w="6657" w:type="dxa"/>
            <w:vAlign w:val="center"/>
          </w:tcPr>
          <w:p w:rsidR="008F1ECD" w:rsidRDefault="00B40211" w:rsidP="008F1ECD">
            <w:pPr>
              <w:rPr>
                <w:rFonts w:ascii="Arial" w:hAnsi="Arial" w:cs="Arial"/>
                <w:lang w:val="en-US"/>
              </w:rPr>
            </w:pPr>
            <w:r w:rsidRPr="00B40211">
              <w:rPr>
                <w:rFonts w:ascii="Arial" w:hAnsi="Arial" w:cs="Arial"/>
                <w:lang w:val="en-US"/>
              </w:rPr>
              <w:t>Note the submission to the IHO Council of the Guidelines on the implementation of the WEND principles to the S-100 products other than S-101</w:t>
            </w:r>
          </w:p>
          <w:p w:rsidR="00B40211" w:rsidRPr="00B40211" w:rsidRDefault="00B40211" w:rsidP="008F1ECD">
            <w:pPr>
              <w:rPr>
                <w:rFonts w:ascii="Arial" w:hAnsi="Arial" w:cs="Arial"/>
                <w:i/>
              </w:rPr>
            </w:pPr>
            <w:r w:rsidRPr="00B40211">
              <w:rPr>
                <w:rFonts w:ascii="Arial" w:hAnsi="Arial" w:cs="Arial"/>
                <w:i/>
              </w:rPr>
              <w:t>Prendre note de la soumission au Conseil de l'OHI des lignes directrices sur la mise en œuvre des principes WEND pour les produits S-100 autres que le S-101</w:t>
            </w:r>
          </w:p>
        </w:tc>
      </w:tr>
      <w:tr w:rsidR="005521F9" w:rsidRPr="001A02F8" w:rsidTr="00BE3F7A">
        <w:tc>
          <w:tcPr>
            <w:tcW w:w="2405" w:type="dxa"/>
            <w:vAlign w:val="center"/>
          </w:tcPr>
          <w:p w:rsidR="005521F9" w:rsidRPr="00600869" w:rsidRDefault="005521F9" w:rsidP="005521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EAtHC17 Decision 19</w:t>
            </w:r>
          </w:p>
        </w:tc>
        <w:tc>
          <w:tcPr>
            <w:tcW w:w="6657" w:type="dxa"/>
            <w:vAlign w:val="center"/>
          </w:tcPr>
          <w:p w:rsidR="005521F9" w:rsidRDefault="00626407" w:rsidP="005521F9">
            <w:pPr>
              <w:rPr>
                <w:rFonts w:ascii="Arial" w:hAnsi="Arial" w:cs="Arial"/>
                <w:lang w:val="en-US"/>
              </w:rPr>
            </w:pPr>
            <w:r w:rsidRPr="00626407">
              <w:rPr>
                <w:rFonts w:ascii="Arial" w:hAnsi="Arial" w:cs="Arial"/>
                <w:lang w:val="en-US"/>
              </w:rPr>
              <w:t>Note the interest of HD ENCs and the IHO S-100 objective which integrates S-102 products (bathymetry) which should cover the need for high density bathymetry</w:t>
            </w:r>
          </w:p>
          <w:p w:rsidR="001A02F8" w:rsidRPr="001A02F8" w:rsidRDefault="001A02F8" w:rsidP="005521F9">
            <w:pPr>
              <w:rPr>
                <w:rFonts w:ascii="Arial" w:hAnsi="Arial" w:cs="Arial"/>
                <w:i/>
              </w:rPr>
            </w:pPr>
            <w:r w:rsidRPr="001A02F8">
              <w:rPr>
                <w:rFonts w:ascii="Arial" w:hAnsi="Arial" w:cs="Arial"/>
                <w:i/>
              </w:rPr>
              <w:t>Noter l'intérêt des ENC HD et l'objectif S-100 de l'OHI qui intègre les produits S-102 (bathymétrie) qui devrait couvrir les besoins en bathymétrie à haute densité</w:t>
            </w:r>
          </w:p>
        </w:tc>
      </w:tr>
      <w:tr w:rsidR="00626407" w:rsidRPr="00A877B0" w:rsidTr="00BE3F7A">
        <w:tc>
          <w:tcPr>
            <w:tcW w:w="2405" w:type="dxa"/>
            <w:vAlign w:val="center"/>
          </w:tcPr>
          <w:p w:rsidR="00626407" w:rsidRPr="00600869" w:rsidRDefault="00626407" w:rsidP="006264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EAtHC17 Decision 20</w:t>
            </w:r>
          </w:p>
        </w:tc>
        <w:tc>
          <w:tcPr>
            <w:tcW w:w="6657" w:type="dxa"/>
            <w:vAlign w:val="center"/>
          </w:tcPr>
          <w:p w:rsidR="00626407" w:rsidRPr="002A0610" w:rsidRDefault="00A877B0" w:rsidP="00626407">
            <w:pPr>
              <w:rPr>
                <w:rFonts w:ascii="Arial" w:hAnsi="Arial" w:cs="Arial"/>
              </w:rPr>
            </w:pPr>
            <w:r w:rsidRPr="002A0610">
              <w:rPr>
                <w:rFonts w:ascii="Arial" w:hAnsi="Arial" w:cs="Arial"/>
              </w:rPr>
              <w:t>Note the S-100 Roadmap report</w:t>
            </w:r>
          </w:p>
          <w:p w:rsidR="00A877B0" w:rsidRPr="00A877B0" w:rsidRDefault="00A877B0" w:rsidP="00626407">
            <w:pPr>
              <w:rPr>
                <w:rFonts w:ascii="Arial" w:hAnsi="Arial" w:cs="Arial"/>
                <w:i/>
              </w:rPr>
            </w:pPr>
            <w:r w:rsidRPr="00A877B0">
              <w:rPr>
                <w:rFonts w:ascii="Arial" w:hAnsi="Arial" w:cs="Arial"/>
                <w:i/>
              </w:rPr>
              <w:t>Prendre note du rapport s</w:t>
            </w:r>
            <w:r>
              <w:rPr>
                <w:rFonts w:ascii="Arial" w:hAnsi="Arial" w:cs="Arial"/>
                <w:i/>
              </w:rPr>
              <w:t>ur la feuille de route S-100</w:t>
            </w:r>
          </w:p>
        </w:tc>
      </w:tr>
      <w:tr w:rsidR="00626407" w:rsidRPr="000E59AE" w:rsidTr="00BE3F7A">
        <w:tc>
          <w:tcPr>
            <w:tcW w:w="2405" w:type="dxa"/>
            <w:vAlign w:val="center"/>
          </w:tcPr>
          <w:p w:rsidR="00626407" w:rsidRPr="00600869" w:rsidRDefault="00626407" w:rsidP="006264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EAtHC17 Decision 21</w:t>
            </w:r>
          </w:p>
        </w:tc>
        <w:tc>
          <w:tcPr>
            <w:tcW w:w="6657" w:type="dxa"/>
            <w:vAlign w:val="center"/>
          </w:tcPr>
          <w:p w:rsidR="00626407" w:rsidRDefault="000E59AE" w:rsidP="00626407">
            <w:pPr>
              <w:rPr>
                <w:rFonts w:ascii="Arial" w:hAnsi="Arial" w:cs="Arial"/>
                <w:lang w:val="en-US"/>
              </w:rPr>
            </w:pPr>
            <w:r w:rsidRPr="000E59AE">
              <w:rPr>
                <w:rFonts w:ascii="Arial" w:hAnsi="Arial" w:cs="Arial"/>
                <w:lang w:val="en-US"/>
              </w:rPr>
              <w:t>The EAtHC takes note of Action WENDWG12/21 and approves the extension of the scope of the region G ICCWG to the coordination of S-100 services</w:t>
            </w:r>
          </w:p>
          <w:p w:rsidR="000E59AE" w:rsidRPr="000E59AE" w:rsidRDefault="000E59AE" w:rsidP="00626407">
            <w:pPr>
              <w:rPr>
                <w:rFonts w:ascii="Arial" w:hAnsi="Arial" w:cs="Arial"/>
                <w:i/>
              </w:rPr>
            </w:pPr>
            <w:r w:rsidRPr="000E59AE">
              <w:rPr>
                <w:rFonts w:ascii="Arial" w:hAnsi="Arial" w:cs="Arial"/>
                <w:i/>
              </w:rPr>
              <w:t>La CHAtO prend note de l’action WENDWG12/21 et approuve</w:t>
            </w:r>
            <w:r>
              <w:rPr>
                <w:rFonts w:ascii="Arial" w:hAnsi="Arial" w:cs="Arial"/>
                <w:i/>
              </w:rPr>
              <w:t xml:space="preserve"> l’extension du périmètre de l’ICCWG de la région G à la coordination des services S-100</w:t>
            </w:r>
          </w:p>
        </w:tc>
      </w:tr>
      <w:tr w:rsidR="00626407" w:rsidRPr="009B15A1" w:rsidTr="00BE3F7A">
        <w:tc>
          <w:tcPr>
            <w:tcW w:w="2405" w:type="dxa"/>
            <w:vAlign w:val="center"/>
          </w:tcPr>
          <w:p w:rsidR="00626407" w:rsidRPr="00600869" w:rsidRDefault="00626407" w:rsidP="006264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EAtHC17 Decision 22</w:t>
            </w:r>
          </w:p>
        </w:tc>
        <w:tc>
          <w:tcPr>
            <w:tcW w:w="6657" w:type="dxa"/>
            <w:vAlign w:val="center"/>
          </w:tcPr>
          <w:p w:rsidR="00626407" w:rsidRPr="002A0610" w:rsidRDefault="009B15A1" w:rsidP="00626407">
            <w:pPr>
              <w:rPr>
                <w:rFonts w:ascii="Arial" w:hAnsi="Arial" w:cs="Arial"/>
              </w:rPr>
            </w:pPr>
            <w:r w:rsidRPr="002A0610">
              <w:rPr>
                <w:rFonts w:ascii="Arial" w:hAnsi="Arial" w:cs="Arial"/>
              </w:rPr>
              <w:t xml:space="preserve">Note </w:t>
            </w:r>
            <w:proofErr w:type="spellStart"/>
            <w:r w:rsidRPr="002A0610">
              <w:rPr>
                <w:rFonts w:ascii="Arial" w:hAnsi="Arial" w:cs="Arial"/>
              </w:rPr>
              <w:t>revised</w:t>
            </w:r>
            <w:proofErr w:type="spellEnd"/>
            <w:r w:rsidRPr="002A0610">
              <w:rPr>
                <w:rFonts w:ascii="Arial" w:hAnsi="Arial" w:cs="Arial"/>
              </w:rPr>
              <w:t xml:space="preserve"> </w:t>
            </w:r>
            <w:proofErr w:type="spellStart"/>
            <w:r w:rsidRPr="002A0610">
              <w:rPr>
                <w:rFonts w:ascii="Arial" w:hAnsi="Arial" w:cs="Arial"/>
              </w:rPr>
              <w:t>strategic</w:t>
            </w:r>
            <w:proofErr w:type="spellEnd"/>
            <w:r w:rsidRPr="002A0610">
              <w:rPr>
                <w:rFonts w:ascii="Arial" w:hAnsi="Arial" w:cs="Arial"/>
              </w:rPr>
              <w:t xml:space="preserve"> plan report</w:t>
            </w:r>
          </w:p>
          <w:p w:rsidR="009B15A1" w:rsidRPr="009B15A1" w:rsidRDefault="009B15A1" w:rsidP="00626407">
            <w:pPr>
              <w:rPr>
                <w:rFonts w:ascii="Arial" w:hAnsi="Arial" w:cs="Arial"/>
                <w:i/>
              </w:rPr>
            </w:pPr>
            <w:r w:rsidRPr="009B15A1">
              <w:rPr>
                <w:rFonts w:ascii="Arial" w:hAnsi="Arial" w:cs="Arial"/>
                <w:i/>
              </w:rPr>
              <w:t>Prendre note du plan stratégique révisé</w:t>
            </w:r>
          </w:p>
        </w:tc>
      </w:tr>
      <w:tr w:rsidR="009B15A1" w:rsidRPr="009B15A1" w:rsidTr="00BE3F7A">
        <w:tc>
          <w:tcPr>
            <w:tcW w:w="2405" w:type="dxa"/>
            <w:vAlign w:val="center"/>
          </w:tcPr>
          <w:p w:rsidR="009B15A1" w:rsidRPr="00600869" w:rsidRDefault="009B15A1" w:rsidP="009B1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EAtHC17 Decision 23</w:t>
            </w:r>
          </w:p>
        </w:tc>
        <w:tc>
          <w:tcPr>
            <w:tcW w:w="6657" w:type="dxa"/>
            <w:vAlign w:val="center"/>
          </w:tcPr>
          <w:p w:rsidR="009B15A1" w:rsidRPr="002A0610" w:rsidRDefault="001B6B3A" w:rsidP="009B15A1">
            <w:pPr>
              <w:rPr>
                <w:rFonts w:ascii="Arial" w:hAnsi="Arial" w:cs="Arial"/>
              </w:rPr>
            </w:pPr>
            <w:r w:rsidRPr="002A0610">
              <w:rPr>
                <w:rFonts w:ascii="Arial" w:hAnsi="Arial" w:cs="Arial"/>
              </w:rPr>
              <w:t>Note the PIANC report</w:t>
            </w:r>
          </w:p>
          <w:p w:rsidR="001B6B3A" w:rsidRPr="001B6B3A" w:rsidRDefault="001B6B3A" w:rsidP="009B15A1">
            <w:pPr>
              <w:rPr>
                <w:rFonts w:ascii="Arial" w:hAnsi="Arial" w:cs="Arial"/>
                <w:i/>
              </w:rPr>
            </w:pPr>
            <w:r w:rsidRPr="001B6B3A">
              <w:rPr>
                <w:rFonts w:ascii="Arial" w:hAnsi="Arial" w:cs="Arial"/>
                <w:i/>
              </w:rPr>
              <w:t>Prendre note du rapport d</w:t>
            </w:r>
            <w:r>
              <w:rPr>
                <w:rFonts w:ascii="Arial" w:hAnsi="Arial" w:cs="Arial"/>
                <w:i/>
              </w:rPr>
              <w:t>u PIANC</w:t>
            </w:r>
          </w:p>
        </w:tc>
      </w:tr>
      <w:tr w:rsidR="009B15A1" w:rsidRPr="00291990" w:rsidTr="00BE3F7A">
        <w:tc>
          <w:tcPr>
            <w:tcW w:w="2405" w:type="dxa"/>
            <w:vAlign w:val="center"/>
          </w:tcPr>
          <w:p w:rsidR="009B15A1" w:rsidRPr="00600869" w:rsidRDefault="009B15A1" w:rsidP="009B1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EAtHC17 Decision 24</w:t>
            </w:r>
          </w:p>
        </w:tc>
        <w:tc>
          <w:tcPr>
            <w:tcW w:w="6657" w:type="dxa"/>
            <w:vAlign w:val="center"/>
          </w:tcPr>
          <w:p w:rsidR="009B15A1" w:rsidRDefault="00291990" w:rsidP="009B15A1">
            <w:pPr>
              <w:rPr>
                <w:rFonts w:ascii="Arial" w:hAnsi="Arial" w:cs="Arial"/>
                <w:lang w:val="en-US"/>
              </w:rPr>
            </w:pPr>
            <w:r w:rsidRPr="00291990">
              <w:rPr>
                <w:rFonts w:ascii="Arial" w:hAnsi="Arial" w:cs="Arial"/>
                <w:lang w:val="en-US"/>
              </w:rPr>
              <w:t xml:space="preserve">Note all reports from this agenda item (France, Ghana, Morocco, Nigeria, Portugal, Spain, Cabo Verde, United Kingdom, Cote </w:t>
            </w:r>
            <w:r>
              <w:rPr>
                <w:rFonts w:ascii="Arial" w:hAnsi="Arial" w:cs="Arial"/>
                <w:lang w:val="en-US"/>
              </w:rPr>
              <w:t>d</w:t>
            </w:r>
            <w:r w:rsidRPr="00291990">
              <w:rPr>
                <w:rFonts w:ascii="Arial" w:hAnsi="Arial" w:cs="Arial"/>
                <w:lang w:val="en-US"/>
              </w:rPr>
              <w:t>’Ivoire, Guinea Conakry, Republic of the Congo, Senegal, Gambia, Togo, Guinea Bissau, Angola, Gabon, Mauritania)</w:t>
            </w:r>
          </w:p>
          <w:p w:rsidR="00291990" w:rsidRPr="00291990" w:rsidRDefault="00291990" w:rsidP="009B15A1">
            <w:pPr>
              <w:rPr>
                <w:rFonts w:ascii="Arial" w:hAnsi="Arial" w:cs="Arial"/>
                <w:i/>
              </w:rPr>
            </w:pPr>
            <w:r w:rsidRPr="00291990">
              <w:rPr>
                <w:rFonts w:ascii="Arial" w:hAnsi="Arial" w:cs="Arial"/>
                <w:i/>
              </w:rPr>
              <w:t>Prendre note des rapports des Etats de cet item de l’ordre du jour (France, Ghana, Maroc, Nigéria, Portugal, Espagne, Cap-Vert, Ro</w:t>
            </w:r>
            <w:r>
              <w:rPr>
                <w:rFonts w:ascii="Arial" w:hAnsi="Arial" w:cs="Arial"/>
                <w:i/>
              </w:rPr>
              <w:t>yaume-Uni</w:t>
            </w:r>
            <w:r w:rsidRPr="00291990">
              <w:rPr>
                <w:rFonts w:ascii="Arial" w:hAnsi="Arial" w:cs="Arial"/>
                <w:i/>
              </w:rPr>
              <w:t>, C</w:t>
            </w:r>
            <w:r>
              <w:rPr>
                <w:rFonts w:ascii="Arial" w:hAnsi="Arial" w:cs="Arial"/>
                <w:i/>
              </w:rPr>
              <w:t>ô</w:t>
            </w:r>
            <w:r w:rsidRPr="00291990">
              <w:rPr>
                <w:rFonts w:ascii="Arial" w:hAnsi="Arial" w:cs="Arial"/>
                <w:i/>
              </w:rPr>
              <w:t xml:space="preserve">te </w:t>
            </w:r>
            <w:r>
              <w:rPr>
                <w:rFonts w:ascii="Arial" w:hAnsi="Arial" w:cs="Arial"/>
                <w:i/>
              </w:rPr>
              <w:t>d</w:t>
            </w:r>
            <w:r w:rsidRPr="00291990">
              <w:rPr>
                <w:rFonts w:ascii="Arial" w:hAnsi="Arial" w:cs="Arial"/>
                <w:i/>
              </w:rPr>
              <w:t>’Ivoire, Guinée Conakry, Congo, Sénégal, Gambie, Togo, Guinée Bissau, Angola, Gabon, Mauritanie)</w:t>
            </w:r>
          </w:p>
        </w:tc>
      </w:tr>
      <w:tr w:rsidR="009B15A1" w:rsidRPr="00D572B0" w:rsidTr="00BE3F7A">
        <w:tc>
          <w:tcPr>
            <w:tcW w:w="2405" w:type="dxa"/>
            <w:vAlign w:val="center"/>
          </w:tcPr>
          <w:p w:rsidR="009B15A1" w:rsidRPr="00600869" w:rsidRDefault="009B15A1" w:rsidP="009B1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EAtHC17 Decision 25</w:t>
            </w:r>
          </w:p>
        </w:tc>
        <w:tc>
          <w:tcPr>
            <w:tcW w:w="6657" w:type="dxa"/>
            <w:vAlign w:val="center"/>
          </w:tcPr>
          <w:p w:rsidR="009B15A1" w:rsidRDefault="00D572B0" w:rsidP="009B15A1">
            <w:pPr>
              <w:rPr>
                <w:rFonts w:ascii="Arial" w:hAnsi="Arial" w:cs="Arial"/>
                <w:lang w:val="en-US"/>
              </w:rPr>
            </w:pPr>
            <w:r w:rsidRPr="00D572B0">
              <w:rPr>
                <w:rFonts w:ascii="Arial" w:hAnsi="Arial" w:cs="Arial"/>
                <w:lang w:val="en-US"/>
              </w:rPr>
              <w:t>Note all reports from this agenda item: KONGSBERG Maritime, Seven Cs, PRIMAR</w:t>
            </w:r>
          </w:p>
          <w:p w:rsidR="00D572B0" w:rsidRPr="005D507A" w:rsidRDefault="00D572B0" w:rsidP="009B15A1">
            <w:pPr>
              <w:rPr>
                <w:rFonts w:ascii="Arial" w:hAnsi="Arial" w:cs="Arial"/>
                <w:i/>
              </w:rPr>
            </w:pPr>
            <w:r w:rsidRPr="005D507A">
              <w:rPr>
                <w:rFonts w:ascii="Arial" w:hAnsi="Arial" w:cs="Arial"/>
                <w:i/>
              </w:rPr>
              <w:t xml:space="preserve">Prendre note de l’ensemble des rapports de cet item : </w:t>
            </w:r>
            <w:proofErr w:type="spellStart"/>
            <w:r w:rsidRPr="005D507A">
              <w:rPr>
                <w:rFonts w:ascii="Arial" w:hAnsi="Arial" w:cs="Arial"/>
                <w:i/>
              </w:rPr>
              <w:t>Kongsberg</w:t>
            </w:r>
            <w:proofErr w:type="spellEnd"/>
            <w:r w:rsidRPr="005D507A">
              <w:rPr>
                <w:rFonts w:ascii="Arial" w:hAnsi="Arial" w:cs="Arial"/>
                <w:i/>
              </w:rPr>
              <w:t xml:space="preserve"> Maritime, Seven Cs, PRIMAR</w:t>
            </w:r>
          </w:p>
        </w:tc>
      </w:tr>
      <w:tr w:rsidR="009B15A1" w:rsidRPr="0051749F" w:rsidTr="00BE3F7A">
        <w:tc>
          <w:tcPr>
            <w:tcW w:w="2405" w:type="dxa"/>
            <w:vAlign w:val="center"/>
          </w:tcPr>
          <w:p w:rsidR="009B15A1" w:rsidRPr="00600869" w:rsidRDefault="009B15A1" w:rsidP="009B1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EAtHC17 Decision 26</w:t>
            </w:r>
          </w:p>
        </w:tc>
        <w:tc>
          <w:tcPr>
            <w:tcW w:w="6657" w:type="dxa"/>
            <w:vAlign w:val="center"/>
          </w:tcPr>
          <w:p w:rsidR="009B15A1" w:rsidRDefault="0051749F" w:rsidP="009B15A1">
            <w:pPr>
              <w:rPr>
                <w:rFonts w:ascii="Arial" w:hAnsi="Arial" w:cs="Arial"/>
                <w:lang w:val="en-US"/>
              </w:rPr>
            </w:pPr>
            <w:r w:rsidRPr="0051749F">
              <w:rPr>
                <w:rFonts w:ascii="Arial" w:hAnsi="Arial" w:cs="Arial"/>
                <w:lang w:val="en-US"/>
              </w:rPr>
              <w:t>Note the Disaster Response Framework Report</w:t>
            </w:r>
          </w:p>
          <w:p w:rsidR="0051749F" w:rsidRPr="0051749F" w:rsidRDefault="0051749F" w:rsidP="009B15A1">
            <w:pPr>
              <w:rPr>
                <w:rFonts w:ascii="Arial" w:hAnsi="Arial" w:cs="Arial"/>
                <w:i/>
              </w:rPr>
            </w:pPr>
            <w:r w:rsidRPr="0051749F">
              <w:rPr>
                <w:rFonts w:ascii="Arial" w:hAnsi="Arial" w:cs="Arial"/>
                <w:i/>
              </w:rPr>
              <w:t>Prendre note du rapport sur le cadre d'intervention en cas de catastrophe</w:t>
            </w:r>
          </w:p>
        </w:tc>
      </w:tr>
      <w:tr w:rsidR="009B15A1" w:rsidRPr="0051749F" w:rsidTr="00BE3F7A">
        <w:tc>
          <w:tcPr>
            <w:tcW w:w="2405" w:type="dxa"/>
            <w:vAlign w:val="center"/>
          </w:tcPr>
          <w:p w:rsidR="009B15A1" w:rsidRPr="00600869" w:rsidRDefault="009B15A1" w:rsidP="009B1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EAtHC17 Decision 27</w:t>
            </w:r>
          </w:p>
        </w:tc>
        <w:tc>
          <w:tcPr>
            <w:tcW w:w="6657" w:type="dxa"/>
            <w:vAlign w:val="center"/>
          </w:tcPr>
          <w:p w:rsidR="009B15A1" w:rsidRPr="002A0610" w:rsidRDefault="0051749F" w:rsidP="009B15A1">
            <w:pPr>
              <w:rPr>
                <w:rFonts w:ascii="Arial" w:hAnsi="Arial" w:cs="Arial"/>
              </w:rPr>
            </w:pPr>
            <w:proofErr w:type="spellStart"/>
            <w:r w:rsidRPr="002A0610">
              <w:rPr>
                <w:rFonts w:ascii="Arial" w:hAnsi="Arial" w:cs="Arial"/>
              </w:rPr>
              <w:t>Approve</w:t>
            </w:r>
            <w:proofErr w:type="spellEnd"/>
            <w:r w:rsidRPr="002A0610">
              <w:rPr>
                <w:rFonts w:ascii="Arial" w:hAnsi="Arial" w:cs="Arial"/>
              </w:rPr>
              <w:t xml:space="preserve"> the </w:t>
            </w:r>
            <w:proofErr w:type="spellStart"/>
            <w:r w:rsidRPr="002A0610">
              <w:rPr>
                <w:rFonts w:ascii="Arial" w:hAnsi="Arial" w:cs="Arial"/>
              </w:rPr>
              <w:t>list</w:t>
            </w:r>
            <w:proofErr w:type="spellEnd"/>
            <w:r w:rsidRPr="002A0610">
              <w:rPr>
                <w:rFonts w:ascii="Arial" w:hAnsi="Arial" w:cs="Arial"/>
              </w:rPr>
              <w:t xml:space="preserve"> of </w:t>
            </w:r>
            <w:proofErr w:type="spellStart"/>
            <w:r w:rsidRPr="002A0610">
              <w:rPr>
                <w:rFonts w:ascii="Arial" w:hAnsi="Arial" w:cs="Arial"/>
              </w:rPr>
              <w:t>Decisions</w:t>
            </w:r>
            <w:proofErr w:type="spellEnd"/>
          </w:p>
          <w:p w:rsidR="0051749F" w:rsidRPr="0051749F" w:rsidRDefault="0051749F" w:rsidP="009B15A1">
            <w:pPr>
              <w:rPr>
                <w:rFonts w:ascii="Arial" w:hAnsi="Arial" w:cs="Arial"/>
                <w:i/>
              </w:rPr>
            </w:pPr>
            <w:r w:rsidRPr="0051749F">
              <w:rPr>
                <w:rFonts w:ascii="Arial" w:hAnsi="Arial" w:cs="Arial"/>
                <w:i/>
              </w:rPr>
              <w:t>Approuver la liste de D</w:t>
            </w:r>
            <w:r>
              <w:rPr>
                <w:rFonts w:ascii="Arial" w:hAnsi="Arial" w:cs="Arial"/>
                <w:i/>
              </w:rPr>
              <w:t>écisions</w:t>
            </w:r>
          </w:p>
        </w:tc>
      </w:tr>
      <w:tr w:rsidR="009B15A1" w:rsidRPr="009B15A1" w:rsidTr="00BE3F7A">
        <w:tc>
          <w:tcPr>
            <w:tcW w:w="2405" w:type="dxa"/>
            <w:vAlign w:val="center"/>
          </w:tcPr>
          <w:p w:rsidR="009B15A1" w:rsidRPr="00600869" w:rsidRDefault="009B15A1" w:rsidP="009B1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EAtHC17 Decision 28</w:t>
            </w:r>
          </w:p>
        </w:tc>
        <w:tc>
          <w:tcPr>
            <w:tcW w:w="6657" w:type="dxa"/>
            <w:vAlign w:val="center"/>
          </w:tcPr>
          <w:p w:rsidR="0051749F" w:rsidRPr="00EE4243" w:rsidRDefault="0051749F" w:rsidP="0051749F">
            <w:pPr>
              <w:rPr>
                <w:rFonts w:ascii="Arial" w:hAnsi="Arial" w:cs="Arial"/>
              </w:rPr>
            </w:pPr>
            <w:proofErr w:type="spellStart"/>
            <w:r w:rsidRPr="00EE4243">
              <w:rPr>
                <w:rFonts w:ascii="Arial" w:hAnsi="Arial" w:cs="Arial"/>
              </w:rPr>
              <w:t>Approve</w:t>
            </w:r>
            <w:proofErr w:type="spellEnd"/>
            <w:r w:rsidRPr="00EE4243">
              <w:rPr>
                <w:rFonts w:ascii="Arial" w:hAnsi="Arial" w:cs="Arial"/>
              </w:rPr>
              <w:t xml:space="preserve"> the </w:t>
            </w:r>
            <w:proofErr w:type="spellStart"/>
            <w:r w:rsidRPr="00EE4243">
              <w:rPr>
                <w:rFonts w:ascii="Arial" w:hAnsi="Arial" w:cs="Arial"/>
              </w:rPr>
              <w:t>list</w:t>
            </w:r>
            <w:proofErr w:type="spellEnd"/>
            <w:r w:rsidRPr="00EE4243">
              <w:rPr>
                <w:rFonts w:ascii="Arial" w:hAnsi="Arial" w:cs="Arial"/>
              </w:rPr>
              <w:t xml:space="preserve"> of </w:t>
            </w:r>
            <w:proofErr w:type="spellStart"/>
            <w:r w:rsidRPr="00EE4243">
              <w:rPr>
                <w:rFonts w:ascii="Arial" w:hAnsi="Arial" w:cs="Arial"/>
              </w:rPr>
              <w:t>Recommendations</w:t>
            </w:r>
            <w:proofErr w:type="spellEnd"/>
          </w:p>
          <w:p w:rsidR="009B15A1" w:rsidRPr="0051749F" w:rsidRDefault="0051749F" w:rsidP="0051749F">
            <w:pPr>
              <w:rPr>
                <w:rFonts w:ascii="Arial" w:hAnsi="Arial" w:cs="Arial"/>
              </w:rPr>
            </w:pPr>
            <w:r w:rsidRPr="0051749F">
              <w:rPr>
                <w:rFonts w:ascii="Arial" w:hAnsi="Arial" w:cs="Arial"/>
                <w:i/>
              </w:rPr>
              <w:t xml:space="preserve">Approuver la liste de </w:t>
            </w:r>
            <w:r>
              <w:rPr>
                <w:rFonts w:ascii="Arial" w:hAnsi="Arial" w:cs="Arial"/>
                <w:i/>
              </w:rPr>
              <w:t>Recommandations</w:t>
            </w:r>
          </w:p>
        </w:tc>
      </w:tr>
      <w:tr w:rsidR="009B15A1" w:rsidRPr="009B15A1" w:rsidTr="00BE3F7A">
        <w:tc>
          <w:tcPr>
            <w:tcW w:w="2405" w:type="dxa"/>
            <w:vAlign w:val="center"/>
          </w:tcPr>
          <w:p w:rsidR="009B15A1" w:rsidRPr="00600869" w:rsidRDefault="009B15A1" w:rsidP="009B1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EAtHC17 Decision 29</w:t>
            </w:r>
          </w:p>
        </w:tc>
        <w:tc>
          <w:tcPr>
            <w:tcW w:w="6657" w:type="dxa"/>
            <w:vAlign w:val="center"/>
          </w:tcPr>
          <w:p w:rsidR="00EE4243" w:rsidRPr="00EE4243" w:rsidRDefault="00EE4243" w:rsidP="00EE4243">
            <w:pPr>
              <w:rPr>
                <w:rFonts w:ascii="Arial" w:hAnsi="Arial" w:cs="Arial"/>
                <w:lang w:val="en-US"/>
              </w:rPr>
            </w:pPr>
            <w:r w:rsidRPr="00EE4243">
              <w:rPr>
                <w:rFonts w:ascii="Arial" w:hAnsi="Arial" w:cs="Arial"/>
                <w:lang w:val="en-US"/>
              </w:rPr>
              <w:t>Approve the list of Ac</w:t>
            </w:r>
            <w:r>
              <w:rPr>
                <w:rFonts w:ascii="Arial" w:hAnsi="Arial" w:cs="Arial"/>
                <w:lang w:val="en-US"/>
              </w:rPr>
              <w:t>tions</w:t>
            </w:r>
          </w:p>
          <w:p w:rsidR="009B15A1" w:rsidRPr="00EE4243" w:rsidRDefault="00EE4243" w:rsidP="00EE4243">
            <w:pPr>
              <w:rPr>
                <w:rFonts w:ascii="Arial" w:hAnsi="Arial" w:cs="Arial"/>
              </w:rPr>
            </w:pPr>
            <w:r w:rsidRPr="0051749F">
              <w:rPr>
                <w:rFonts w:ascii="Arial" w:hAnsi="Arial" w:cs="Arial"/>
                <w:i/>
              </w:rPr>
              <w:t>Approuver la liste d</w:t>
            </w:r>
            <w:r>
              <w:rPr>
                <w:rFonts w:ascii="Arial" w:hAnsi="Arial" w:cs="Arial"/>
                <w:i/>
              </w:rPr>
              <w:t>’Actions</w:t>
            </w:r>
          </w:p>
        </w:tc>
      </w:tr>
      <w:tr w:rsidR="009B15A1" w:rsidRPr="00D56FAB" w:rsidTr="00BE3F7A">
        <w:tc>
          <w:tcPr>
            <w:tcW w:w="2405" w:type="dxa"/>
            <w:vAlign w:val="center"/>
          </w:tcPr>
          <w:p w:rsidR="009B15A1" w:rsidRPr="00600869" w:rsidRDefault="009B15A1" w:rsidP="009B1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EAtHC17 Decision 30</w:t>
            </w:r>
          </w:p>
        </w:tc>
        <w:tc>
          <w:tcPr>
            <w:tcW w:w="6657" w:type="dxa"/>
            <w:vAlign w:val="center"/>
          </w:tcPr>
          <w:p w:rsidR="009B15A1" w:rsidRDefault="00D56FAB" w:rsidP="009B15A1">
            <w:pPr>
              <w:rPr>
                <w:rFonts w:ascii="Arial" w:hAnsi="Arial" w:cs="Arial"/>
                <w:lang w:val="en-US"/>
              </w:rPr>
            </w:pPr>
            <w:r w:rsidRPr="00D56FAB">
              <w:rPr>
                <w:rFonts w:ascii="Arial" w:hAnsi="Arial" w:cs="Arial"/>
                <w:lang w:val="en-US"/>
              </w:rPr>
              <w:t>EAtHC Chair is RAdm Laurent Kerléguer</w:t>
            </w:r>
          </w:p>
          <w:p w:rsidR="00D56FAB" w:rsidRPr="00D56FAB" w:rsidRDefault="00D56FAB" w:rsidP="009B15A1">
            <w:pPr>
              <w:rPr>
                <w:rFonts w:ascii="Arial" w:hAnsi="Arial" w:cs="Arial"/>
                <w:i/>
              </w:rPr>
            </w:pPr>
            <w:r w:rsidRPr="00D56FAB">
              <w:rPr>
                <w:rFonts w:ascii="Arial" w:hAnsi="Arial" w:cs="Arial"/>
                <w:i/>
              </w:rPr>
              <w:t xml:space="preserve">Le </w:t>
            </w:r>
            <w:r w:rsidR="00066706">
              <w:rPr>
                <w:rFonts w:ascii="Arial" w:hAnsi="Arial" w:cs="Arial"/>
                <w:i/>
              </w:rPr>
              <w:t>P</w:t>
            </w:r>
            <w:r w:rsidRPr="00D56FAB">
              <w:rPr>
                <w:rFonts w:ascii="Arial" w:hAnsi="Arial" w:cs="Arial"/>
                <w:i/>
              </w:rPr>
              <w:t>résident de la CHAtO est l’IGA Laurent Kerléguer</w:t>
            </w:r>
          </w:p>
        </w:tc>
      </w:tr>
      <w:tr w:rsidR="009B15A1" w:rsidRPr="00066706" w:rsidTr="00BE3F7A">
        <w:tc>
          <w:tcPr>
            <w:tcW w:w="2405" w:type="dxa"/>
            <w:vAlign w:val="center"/>
          </w:tcPr>
          <w:p w:rsidR="009B15A1" w:rsidRPr="00600869" w:rsidRDefault="009B15A1" w:rsidP="009B1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EAtHC17 Decision 31</w:t>
            </w:r>
          </w:p>
        </w:tc>
        <w:tc>
          <w:tcPr>
            <w:tcW w:w="6657" w:type="dxa"/>
            <w:vAlign w:val="center"/>
          </w:tcPr>
          <w:p w:rsidR="009B15A1" w:rsidRDefault="00066706" w:rsidP="009B15A1">
            <w:pPr>
              <w:rPr>
                <w:rFonts w:ascii="Arial" w:hAnsi="Arial" w:cs="Arial"/>
                <w:lang w:val="en-US"/>
              </w:rPr>
            </w:pPr>
            <w:r w:rsidRPr="00066706">
              <w:rPr>
                <w:rFonts w:ascii="Arial" w:hAnsi="Arial" w:cs="Arial"/>
                <w:lang w:val="en-US"/>
              </w:rPr>
              <w:t xml:space="preserve">EAtHC Vice Chair is Captain Mostafa </w:t>
            </w:r>
            <w:proofErr w:type="spellStart"/>
            <w:r w:rsidRPr="00066706">
              <w:rPr>
                <w:rFonts w:ascii="Arial" w:hAnsi="Arial" w:cs="Arial"/>
                <w:lang w:val="en-US"/>
              </w:rPr>
              <w:t>Tafrhy</w:t>
            </w:r>
            <w:proofErr w:type="spellEnd"/>
          </w:p>
          <w:p w:rsidR="00066706" w:rsidRPr="00066706" w:rsidRDefault="00066706" w:rsidP="009B15A1">
            <w:pPr>
              <w:rPr>
                <w:rFonts w:ascii="Arial" w:hAnsi="Arial" w:cs="Arial"/>
                <w:i/>
              </w:rPr>
            </w:pPr>
            <w:r w:rsidRPr="00066706">
              <w:rPr>
                <w:rFonts w:ascii="Arial" w:hAnsi="Arial" w:cs="Arial"/>
                <w:i/>
              </w:rPr>
              <w:t>Le Vice-Président de la CHAtO</w:t>
            </w:r>
            <w:r>
              <w:rPr>
                <w:rFonts w:ascii="Arial" w:hAnsi="Arial" w:cs="Arial"/>
                <w:i/>
              </w:rPr>
              <w:t xml:space="preserve"> est le Capitaine de Vaisseau Mostafa </w:t>
            </w:r>
            <w:proofErr w:type="spellStart"/>
            <w:r>
              <w:rPr>
                <w:rFonts w:ascii="Arial" w:hAnsi="Arial" w:cs="Arial"/>
                <w:i/>
              </w:rPr>
              <w:t>Tafrhy</w:t>
            </w:r>
            <w:proofErr w:type="spellEnd"/>
          </w:p>
        </w:tc>
      </w:tr>
    </w:tbl>
    <w:p w:rsidR="004765A8" w:rsidRPr="00066706" w:rsidRDefault="004765A8" w:rsidP="00B304D6">
      <w:pPr>
        <w:rPr>
          <w:rFonts w:ascii="Arial" w:hAnsi="Arial" w:cs="Arial"/>
        </w:rPr>
      </w:pPr>
    </w:p>
    <w:sectPr w:rsidR="004765A8" w:rsidRPr="00066706" w:rsidSect="00B304D6">
      <w:headerReference w:type="default" r:id="rId7"/>
      <w:footerReference w:type="default" r:id="rId8"/>
      <w:pgSz w:w="11906" w:h="16838"/>
      <w:pgMar w:top="1829" w:right="1417" w:bottom="993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E20" w:rsidRDefault="001F4E20" w:rsidP="00D5702E">
      <w:pPr>
        <w:spacing w:after="0" w:line="240" w:lineRule="auto"/>
      </w:pPr>
      <w:r>
        <w:separator/>
      </w:r>
    </w:p>
  </w:endnote>
  <w:endnote w:type="continuationSeparator" w:id="0">
    <w:p w:rsidR="001F4E20" w:rsidRDefault="001F4E20" w:rsidP="00D5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056004"/>
      <w:docPartObj>
        <w:docPartGallery w:val="Page Numbers (Bottom of Page)"/>
        <w:docPartUnique/>
      </w:docPartObj>
    </w:sdtPr>
    <w:sdtEndPr/>
    <w:sdtContent>
      <w:p w:rsidR="00022464" w:rsidRDefault="0002246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22464" w:rsidRDefault="000224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E20" w:rsidRDefault="001F4E20" w:rsidP="00D5702E">
      <w:pPr>
        <w:spacing w:after="0" w:line="240" w:lineRule="auto"/>
      </w:pPr>
      <w:r>
        <w:separator/>
      </w:r>
    </w:p>
  </w:footnote>
  <w:footnote w:type="continuationSeparator" w:id="0">
    <w:p w:rsidR="001F4E20" w:rsidRDefault="001F4E20" w:rsidP="00D57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02E" w:rsidRDefault="00A030E1" w:rsidP="00D5702E">
    <w:pPr>
      <w:pStyle w:val="En-tte"/>
      <w:ind w:left="-567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413385</wp:posOffset>
              </wp:positionH>
              <wp:positionV relativeFrom="paragraph">
                <wp:posOffset>-182880</wp:posOffset>
              </wp:positionV>
              <wp:extent cx="5124450" cy="1404620"/>
              <wp:effectExtent l="0" t="0" r="0" b="381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30E1" w:rsidRPr="00A030E1" w:rsidRDefault="00A030E1" w:rsidP="00A030E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A030E1">
                            <w:rPr>
                              <w:rFonts w:ascii="Arial" w:hAnsi="Arial" w:cs="Arial"/>
                              <w:b/>
                            </w:rPr>
                            <w:t>EASTERN ATLANTIC HYDROGRAPHIC COMMISSION</w:t>
                          </w:r>
                        </w:p>
                        <w:p w:rsidR="00A030E1" w:rsidRPr="00A030E1" w:rsidRDefault="00A030E1" w:rsidP="00A030E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 w:rsidRPr="00A030E1">
                            <w:rPr>
                              <w:rFonts w:ascii="Arial" w:hAnsi="Arial" w:cs="Arial"/>
                              <w:b/>
                              <w:i/>
                            </w:rPr>
                            <w:t>COMMISSION HYDROGRAPHIQUE DE L’ATLANTIQUE ORIENTAL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2.55pt;margin-top:-14.4pt;width:403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" filled="f" stroked="f">
              <v:textbox style="mso-fit-shape-to-text:t">
                <w:txbxContent>
                  <w:p w:rsidR="00A030E1" w:rsidRPr="00A030E1" w:rsidRDefault="00A030E1" w:rsidP="00A030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A030E1">
                      <w:rPr>
                        <w:rFonts w:ascii="Arial" w:hAnsi="Arial" w:cs="Arial"/>
                        <w:b/>
                      </w:rPr>
                      <w:t>EASTERN ATLANTIC HYDROGRAPHIC COMMISSION</w:t>
                    </w:r>
                  </w:p>
                  <w:p w:rsidR="00A030E1" w:rsidRPr="00A030E1" w:rsidRDefault="00A030E1" w:rsidP="00A030E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i/>
                      </w:rPr>
                    </w:pPr>
                    <w:r w:rsidRPr="00A030E1">
                      <w:rPr>
                        <w:rFonts w:ascii="Arial" w:hAnsi="Arial" w:cs="Arial"/>
                        <w:b/>
                        <w:i/>
                      </w:rPr>
                      <w:t>COMMISSION HYDROGRAPHIQUE DE L’ATLANTIQUE ORIENTAL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E209D">
      <w:rPr>
        <w:rFonts w:ascii="Arial" w:hAnsi="Arial" w:cs="Arial"/>
        <w:b/>
        <w:bCs/>
        <w:noProof/>
        <w:sz w:val="24"/>
        <w:szCs w:val="24"/>
        <w:lang w:val="pt-BR" w:eastAsia="pt-BR"/>
      </w:rPr>
      <w:drawing>
        <wp:anchor distT="0" distB="0" distL="114300" distR="114300" simplePos="0" relativeHeight="251661312" behindDoc="0" locked="0" layoutInCell="1" allowOverlap="1" wp14:anchorId="2E6C8E0B">
          <wp:simplePos x="0" y="0"/>
          <wp:positionH relativeFrom="column">
            <wp:posOffset>-737869</wp:posOffset>
          </wp:positionH>
          <wp:positionV relativeFrom="paragraph">
            <wp:posOffset>-106680</wp:posOffset>
          </wp:positionV>
          <wp:extent cx="1219200" cy="407173"/>
          <wp:effectExtent l="0" t="0" r="0" b="0"/>
          <wp:wrapNone/>
          <wp:docPr id="4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HO_Logo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883" cy="414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3BB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posOffset>-97790</wp:posOffset>
          </wp:positionH>
          <wp:positionV relativeFrom="paragraph">
            <wp:posOffset>-240030</wp:posOffset>
          </wp:positionV>
          <wp:extent cx="768286" cy="785247"/>
          <wp:effectExtent l="0" t="0" r="0" b="0"/>
          <wp:wrapNone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HAt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86" cy="785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2E"/>
    <w:rsid w:val="00022464"/>
    <w:rsid w:val="00041A32"/>
    <w:rsid w:val="00066706"/>
    <w:rsid w:val="00077066"/>
    <w:rsid w:val="000E59AE"/>
    <w:rsid w:val="00126D51"/>
    <w:rsid w:val="001A02F8"/>
    <w:rsid w:val="001B1875"/>
    <w:rsid w:val="001B6B3A"/>
    <w:rsid w:val="001F4E20"/>
    <w:rsid w:val="002835F5"/>
    <w:rsid w:val="00291990"/>
    <w:rsid w:val="002A0610"/>
    <w:rsid w:val="002C3D82"/>
    <w:rsid w:val="002C5176"/>
    <w:rsid w:val="002D24A0"/>
    <w:rsid w:val="002F56D8"/>
    <w:rsid w:val="003303A7"/>
    <w:rsid w:val="00356961"/>
    <w:rsid w:val="0036645E"/>
    <w:rsid w:val="004117CA"/>
    <w:rsid w:val="00423A33"/>
    <w:rsid w:val="00441C0F"/>
    <w:rsid w:val="004765A8"/>
    <w:rsid w:val="004C3463"/>
    <w:rsid w:val="0051749F"/>
    <w:rsid w:val="00522244"/>
    <w:rsid w:val="005521F9"/>
    <w:rsid w:val="00566B94"/>
    <w:rsid w:val="005D507A"/>
    <w:rsid w:val="00600869"/>
    <w:rsid w:val="00626407"/>
    <w:rsid w:val="0070578F"/>
    <w:rsid w:val="007422DD"/>
    <w:rsid w:val="00870948"/>
    <w:rsid w:val="00884022"/>
    <w:rsid w:val="008F0168"/>
    <w:rsid w:val="008F1ECD"/>
    <w:rsid w:val="00906BED"/>
    <w:rsid w:val="00907D9F"/>
    <w:rsid w:val="009779C0"/>
    <w:rsid w:val="009B15A1"/>
    <w:rsid w:val="009F436E"/>
    <w:rsid w:val="00A030E1"/>
    <w:rsid w:val="00A877B0"/>
    <w:rsid w:val="00B304D6"/>
    <w:rsid w:val="00B40211"/>
    <w:rsid w:val="00B75952"/>
    <w:rsid w:val="00BD108E"/>
    <w:rsid w:val="00BD3F49"/>
    <w:rsid w:val="00BD577A"/>
    <w:rsid w:val="00BE3F7A"/>
    <w:rsid w:val="00C34F8A"/>
    <w:rsid w:val="00C52862"/>
    <w:rsid w:val="00C82E34"/>
    <w:rsid w:val="00D56FAB"/>
    <w:rsid w:val="00D5702E"/>
    <w:rsid w:val="00D572B0"/>
    <w:rsid w:val="00D5754D"/>
    <w:rsid w:val="00D715D8"/>
    <w:rsid w:val="00E63D04"/>
    <w:rsid w:val="00EA3BB8"/>
    <w:rsid w:val="00EE4243"/>
    <w:rsid w:val="00F02FCD"/>
    <w:rsid w:val="00FB7334"/>
    <w:rsid w:val="00FC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DDE90"/>
  <w15:chartTrackingRefBased/>
  <w15:docId w15:val="{64925611-73A0-4774-A980-756B8EF6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702E"/>
  </w:style>
  <w:style w:type="paragraph" w:styleId="Pieddepage">
    <w:name w:val="footer"/>
    <w:basedOn w:val="Normal"/>
    <w:link w:val="PieddepageCar"/>
    <w:uiPriority w:val="99"/>
    <w:unhideWhenUsed/>
    <w:rsid w:val="00D5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702E"/>
  </w:style>
  <w:style w:type="table" w:styleId="Grilledutableau">
    <w:name w:val="Table Grid"/>
    <w:basedOn w:val="TableauNormal"/>
    <w:uiPriority w:val="39"/>
    <w:rsid w:val="00BE3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6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ADFD2-DE6B-4825-9B72-E5A48B2D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765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Shom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Smeeckaert, DMI/REX</dc:creator>
  <cp:keywords/>
  <dc:description/>
  <cp:lastModifiedBy>Julien Smeeckaert, DMI/REX</cp:lastModifiedBy>
  <cp:revision>52</cp:revision>
  <dcterms:created xsi:type="dcterms:W3CDTF">2023-04-17T09:08:00Z</dcterms:created>
  <dcterms:modified xsi:type="dcterms:W3CDTF">2023-04-19T08:05:00Z</dcterms:modified>
</cp:coreProperties>
</file>