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A3308" w14:textId="77777777" w:rsidR="007D2593" w:rsidRPr="007D2593" w:rsidRDefault="007D2593" w:rsidP="007D2593">
      <w:pPr>
        <w:jc w:val="center"/>
        <w:rPr>
          <w:rFonts w:cs="Arial"/>
          <w:b/>
          <w:u w:val="single"/>
        </w:rPr>
      </w:pPr>
      <w:r w:rsidRPr="007D2593">
        <w:rPr>
          <w:rFonts w:cs="Arial"/>
          <w:b/>
          <w:u w:val="single"/>
        </w:rPr>
        <w:t>20</w:t>
      </w:r>
      <w:r w:rsidRPr="007D2593">
        <w:rPr>
          <w:rFonts w:cs="Arial"/>
          <w:b/>
          <w:u w:val="single"/>
          <w:vertAlign w:val="superscript"/>
        </w:rPr>
        <w:t>th</w:t>
      </w:r>
      <w:r w:rsidRPr="007D2593">
        <w:rPr>
          <w:rFonts w:cs="Arial"/>
          <w:b/>
          <w:u w:val="single"/>
        </w:rPr>
        <w:t xml:space="preserve"> Conference of Mediterranean and Black Seas Hydrographic Commission (MBSHC)</w:t>
      </w:r>
    </w:p>
    <w:p w14:paraId="3BA49971" w14:textId="73065D91" w:rsidR="007D2593" w:rsidRPr="007D2593" w:rsidRDefault="0085494D" w:rsidP="007D2593">
      <w:pPr>
        <w:jc w:val="center"/>
        <w:rPr>
          <w:rFonts w:cs="Arial"/>
          <w:b/>
          <w:u w:val="single"/>
        </w:rPr>
      </w:pPr>
      <w:r>
        <w:rPr>
          <w:rFonts w:cs="Arial"/>
          <w:b/>
          <w:u w:val="single"/>
        </w:rPr>
        <w:t>Cadiz, Spain, 11-13 June 2019</w:t>
      </w:r>
    </w:p>
    <w:p w14:paraId="349F4E3B" w14:textId="77777777" w:rsidR="00CF5FB4" w:rsidRPr="007D2593" w:rsidRDefault="00CF5FB4" w:rsidP="00986C0D"/>
    <w:p w14:paraId="4CE4FB6D" w14:textId="2AB0565D" w:rsidR="0085494D" w:rsidRDefault="009047B8" w:rsidP="005701FE">
      <w:pPr>
        <w:jc w:val="center"/>
        <w:rPr>
          <w:b/>
          <w:iCs/>
        </w:rPr>
      </w:pPr>
      <w:r w:rsidRPr="00DC363C">
        <w:rPr>
          <w:b/>
          <w:iCs/>
        </w:rPr>
        <w:t xml:space="preserve">LIST OF ACTIONS &amp; DECISIONS - RELEVÉ DES </w:t>
      </w:r>
      <w:proofErr w:type="gramStart"/>
      <w:r w:rsidRPr="00DC363C">
        <w:rPr>
          <w:b/>
          <w:iCs/>
        </w:rPr>
        <w:t>ACTIONS  &amp;</w:t>
      </w:r>
      <w:proofErr w:type="gramEnd"/>
      <w:r w:rsidRPr="00DC363C">
        <w:rPr>
          <w:b/>
          <w:iCs/>
        </w:rPr>
        <w:t xml:space="preserve"> DÉCISIONS</w:t>
      </w:r>
      <w:r w:rsidR="00577C94" w:rsidRPr="00DC363C">
        <w:rPr>
          <w:b/>
          <w:iCs/>
        </w:rPr>
        <w:br/>
        <w:t xml:space="preserve">(as </w:t>
      </w:r>
      <w:r w:rsidR="00577C94" w:rsidRPr="00DC363C">
        <w:rPr>
          <w:b/>
          <w:iCs/>
          <w:color w:val="000000" w:themeColor="text1"/>
        </w:rPr>
        <w:t xml:space="preserve">of </w:t>
      </w:r>
      <w:r w:rsidR="0085494D">
        <w:rPr>
          <w:b/>
          <w:iCs/>
          <w:color w:val="FF0000"/>
        </w:rPr>
        <w:t>1</w:t>
      </w:r>
      <w:r w:rsidR="005864A0">
        <w:rPr>
          <w:b/>
          <w:iCs/>
          <w:color w:val="FF0000"/>
        </w:rPr>
        <w:t>3</w:t>
      </w:r>
      <w:r w:rsidR="0085494D">
        <w:rPr>
          <w:b/>
          <w:iCs/>
          <w:color w:val="FF0000"/>
        </w:rPr>
        <w:t xml:space="preserve"> June 2019</w:t>
      </w:r>
      <w:r w:rsidR="00577C94" w:rsidRPr="00DC363C">
        <w:rPr>
          <w:b/>
          <w:iCs/>
        </w:rPr>
        <w:t>)</w:t>
      </w:r>
    </w:p>
    <w:p w14:paraId="52AADA90" w14:textId="77777777" w:rsidR="005701FE" w:rsidRPr="005701FE" w:rsidRDefault="005701FE" w:rsidP="005701FE">
      <w:pPr>
        <w:jc w:val="center"/>
        <w:rPr>
          <w:b/>
          <w:i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4818"/>
        <w:gridCol w:w="1390"/>
        <w:gridCol w:w="1730"/>
      </w:tblGrid>
      <w:tr w:rsidR="0085494D" w:rsidRPr="007D2593" w14:paraId="10E07CA7" w14:textId="77777777" w:rsidTr="0099313D">
        <w:trPr>
          <w:trHeight w:val="20"/>
          <w:jc w:val="center"/>
        </w:trPr>
        <w:tc>
          <w:tcPr>
            <w:tcW w:w="1696" w:type="dxa"/>
            <w:tcBorders>
              <w:bottom w:val="single" w:sz="4" w:space="0" w:color="000000"/>
            </w:tcBorders>
            <w:shd w:val="clear" w:color="auto" w:fill="C0C0C0"/>
            <w:vAlign w:val="center"/>
          </w:tcPr>
          <w:p w14:paraId="078E5FCA" w14:textId="77777777" w:rsidR="0085494D" w:rsidRPr="007D2593" w:rsidRDefault="0085494D" w:rsidP="006F1F33">
            <w:pPr>
              <w:spacing w:after="0"/>
              <w:jc w:val="center"/>
              <w:rPr>
                <w:b/>
                <w:bCs/>
                <w:highlight w:val="yellow"/>
              </w:rPr>
            </w:pPr>
            <w:r w:rsidRPr="009A16C3">
              <w:rPr>
                <w:b/>
                <w:bCs/>
              </w:rPr>
              <w:t>Action No</w:t>
            </w:r>
          </w:p>
        </w:tc>
        <w:tc>
          <w:tcPr>
            <w:tcW w:w="4818" w:type="dxa"/>
            <w:tcBorders>
              <w:bottom w:val="single" w:sz="4" w:space="0" w:color="000000"/>
            </w:tcBorders>
            <w:shd w:val="clear" w:color="auto" w:fill="C0C0C0"/>
            <w:vAlign w:val="center"/>
          </w:tcPr>
          <w:p w14:paraId="7BFD7E07" w14:textId="77777777" w:rsidR="0085494D" w:rsidRPr="007D2593" w:rsidRDefault="0085494D" w:rsidP="006F1F33">
            <w:pPr>
              <w:spacing w:after="0"/>
              <w:jc w:val="center"/>
              <w:rPr>
                <w:b/>
                <w:bCs/>
              </w:rPr>
            </w:pPr>
            <w:r w:rsidRPr="007D2593">
              <w:rPr>
                <w:b/>
                <w:bCs/>
              </w:rPr>
              <w:t>Action</w:t>
            </w:r>
          </w:p>
        </w:tc>
        <w:tc>
          <w:tcPr>
            <w:tcW w:w="1390" w:type="dxa"/>
            <w:tcBorders>
              <w:bottom w:val="single" w:sz="4" w:space="0" w:color="000000"/>
            </w:tcBorders>
            <w:shd w:val="clear" w:color="auto" w:fill="C0C0C0"/>
            <w:vAlign w:val="center"/>
          </w:tcPr>
          <w:p w14:paraId="46D8D4D8" w14:textId="77777777" w:rsidR="0085494D" w:rsidRPr="007D2593" w:rsidRDefault="0085494D" w:rsidP="006F1F33">
            <w:pPr>
              <w:spacing w:after="0"/>
              <w:jc w:val="center"/>
              <w:rPr>
                <w:b/>
                <w:bCs/>
              </w:rPr>
            </w:pPr>
            <w:r w:rsidRPr="007D2593">
              <w:rPr>
                <w:b/>
                <w:bCs/>
              </w:rPr>
              <w:t>Responsible</w:t>
            </w:r>
          </w:p>
        </w:tc>
        <w:tc>
          <w:tcPr>
            <w:tcW w:w="1730" w:type="dxa"/>
            <w:tcBorders>
              <w:bottom w:val="single" w:sz="4" w:space="0" w:color="000000"/>
            </w:tcBorders>
            <w:shd w:val="clear" w:color="auto" w:fill="C0C0C0"/>
            <w:vAlign w:val="center"/>
          </w:tcPr>
          <w:p w14:paraId="076A3784" w14:textId="77777777" w:rsidR="0085494D" w:rsidRPr="007D2593" w:rsidRDefault="0085494D" w:rsidP="006F1F33">
            <w:pPr>
              <w:spacing w:after="0"/>
              <w:jc w:val="center"/>
              <w:rPr>
                <w:b/>
                <w:bCs/>
              </w:rPr>
            </w:pPr>
            <w:r w:rsidRPr="007D2593">
              <w:rPr>
                <w:b/>
                <w:bCs/>
              </w:rPr>
              <w:t>Deadline</w:t>
            </w:r>
          </w:p>
        </w:tc>
      </w:tr>
      <w:tr w:rsidR="0085494D" w:rsidRPr="007D2593" w14:paraId="02142378" w14:textId="77777777" w:rsidTr="0099313D">
        <w:trPr>
          <w:trHeight w:val="20"/>
          <w:jc w:val="center"/>
        </w:trPr>
        <w:tc>
          <w:tcPr>
            <w:tcW w:w="1696" w:type="dxa"/>
            <w:shd w:val="clear" w:color="000000" w:fill="auto"/>
            <w:vAlign w:val="center"/>
          </w:tcPr>
          <w:p w14:paraId="0F1AC0E7" w14:textId="61471F94" w:rsidR="0085494D" w:rsidRPr="007D2593" w:rsidRDefault="0085494D" w:rsidP="00DA6DEB">
            <w:pPr>
              <w:spacing w:before="120" w:after="120" w:line="240" w:lineRule="auto"/>
              <w:jc w:val="center"/>
              <w:rPr>
                <w:b/>
                <w:bCs/>
                <w:highlight w:val="yellow"/>
              </w:rPr>
            </w:pPr>
            <w:r>
              <w:rPr>
                <w:b/>
                <w:bCs/>
              </w:rPr>
              <w:t>MBSHC21</w:t>
            </w:r>
            <w:r w:rsidRPr="009A16C3">
              <w:rPr>
                <w:b/>
                <w:bCs/>
              </w:rPr>
              <w:t>/</w:t>
            </w:r>
            <w:r w:rsidR="00AF6275">
              <w:rPr>
                <w:b/>
                <w:bCs/>
              </w:rPr>
              <w:t>01</w:t>
            </w:r>
          </w:p>
        </w:tc>
        <w:tc>
          <w:tcPr>
            <w:tcW w:w="4818" w:type="dxa"/>
            <w:shd w:val="clear" w:color="000000" w:fill="auto"/>
            <w:vAlign w:val="center"/>
          </w:tcPr>
          <w:p w14:paraId="3A0E1213" w14:textId="1BF780B1" w:rsidR="005701FE" w:rsidRPr="005701FE" w:rsidRDefault="005701FE" w:rsidP="00744155">
            <w:pPr>
              <w:spacing w:before="120" w:after="120" w:line="240" w:lineRule="auto"/>
              <w:jc w:val="both"/>
              <w:rPr>
                <w:rFonts w:cs="Arial"/>
                <w:lang w:val="fr-FR"/>
              </w:rPr>
            </w:pPr>
            <w:proofErr w:type="spellStart"/>
            <w:r>
              <w:rPr>
                <w:rFonts w:cs="Arial"/>
                <w:lang w:val="fr-FR"/>
              </w:rPr>
              <w:t>Member</w:t>
            </w:r>
            <w:proofErr w:type="spellEnd"/>
            <w:r>
              <w:rPr>
                <w:rFonts w:cs="Arial"/>
                <w:lang w:val="fr-FR"/>
              </w:rPr>
              <w:t xml:space="preserve"> States </w:t>
            </w:r>
            <w:proofErr w:type="spellStart"/>
            <w:r>
              <w:rPr>
                <w:rFonts w:cs="Arial"/>
                <w:lang w:val="fr-FR"/>
              </w:rPr>
              <w:t>who</w:t>
            </w:r>
            <w:proofErr w:type="spellEnd"/>
            <w:r>
              <w:rPr>
                <w:rFonts w:cs="Arial"/>
                <w:lang w:val="fr-FR"/>
              </w:rPr>
              <w:t xml:space="preserve"> </w:t>
            </w:r>
            <w:proofErr w:type="spellStart"/>
            <w:r>
              <w:rPr>
                <w:rFonts w:cs="Arial"/>
                <w:lang w:val="fr-FR"/>
              </w:rPr>
              <w:t>wish</w:t>
            </w:r>
            <w:proofErr w:type="spellEnd"/>
            <w:r>
              <w:rPr>
                <w:rFonts w:cs="Arial"/>
                <w:lang w:val="fr-FR"/>
              </w:rPr>
              <w:t xml:space="preserve"> to </w:t>
            </w:r>
            <w:proofErr w:type="spellStart"/>
            <w:r>
              <w:rPr>
                <w:rFonts w:cs="Arial"/>
                <w:lang w:val="fr-FR"/>
              </w:rPr>
              <w:t>apply</w:t>
            </w:r>
            <w:proofErr w:type="spellEnd"/>
            <w:r>
              <w:rPr>
                <w:rFonts w:cs="Arial"/>
                <w:lang w:val="fr-FR"/>
              </w:rPr>
              <w:t xml:space="preserve"> for Council participation to </w:t>
            </w:r>
            <w:proofErr w:type="spellStart"/>
            <w:r>
              <w:rPr>
                <w:rFonts w:cs="Arial"/>
                <w:lang w:val="fr-FR"/>
              </w:rPr>
              <w:t>submit</w:t>
            </w:r>
            <w:proofErr w:type="spellEnd"/>
            <w:r>
              <w:rPr>
                <w:rFonts w:cs="Arial"/>
                <w:lang w:val="fr-FR"/>
              </w:rPr>
              <w:t xml:space="preserve"> </w:t>
            </w:r>
            <w:proofErr w:type="spellStart"/>
            <w:r>
              <w:rPr>
                <w:rFonts w:cs="Arial"/>
                <w:lang w:val="fr-FR"/>
              </w:rPr>
              <w:t>their</w:t>
            </w:r>
            <w:proofErr w:type="spellEnd"/>
            <w:r>
              <w:rPr>
                <w:rFonts w:cs="Arial"/>
                <w:lang w:val="fr-FR"/>
              </w:rPr>
              <w:t xml:space="preserve"> application</w:t>
            </w:r>
            <w:r w:rsidR="00CB14D1">
              <w:rPr>
                <w:rFonts w:cs="Arial"/>
                <w:lang w:val="fr-FR"/>
              </w:rPr>
              <w:t xml:space="preserve"> (</w:t>
            </w:r>
            <w:proofErr w:type="spellStart"/>
            <w:r w:rsidR="00CB14D1">
              <w:rPr>
                <w:rFonts w:cs="Arial"/>
                <w:lang w:val="fr-FR"/>
              </w:rPr>
              <w:t>see</w:t>
            </w:r>
            <w:proofErr w:type="spellEnd"/>
            <w:r w:rsidR="00CB14D1">
              <w:rPr>
                <w:rFonts w:cs="Arial"/>
                <w:lang w:val="fr-FR"/>
              </w:rPr>
              <w:t xml:space="preserve"> </w:t>
            </w:r>
            <w:r>
              <w:rPr>
                <w:rFonts w:cs="Arial"/>
                <w:lang w:val="fr-FR"/>
              </w:rPr>
              <w:t xml:space="preserve">MBSHC </w:t>
            </w:r>
            <w:proofErr w:type="spellStart"/>
            <w:r>
              <w:rPr>
                <w:rFonts w:cs="Arial"/>
                <w:lang w:val="fr-FR"/>
              </w:rPr>
              <w:t>Statutes</w:t>
            </w:r>
            <w:proofErr w:type="spellEnd"/>
            <w:r w:rsidR="00DA6DEB">
              <w:rPr>
                <w:rFonts w:cs="Arial"/>
                <w:lang w:val="fr-FR"/>
              </w:rPr>
              <w:t xml:space="preserve"> </w:t>
            </w:r>
            <w:proofErr w:type="spellStart"/>
            <w:r w:rsidR="00DA6DEB">
              <w:rPr>
                <w:rFonts w:cs="Arial"/>
                <w:lang w:val="fr-FR"/>
              </w:rPr>
              <w:t>available</w:t>
            </w:r>
            <w:proofErr w:type="spellEnd"/>
            <w:r w:rsidR="00DA6DEB">
              <w:rPr>
                <w:rFonts w:cs="Arial"/>
                <w:lang w:val="fr-FR"/>
              </w:rPr>
              <w:t xml:space="preserve"> on the MBSHC web page</w:t>
            </w:r>
            <w:r w:rsidR="00CB14D1">
              <w:rPr>
                <w:rFonts w:cs="Arial"/>
                <w:lang w:val="fr-FR"/>
              </w:rPr>
              <w:t>)</w:t>
            </w:r>
            <w:r>
              <w:rPr>
                <w:rFonts w:cs="Arial"/>
                <w:lang w:val="fr-FR"/>
              </w:rPr>
              <w:t xml:space="preserve">. CL to </w:t>
            </w:r>
            <w:proofErr w:type="spellStart"/>
            <w:r>
              <w:rPr>
                <w:rFonts w:cs="Arial"/>
                <w:lang w:val="fr-FR"/>
              </w:rPr>
              <w:t>be</w:t>
            </w:r>
            <w:proofErr w:type="spellEnd"/>
            <w:r>
              <w:rPr>
                <w:rFonts w:cs="Arial"/>
                <w:lang w:val="fr-FR"/>
              </w:rPr>
              <w:t xml:space="preserve"> </w:t>
            </w:r>
            <w:proofErr w:type="spellStart"/>
            <w:r>
              <w:rPr>
                <w:rFonts w:cs="Arial"/>
                <w:lang w:val="fr-FR"/>
              </w:rPr>
              <w:t>issued</w:t>
            </w:r>
            <w:proofErr w:type="spellEnd"/>
            <w:r>
              <w:rPr>
                <w:rFonts w:cs="Arial"/>
                <w:lang w:val="fr-FR"/>
              </w:rPr>
              <w:t xml:space="preserve"> by MBSHC Chair</w:t>
            </w:r>
          </w:p>
        </w:tc>
        <w:tc>
          <w:tcPr>
            <w:tcW w:w="1390" w:type="dxa"/>
            <w:shd w:val="clear" w:color="000000" w:fill="auto"/>
            <w:vAlign w:val="center"/>
          </w:tcPr>
          <w:p w14:paraId="48D845CF" w14:textId="07C4D55D" w:rsidR="0085494D" w:rsidRPr="007D2593" w:rsidRDefault="00033F6C" w:rsidP="00546761">
            <w:pPr>
              <w:spacing w:before="120" w:after="120" w:line="240" w:lineRule="auto"/>
              <w:jc w:val="center"/>
              <w:rPr>
                <w:bCs/>
              </w:rPr>
            </w:pPr>
            <w:r w:rsidRPr="00091962">
              <w:rPr>
                <w:bCs/>
              </w:rPr>
              <w:t>MBSHC Chair</w:t>
            </w:r>
          </w:p>
        </w:tc>
        <w:tc>
          <w:tcPr>
            <w:tcW w:w="1730" w:type="dxa"/>
            <w:shd w:val="clear" w:color="000000" w:fill="auto"/>
            <w:vAlign w:val="center"/>
          </w:tcPr>
          <w:p w14:paraId="3986C3D9" w14:textId="62B02E92" w:rsidR="0085494D" w:rsidRPr="007D2593" w:rsidRDefault="00546761" w:rsidP="00744155">
            <w:pPr>
              <w:spacing w:before="120" w:after="120" w:line="240" w:lineRule="auto"/>
              <w:jc w:val="center"/>
              <w:rPr>
                <w:bCs/>
              </w:rPr>
            </w:pPr>
            <w:r>
              <w:rPr>
                <w:rFonts w:ascii="Calibri" w:hAnsi="Calibri" w:cs="Calibri"/>
                <w:color w:val="000000" w:themeColor="text1"/>
                <w:lang w:val="en-US"/>
              </w:rPr>
              <w:t>15</w:t>
            </w:r>
            <w:r w:rsidR="005701FE" w:rsidRPr="005701FE">
              <w:rPr>
                <w:rFonts w:ascii="Calibri" w:hAnsi="Calibri" w:cs="Calibri"/>
                <w:color w:val="000000" w:themeColor="text1"/>
                <w:lang w:val="en-US"/>
              </w:rPr>
              <w:t xml:space="preserve"> Oct</w:t>
            </w:r>
          </w:p>
        </w:tc>
      </w:tr>
      <w:tr w:rsidR="00546761" w:rsidRPr="007D2593" w14:paraId="6FB73B66" w14:textId="77777777" w:rsidTr="0099313D">
        <w:trPr>
          <w:trHeight w:val="20"/>
          <w:jc w:val="center"/>
        </w:trPr>
        <w:tc>
          <w:tcPr>
            <w:tcW w:w="1696" w:type="dxa"/>
            <w:shd w:val="clear" w:color="000000" w:fill="auto"/>
            <w:vAlign w:val="center"/>
          </w:tcPr>
          <w:p w14:paraId="24473C1C" w14:textId="325657CB" w:rsidR="00546761" w:rsidRDefault="00AF6275" w:rsidP="00DA6DEB">
            <w:pPr>
              <w:spacing w:before="120" w:after="120" w:line="240" w:lineRule="auto"/>
              <w:jc w:val="center"/>
              <w:rPr>
                <w:b/>
                <w:bCs/>
              </w:rPr>
            </w:pPr>
            <w:r>
              <w:rPr>
                <w:b/>
                <w:bCs/>
              </w:rPr>
              <w:t>MBSHC21</w:t>
            </w:r>
            <w:r w:rsidRPr="009A16C3">
              <w:rPr>
                <w:b/>
                <w:bCs/>
              </w:rPr>
              <w:t>/</w:t>
            </w:r>
            <w:r>
              <w:rPr>
                <w:b/>
                <w:bCs/>
              </w:rPr>
              <w:t>02</w:t>
            </w:r>
          </w:p>
        </w:tc>
        <w:tc>
          <w:tcPr>
            <w:tcW w:w="4818" w:type="dxa"/>
            <w:shd w:val="clear" w:color="000000" w:fill="auto"/>
            <w:vAlign w:val="center"/>
          </w:tcPr>
          <w:p w14:paraId="5BD9C62D" w14:textId="4D11E8AC" w:rsidR="00546761" w:rsidRPr="00546761" w:rsidRDefault="00546761" w:rsidP="00546761">
            <w:pPr>
              <w:spacing w:before="120" w:after="120" w:line="240" w:lineRule="auto"/>
              <w:jc w:val="both"/>
              <w:rPr>
                <w:rFonts w:cs="Arial"/>
              </w:rPr>
            </w:pPr>
            <w:proofErr w:type="spellStart"/>
            <w:r w:rsidRPr="00546761">
              <w:rPr>
                <w:rFonts w:cs="Arial"/>
                <w:lang w:val="fr-FR"/>
              </w:rPr>
              <w:t>Albania</w:t>
            </w:r>
            <w:proofErr w:type="spellEnd"/>
            <w:r w:rsidRPr="00546761">
              <w:rPr>
                <w:rFonts w:cs="Arial"/>
                <w:lang w:val="fr-FR"/>
              </w:rPr>
              <w:t xml:space="preserve"> to </w:t>
            </w:r>
            <w:proofErr w:type="spellStart"/>
            <w:r w:rsidRPr="00546761">
              <w:rPr>
                <w:rFonts w:cs="Arial"/>
                <w:lang w:val="fr-FR"/>
              </w:rPr>
              <w:t>consider</w:t>
            </w:r>
            <w:proofErr w:type="spellEnd"/>
            <w:r w:rsidRPr="00546761">
              <w:rPr>
                <w:rFonts w:cs="Arial"/>
                <w:lang w:val="fr-FR"/>
              </w:rPr>
              <w:t xml:space="preserve"> </w:t>
            </w:r>
            <w:proofErr w:type="spellStart"/>
            <w:r w:rsidRPr="00546761">
              <w:rPr>
                <w:rFonts w:cs="Arial"/>
                <w:lang w:val="fr-FR"/>
              </w:rPr>
              <w:t>signing</w:t>
            </w:r>
            <w:proofErr w:type="spellEnd"/>
            <w:r w:rsidRPr="00546761">
              <w:rPr>
                <w:rFonts w:cs="Arial"/>
                <w:lang w:val="fr-FR"/>
              </w:rPr>
              <w:t xml:space="preserve"> the MBSHC </w:t>
            </w:r>
            <w:proofErr w:type="spellStart"/>
            <w:r w:rsidRPr="00546761">
              <w:rPr>
                <w:rFonts w:cs="Arial"/>
                <w:lang w:val="fr-FR"/>
              </w:rPr>
              <w:t>Statutes</w:t>
            </w:r>
            <w:proofErr w:type="spellEnd"/>
            <w:r w:rsidRPr="00546761">
              <w:rPr>
                <w:rFonts w:cs="Arial"/>
                <w:lang w:val="fr-FR"/>
              </w:rPr>
              <w:t xml:space="preserve">, to </w:t>
            </w:r>
            <w:proofErr w:type="spellStart"/>
            <w:r w:rsidRPr="00546761">
              <w:rPr>
                <w:rFonts w:cs="Arial"/>
                <w:lang w:val="fr-FR"/>
              </w:rPr>
              <w:t>become</w:t>
            </w:r>
            <w:proofErr w:type="spellEnd"/>
            <w:r w:rsidRPr="00546761">
              <w:rPr>
                <w:rFonts w:cs="Arial"/>
                <w:lang w:val="fr-FR"/>
              </w:rPr>
              <w:t xml:space="preserve"> an Associate </w:t>
            </w:r>
            <w:proofErr w:type="spellStart"/>
            <w:r w:rsidRPr="00546761">
              <w:rPr>
                <w:rFonts w:cs="Arial"/>
                <w:lang w:val="fr-FR"/>
              </w:rPr>
              <w:t>Member</w:t>
            </w:r>
            <w:proofErr w:type="spellEnd"/>
            <w:r w:rsidRPr="00546761">
              <w:rPr>
                <w:rFonts w:cs="Arial"/>
                <w:lang w:val="fr-FR"/>
              </w:rPr>
              <w:t xml:space="preserve"> States</w:t>
            </w:r>
          </w:p>
        </w:tc>
        <w:tc>
          <w:tcPr>
            <w:tcW w:w="1390" w:type="dxa"/>
            <w:shd w:val="clear" w:color="000000" w:fill="auto"/>
            <w:vAlign w:val="center"/>
          </w:tcPr>
          <w:p w14:paraId="4C949B8A" w14:textId="498C55A9" w:rsidR="00546761" w:rsidRPr="00091962" w:rsidRDefault="00546761" w:rsidP="00546761">
            <w:pPr>
              <w:spacing w:before="120" w:after="120" w:line="240" w:lineRule="auto"/>
              <w:jc w:val="center"/>
              <w:rPr>
                <w:bCs/>
              </w:rPr>
            </w:pPr>
            <w:r>
              <w:rPr>
                <w:bCs/>
              </w:rPr>
              <w:t>A</w:t>
            </w:r>
            <w:r w:rsidR="00DA6DEB">
              <w:rPr>
                <w:bCs/>
              </w:rPr>
              <w:t>L</w:t>
            </w:r>
          </w:p>
        </w:tc>
        <w:tc>
          <w:tcPr>
            <w:tcW w:w="1730" w:type="dxa"/>
            <w:shd w:val="clear" w:color="000000" w:fill="auto"/>
            <w:vAlign w:val="center"/>
          </w:tcPr>
          <w:p w14:paraId="7C1FEC40" w14:textId="54DF39E9" w:rsidR="00546761" w:rsidRPr="00744155" w:rsidRDefault="00546761" w:rsidP="00546761">
            <w:pPr>
              <w:spacing w:before="120" w:after="120" w:line="240" w:lineRule="auto"/>
              <w:jc w:val="center"/>
              <w:rPr>
                <w:rFonts w:ascii="Calibri" w:hAnsi="Calibri" w:cs="Calibri"/>
                <w:lang w:val="en-US"/>
              </w:rPr>
            </w:pPr>
            <w:r w:rsidRPr="00744155">
              <w:rPr>
                <w:rFonts w:ascii="Calibri" w:hAnsi="Calibri" w:cs="Calibri"/>
                <w:lang w:val="en-US"/>
              </w:rPr>
              <w:t>MBSHC22</w:t>
            </w:r>
          </w:p>
        </w:tc>
      </w:tr>
      <w:tr w:rsidR="005701FE" w:rsidRPr="007D2593" w14:paraId="33FD05B1" w14:textId="77777777" w:rsidTr="0099313D">
        <w:trPr>
          <w:trHeight w:val="20"/>
          <w:jc w:val="center"/>
        </w:trPr>
        <w:tc>
          <w:tcPr>
            <w:tcW w:w="1696" w:type="dxa"/>
            <w:shd w:val="clear" w:color="000000" w:fill="auto"/>
            <w:vAlign w:val="center"/>
          </w:tcPr>
          <w:p w14:paraId="40A49615" w14:textId="12FF1917" w:rsidR="005701FE" w:rsidRDefault="005701FE" w:rsidP="00DA6DEB">
            <w:pPr>
              <w:spacing w:before="120" w:after="120" w:line="240" w:lineRule="auto"/>
              <w:jc w:val="center"/>
              <w:rPr>
                <w:b/>
                <w:bCs/>
              </w:rPr>
            </w:pPr>
            <w:r>
              <w:rPr>
                <w:b/>
                <w:bCs/>
              </w:rPr>
              <w:t>MBSHC21</w:t>
            </w:r>
            <w:r w:rsidRPr="009A16C3">
              <w:rPr>
                <w:b/>
                <w:bCs/>
              </w:rPr>
              <w:t>/</w:t>
            </w:r>
            <w:r w:rsidR="00AF6275">
              <w:rPr>
                <w:b/>
                <w:bCs/>
              </w:rPr>
              <w:t>03</w:t>
            </w:r>
          </w:p>
        </w:tc>
        <w:tc>
          <w:tcPr>
            <w:tcW w:w="4818" w:type="dxa"/>
            <w:shd w:val="clear" w:color="000000" w:fill="auto"/>
            <w:vAlign w:val="center"/>
          </w:tcPr>
          <w:p w14:paraId="051E7A06" w14:textId="742AA461" w:rsidR="005701FE" w:rsidRDefault="005701FE" w:rsidP="00546761">
            <w:pPr>
              <w:spacing w:before="120" w:after="120" w:line="240" w:lineRule="auto"/>
              <w:jc w:val="both"/>
              <w:rPr>
                <w:rFonts w:cs="Arial"/>
                <w:lang w:val="fr-FR"/>
              </w:rPr>
            </w:pPr>
            <w:proofErr w:type="spellStart"/>
            <w:r>
              <w:rPr>
                <w:rFonts w:cs="Arial"/>
                <w:lang w:val="fr-FR"/>
              </w:rPr>
              <w:t>Memebr</w:t>
            </w:r>
            <w:proofErr w:type="spellEnd"/>
            <w:r>
              <w:rPr>
                <w:rFonts w:cs="Arial"/>
                <w:lang w:val="fr-FR"/>
              </w:rPr>
              <w:t xml:space="preserve"> States are </w:t>
            </w:r>
            <w:proofErr w:type="spellStart"/>
            <w:r>
              <w:rPr>
                <w:rFonts w:cs="Arial"/>
                <w:lang w:val="fr-FR"/>
              </w:rPr>
              <w:t>invited</w:t>
            </w:r>
            <w:proofErr w:type="spellEnd"/>
            <w:r>
              <w:rPr>
                <w:rFonts w:cs="Arial"/>
                <w:lang w:val="fr-FR"/>
              </w:rPr>
              <w:t xml:space="preserve"> to </w:t>
            </w:r>
            <w:proofErr w:type="spellStart"/>
            <w:r>
              <w:rPr>
                <w:rFonts w:cs="Arial"/>
                <w:lang w:val="fr-FR"/>
              </w:rPr>
              <w:t>take</w:t>
            </w:r>
            <w:proofErr w:type="spellEnd"/>
            <w:r>
              <w:rPr>
                <w:rFonts w:cs="Arial"/>
                <w:lang w:val="fr-FR"/>
              </w:rPr>
              <w:t xml:space="preserve"> </w:t>
            </w:r>
            <w:proofErr w:type="spellStart"/>
            <w:r>
              <w:rPr>
                <w:rFonts w:cs="Arial"/>
                <w:lang w:val="fr-FR"/>
              </w:rPr>
              <w:t>aknowledge</w:t>
            </w:r>
            <w:r w:rsidR="00DA6DEB">
              <w:rPr>
                <w:rFonts w:cs="Arial"/>
                <w:lang w:val="fr-FR"/>
              </w:rPr>
              <w:t>ment</w:t>
            </w:r>
            <w:proofErr w:type="spellEnd"/>
            <w:r>
              <w:rPr>
                <w:rFonts w:cs="Arial"/>
                <w:lang w:val="fr-FR"/>
              </w:rPr>
              <w:t xml:space="preserve"> </w:t>
            </w:r>
            <w:r w:rsidR="00DA6DEB">
              <w:rPr>
                <w:rFonts w:cs="Arial"/>
                <w:lang w:val="fr-FR"/>
              </w:rPr>
              <w:t xml:space="preserve">of </w:t>
            </w:r>
            <w:r>
              <w:rPr>
                <w:rFonts w:cs="Arial"/>
                <w:lang w:val="fr-FR"/>
              </w:rPr>
              <w:t>the new IHO-GIS services progresses and t</w:t>
            </w:r>
            <w:r w:rsidRPr="005701FE">
              <w:rPr>
                <w:rFonts w:cs="Arial"/>
                <w:lang w:val="fr-FR"/>
              </w:rPr>
              <w:t xml:space="preserve">o use </w:t>
            </w:r>
            <w:proofErr w:type="spellStart"/>
            <w:r w:rsidRPr="005701FE">
              <w:rPr>
                <w:rFonts w:cs="Arial"/>
                <w:lang w:val="fr-FR"/>
              </w:rPr>
              <w:t>INToGIS</w:t>
            </w:r>
            <w:proofErr w:type="spellEnd"/>
            <w:r w:rsidRPr="005701FE">
              <w:rPr>
                <w:rFonts w:cs="Arial"/>
                <w:lang w:val="fr-FR"/>
              </w:rPr>
              <w:t xml:space="preserve"> II in the future </w:t>
            </w:r>
          </w:p>
        </w:tc>
        <w:tc>
          <w:tcPr>
            <w:tcW w:w="1390" w:type="dxa"/>
            <w:shd w:val="clear" w:color="000000" w:fill="auto"/>
            <w:vAlign w:val="center"/>
          </w:tcPr>
          <w:p w14:paraId="7D3BFC36" w14:textId="471A47AC" w:rsidR="005701FE" w:rsidRPr="005701FE" w:rsidRDefault="005701FE" w:rsidP="00546761">
            <w:pPr>
              <w:spacing w:before="120" w:after="120" w:line="240" w:lineRule="auto"/>
              <w:jc w:val="center"/>
              <w:rPr>
                <w:bCs/>
                <w:lang w:val="fr-FR"/>
              </w:rPr>
            </w:pPr>
            <w:r>
              <w:rPr>
                <w:bCs/>
                <w:lang w:val="fr-FR"/>
              </w:rPr>
              <w:t>All</w:t>
            </w:r>
          </w:p>
        </w:tc>
        <w:tc>
          <w:tcPr>
            <w:tcW w:w="1730" w:type="dxa"/>
            <w:shd w:val="clear" w:color="000000" w:fill="auto"/>
            <w:vAlign w:val="center"/>
          </w:tcPr>
          <w:p w14:paraId="0147A120" w14:textId="57B246C8" w:rsidR="005701FE" w:rsidRPr="00744155" w:rsidRDefault="005701FE" w:rsidP="00546761">
            <w:pPr>
              <w:spacing w:before="120" w:after="120" w:line="240" w:lineRule="auto"/>
              <w:jc w:val="center"/>
              <w:rPr>
                <w:rFonts w:ascii="Calibri" w:hAnsi="Calibri" w:cs="Calibri"/>
                <w:b/>
                <w:lang w:val="en-US"/>
              </w:rPr>
            </w:pPr>
            <w:r w:rsidRPr="00744155">
              <w:rPr>
                <w:rFonts w:cs="Arial"/>
              </w:rPr>
              <w:t>Permanent</w:t>
            </w:r>
          </w:p>
        </w:tc>
      </w:tr>
      <w:tr w:rsidR="00CB14D1" w:rsidRPr="007D2593" w14:paraId="73169E9A" w14:textId="77777777" w:rsidTr="0099313D">
        <w:trPr>
          <w:trHeight w:val="20"/>
          <w:jc w:val="center"/>
        </w:trPr>
        <w:tc>
          <w:tcPr>
            <w:tcW w:w="1696" w:type="dxa"/>
            <w:shd w:val="clear" w:color="000000" w:fill="auto"/>
            <w:vAlign w:val="center"/>
          </w:tcPr>
          <w:p w14:paraId="625D1E6C" w14:textId="11B60E2C" w:rsidR="00CB14D1" w:rsidRDefault="00CB14D1" w:rsidP="00DA6DEB">
            <w:pPr>
              <w:spacing w:before="120" w:after="120" w:line="240" w:lineRule="auto"/>
              <w:jc w:val="center"/>
              <w:rPr>
                <w:b/>
                <w:bCs/>
              </w:rPr>
            </w:pPr>
            <w:r>
              <w:rPr>
                <w:b/>
                <w:bCs/>
              </w:rPr>
              <w:t>MBSHC2</w:t>
            </w:r>
            <w:r w:rsidR="00033F6C">
              <w:rPr>
                <w:b/>
                <w:bCs/>
              </w:rPr>
              <w:t>1</w:t>
            </w:r>
            <w:r w:rsidRPr="00FC590E">
              <w:rPr>
                <w:b/>
                <w:bCs/>
              </w:rPr>
              <w:t>/</w:t>
            </w:r>
            <w:r w:rsidR="00033F6C">
              <w:rPr>
                <w:b/>
                <w:bCs/>
              </w:rPr>
              <w:t>0</w:t>
            </w:r>
            <w:r w:rsidR="00AF6275">
              <w:rPr>
                <w:b/>
                <w:bCs/>
              </w:rPr>
              <w:t>4</w:t>
            </w:r>
          </w:p>
        </w:tc>
        <w:tc>
          <w:tcPr>
            <w:tcW w:w="4818" w:type="dxa"/>
            <w:shd w:val="clear" w:color="000000" w:fill="auto"/>
            <w:vAlign w:val="center"/>
          </w:tcPr>
          <w:p w14:paraId="2964FAC4" w14:textId="2A06E0DB" w:rsidR="00CB14D1" w:rsidRPr="005701FE" w:rsidRDefault="005701FE" w:rsidP="00546761">
            <w:pPr>
              <w:spacing w:before="120" w:after="120" w:line="240" w:lineRule="auto"/>
              <w:jc w:val="both"/>
              <w:rPr>
                <w:rFonts w:cs="Arial"/>
              </w:rPr>
            </w:pPr>
            <w:r>
              <w:rPr>
                <w:rFonts w:cs="Arial"/>
              </w:rPr>
              <w:t xml:space="preserve">Member States are invited to submit information for updating C-55 and P-5 “Yearbook” </w:t>
            </w:r>
            <w:r w:rsidR="00CB14D1" w:rsidRPr="007D2593">
              <w:rPr>
                <w:rFonts w:cs="Arial"/>
              </w:rPr>
              <w:t>annually</w:t>
            </w:r>
            <w:r>
              <w:rPr>
                <w:rFonts w:cs="Arial"/>
              </w:rPr>
              <w:t xml:space="preserve"> </w:t>
            </w:r>
            <w:r w:rsidR="00CB14D1" w:rsidRPr="007D2593">
              <w:rPr>
                <w:rFonts w:cs="Arial"/>
              </w:rPr>
              <w:t xml:space="preserve"> (including reports of</w:t>
            </w:r>
            <w:r>
              <w:rPr>
                <w:rFonts w:cs="Arial"/>
              </w:rPr>
              <w:t xml:space="preserve"> </w:t>
            </w:r>
            <w:r w:rsidR="006F1F33">
              <w:rPr>
                <w:rFonts w:cs="Arial"/>
                <w:lang w:val="fr-FR"/>
              </w:rPr>
              <w:t xml:space="preserve">“no changes”) </w:t>
            </w:r>
            <w:proofErr w:type="spellStart"/>
            <w:r w:rsidR="006F1F33">
              <w:rPr>
                <w:rFonts w:cs="Arial"/>
                <w:lang w:val="fr-FR"/>
              </w:rPr>
              <w:t>using</w:t>
            </w:r>
            <w:proofErr w:type="spellEnd"/>
            <w:r w:rsidR="006F1F33">
              <w:rPr>
                <w:rFonts w:cs="Arial"/>
                <w:lang w:val="fr-FR"/>
              </w:rPr>
              <w:t xml:space="preserve"> the </w:t>
            </w:r>
            <w:r>
              <w:rPr>
                <w:rFonts w:cs="Arial"/>
                <w:lang w:val="fr-FR"/>
              </w:rPr>
              <w:t xml:space="preserve">digital </w:t>
            </w:r>
            <w:proofErr w:type="spellStart"/>
            <w:r>
              <w:rPr>
                <w:rFonts w:cs="Arial"/>
                <w:lang w:val="fr-FR"/>
              </w:rPr>
              <w:t>formstack</w:t>
            </w:r>
            <w:proofErr w:type="spellEnd"/>
            <w:r>
              <w:rPr>
                <w:rFonts w:cs="Arial"/>
                <w:lang w:val="fr-FR"/>
              </w:rPr>
              <w:t xml:space="preserve"> for </w:t>
            </w:r>
            <w:proofErr w:type="spellStart"/>
            <w:r>
              <w:rPr>
                <w:rFonts w:cs="Arial"/>
                <w:lang w:val="fr-FR"/>
              </w:rPr>
              <w:t>modifiying</w:t>
            </w:r>
            <w:proofErr w:type="spellEnd"/>
            <w:r w:rsidR="006F1F33">
              <w:rPr>
                <w:rFonts w:cs="Arial"/>
                <w:lang w:val="fr-FR"/>
              </w:rPr>
              <w:t xml:space="preserve">/update </w:t>
            </w:r>
            <w:r>
              <w:rPr>
                <w:rFonts w:cs="Arial"/>
                <w:lang w:val="fr-FR"/>
              </w:rPr>
              <w:t>(</w:t>
            </w:r>
            <w:proofErr w:type="spellStart"/>
            <w:r>
              <w:rPr>
                <w:rFonts w:cs="Arial"/>
                <w:lang w:val="fr-FR"/>
              </w:rPr>
              <w:t>see</w:t>
            </w:r>
            <w:proofErr w:type="spellEnd"/>
            <w:r>
              <w:rPr>
                <w:rFonts w:cs="Arial"/>
                <w:lang w:val="fr-FR"/>
              </w:rPr>
              <w:t xml:space="preserve"> IHO CL 20/2019)</w:t>
            </w:r>
          </w:p>
        </w:tc>
        <w:tc>
          <w:tcPr>
            <w:tcW w:w="1390" w:type="dxa"/>
            <w:shd w:val="clear" w:color="000000" w:fill="auto"/>
            <w:vAlign w:val="center"/>
          </w:tcPr>
          <w:p w14:paraId="21F4E967" w14:textId="1FCE6D09" w:rsidR="00CB14D1" w:rsidRDefault="00CB14D1" w:rsidP="00546761">
            <w:pPr>
              <w:spacing w:before="120" w:after="120" w:line="240" w:lineRule="auto"/>
              <w:jc w:val="center"/>
              <w:rPr>
                <w:bCs/>
              </w:rPr>
            </w:pPr>
            <w:r>
              <w:rPr>
                <w:bCs/>
              </w:rPr>
              <w:t>All</w:t>
            </w:r>
          </w:p>
        </w:tc>
        <w:tc>
          <w:tcPr>
            <w:tcW w:w="1730" w:type="dxa"/>
            <w:shd w:val="clear" w:color="000000" w:fill="auto"/>
            <w:vAlign w:val="center"/>
          </w:tcPr>
          <w:p w14:paraId="4BAAD0BC" w14:textId="015EF3F9" w:rsidR="00CB14D1" w:rsidRPr="005701FE" w:rsidRDefault="00CB14D1" w:rsidP="00546761">
            <w:pPr>
              <w:spacing w:before="120" w:after="120" w:line="240" w:lineRule="auto"/>
              <w:jc w:val="center"/>
              <w:rPr>
                <w:rFonts w:cs="Arial"/>
              </w:rPr>
            </w:pPr>
            <w:r>
              <w:rPr>
                <w:rFonts w:cs="Arial"/>
              </w:rPr>
              <w:t>Permanent</w:t>
            </w:r>
          </w:p>
        </w:tc>
      </w:tr>
      <w:tr w:rsidR="00A4038C" w:rsidRPr="007D2593" w14:paraId="7B90529B" w14:textId="77777777" w:rsidTr="0099313D">
        <w:trPr>
          <w:trHeight w:val="20"/>
          <w:jc w:val="center"/>
        </w:trPr>
        <w:tc>
          <w:tcPr>
            <w:tcW w:w="1696" w:type="dxa"/>
            <w:shd w:val="clear" w:color="000000" w:fill="auto"/>
            <w:vAlign w:val="center"/>
          </w:tcPr>
          <w:p w14:paraId="2BF1109C" w14:textId="3822CEB8" w:rsidR="00A4038C" w:rsidRDefault="00A4038C" w:rsidP="00DA6DEB">
            <w:pPr>
              <w:spacing w:before="120" w:after="120" w:line="240" w:lineRule="auto"/>
              <w:jc w:val="center"/>
              <w:rPr>
                <w:b/>
                <w:bCs/>
              </w:rPr>
            </w:pPr>
            <w:r>
              <w:rPr>
                <w:b/>
                <w:bCs/>
              </w:rPr>
              <w:t>MBSHC21</w:t>
            </w:r>
            <w:r w:rsidRPr="00FC590E">
              <w:rPr>
                <w:b/>
                <w:bCs/>
              </w:rPr>
              <w:t>/</w:t>
            </w:r>
            <w:r>
              <w:rPr>
                <w:b/>
                <w:bCs/>
              </w:rPr>
              <w:t>0</w:t>
            </w:r>
            <w:r w:rsidR="00AF6275">
              <w:rPr>
                <w:b/>
                <w:bCs/>
              </w:rPr>
              <w:t>5</w:t>
            </w:r>
          </w:p>
        </w:tc>
        <w:tc>
          <w:tcPr>
            <w:tcW w:w="4818" w:type="dxa"/>
            <w:shd w:val="clear" w:color="000000" w:fill="auto"/>
            <w:vAlign w:val="center"/>
          </w:tcPr>
          <w:p w14:paraId="5A16F0CF" w14:textId="1241748C" w:rsidR="00A4038C" w:rsidRPr="007D2593" w:rsidRDefault="005701FE" w:rsidP="00546761">
            <w:pPr>
              <w:spacing w:before="120" w:after="120" w:line="240" w:lineRule="auto"/>
              <w:jc w:val="both"/>
              <w:rPr>
                <w:rFonts w:cs="Arial"/>
              </w:rPr>
            </w:pPr>
            <w:r>
              <w:rPr>
                <w:rFonts w:cs="Arial"/>
              </w:rPr>
              <w:t xml:space="preserve">Member States are invited to respond to IHO CL </w:t>
            </w:r>
            <w:proofErr w:type="spellStart"/>
            <w:r>
              <w:rPr>
                <w:rFonts w:cs="Arial"/>
              </w:rPr>
              <w:t>throught</w:t>
            </w:r>
            <w:proofErr w:type="spellEnd"/>
            <w:r>
              <w:rPr>
                <w:rFonts w:cs="Arial"/>
              </w:rPr>
              <w:t xml:space="preserve"> the digital </w:t>
            </w:r>
            <w:proofErr w:type="spellStart"/>
            <w:r>
              <w:rPr>
                <w:rFonts w:cs="Arial"/>
              </w:rPr>
              <w:t>formstack</w:t>
            </w:r>
            <w:proofErr w:type="spellEnd"/>
            <w:r>
              <w:rPr>
                <w:rFonts w:cs="Arial"/>
              </w:rPr>
              <w:t xml:space="preserve"> </w:t>
            </w:r>
            <w:r>
              <w:rPr>
                <w:rFonts w:cs="Arial"/>
                <w:lang w:val="fr-FR"/>
              </w:rPr>
              <w:t>(</w:t>
            </w:r>
            <w:proofErr w:type="spellStart"/>
            <w:r>
              <w:rPr>
                <w:rFonts w:cs="Arial"/>
                <w:lang w:val="fr-FR"/>
              </w:rPr>
              <w:t>see</w:t>
            </w:r>
            <w:proofErr w:type="spellEnd"/>
            <w:r>
              <w:rPr>
                <w:rFonts w:cs="Arial"/>
                <w:lang w:val="fr-FR"/>
              </w:rPr>
              <w:t xml:space="preserve"> IHO CL 20/2019)</w:t>
            </w:r>
          </w:p>
        </w:tc>
        <w:tc>
          <w:tcPr>
            <w:tcW w:w="1390" w:type="dxa"/>
            <w:shd w:val="clear" w:color="000000" w:fill="auto"/>
            <w:vAlign w:val="center"/>
          </w:tcPr>
          <w:p w14:paraId="3D21219F" w14:textId="6FDBA2E5" w:rsidR="00A4038C" w:rsidRDefault="00A4038C" w:rsidP="00546761">
            <w:pPr>
              <w:spacing w:before="120" w:after="120" w:line="240" w:lineRule="auto"/>
              <w:jc w:val="center"/>
              <w:rPr>
                <w:bCs/>
              </w:rPr>
            </w:pPr>
            <w:r>
              <w:rPr>
                <w:bCs/>
              </w:rPr>
              <w:t>All</w:t>
            </w:r>
          </w:p>
        </w:tc>
        <w:tc>
          <w:tcPr>
            <w:tcW w:w="1730" w:type="dxa"/>
            <w:shd w:val="clear" w:color="000000" w:fill="auto"/>
            <w:vAlign w:val="center"/>
          </w:tcPr>
          <w:p w14:paraId="3B13A43C" w14:textId="4E98419B" w:rsidR="00A4038C" w:rsidRDefault="00A4038C" w:rsidP="00546761">
            <w:pPr>
              <w:spacing w:before="120" w:after="120" w:line="240" w:lineRule="auto"/>
              <w:jc w:val="center"/>
              <w:rPr>
                <w:rFonts w:cs="Arial"/>
              </w:rPr>
            </w:pPr>
            <w:r>
              <w:rPr>
                <w:rFonts w:cs="Arial"/>
              </w:rPr>
              <w:t>Permanent</w:t>
            </w:r>
          </w:p>
        </w:tc>
      </w:tr>
      <w:tr w:rsidR="006F1F33" w:rsidRPr="007D2593" w14:paraId="4634B4C8" w14:textId="77777777" w:rsidTr="0099313D">
        <w:trPr>
          <w:trHeight w:val="20"/>
          <w:jc w:val="center"/>
        </w:trPr>
        <w:tc>
          <w:tcPr>
            <w:tcW w:w="1696" w:type="dxa"/>
            <w:shd w:val="clear" w:color="000000" w:fill="auto"/>
            <w:vAlign w:val="center"/>
          </w:tcPr>
          <w:p w14:paraId="0233FA25" w14:textId="6621395C" w:rsidR="006F1F33" w:rsidRDefault="006F1F33" w:rsidP="00DA6DEB">
            <w:pPr>
              <w:spacing w:before="120" w:after="120" w:line="240" w:lineRule="auto"/>
              <w:jc w:val="center"/>
              <w:rPr>
                <w:b/>
                <w:bCs/>
              </w:rPr>
            </w:pPr>
            <w:r w:rsidRPr="001A0583">
              <w:rPr>
                <w:b/>
                <w:bCs/>
              </w:rPr>
              <w:t>MBSHC21/0</w:t>
            </w:r>
            <w:r>
              <w:rPr>
                <w:b/>
                <w:bCs/>
              </w:rPr>
              <w:t>6</w:t>
            </w:r>
          </w:p>
        </w:tc>
        <w:tc>
          <w:tcPr>
            <w:tcW w:w="4818" w:type="dxa"/>
            <w:shd w:val="clear" w:color="000000" w:fill="auto"/>
            <w:vAlign w:val="center"/>
          </w:tcPr>
          <w:p w14:paraId="1F101E55" w14:textId="784EA872" w:rsidR="006F1F33" w:rsidRPr="005701FE" w:rsidRDefault="005701FE" w:rsidP="00546761">
            <w:pPr>
              <w:spacing w:before="120" w:after="120" w:line="240" w:lineRule="auto"/>
              <w:jc w:val="both"/>
              <w:rPr>
                <w:rFonts w:cs="Arial"/>
                <w:lang w:val="en-US"/>
              </w:rPr>
            </w:pPr>
            <w:r>
              <w:rPr>
                <w:rFonts w:cs="Arial"/>
                <w:lang w:val="en-US"/>
              </w:rPr>
              <w:t xml:space="preserve">Region F Chart Coordinator to consider the possibility </w:t>
            </w:r>
            <w:r w:rsidRPr="005701FE">
              <w:rPr>
                <w:rFonts w:cs="Arial"/>
                <w:lang w:val="en-US"/>
              </w:rPr>
              <w:t xml:space="preserve">of participating </w:t>
            </w:r>
            <w:r>
              <w:rPr>
                <w:rFonts w:cs="Arial"/>
                <w:lang w:val="en-US"/>
              </w:rPr>
              <w:t xml:space="preserve">in the </w:t>
            </w:r>
            <w:proofErr w:type="spellStart"/>
            <w:r>
              <w:rPr>
                <w:rFonts w:cs="Arial"/>
                <w:lang w:val="en-US"/>
              </w:rPr>
              <w:t>INToGIS</w:t>
            </w:r>
            <w:proofErr w:type="spellEnd"/>
            <w:r>
              <w:rPr>
                <w:rFonts w:cs="Arial"/>
                <w:lang w:val="en-US"/>
              </w:rPr>
              <w:t xml:space="preserve"> II workshop</w:t>
            </w:r>
            <w:r w:rsidRPr="005701FE">
              <w:rPr>
                <w:rFonts w:cs="Arial"/>
                <w:lang w:val="en-US"/>
              </w:rPr>
              <w:t xml:space="preserve">, back-to-back with NCWG-5 </w:t>
            </w:r>
          </w:p>
        </w:tc>
        <w:tc>
          <w:tcPr>
            <w:tcW w:w="1390" w:type="dxa"/>
            <w:shd w:val="clear" w:color="000000" w:fill="auto"/>
            <w:vAlign w:val="center"/>
          </w:tcPr>
          <w:p w14:paraId="486861E5" w14:textId="4BFDCFA4" w:rsidR="006F1F33" w:rsidRPr="00361452" w:rsidRDefault="006F1F33" w:rsidP="00546761">
            <w:pPr>
              <w:spacing w:before="120" w:after="120" w:line="240" w:lineRule="auto"/>
              <w:jc w:val="center"/>
              <w:rPr>
                <w:bCs/>
                <w:lang w:val="fr-FR"/>
              </w:rPr>
            </w:pPr>
            <w:r>
              <w:rPr>
                <w:bCs/>
                <w:lang w:val="fr-FR"/>
              </w:rPr>
              <w:t>ICC WG-F</w:t>
            </w:r>
          </w:p>
        </w:tc>
        <w:tc>
          <w:tcPr>
            <w:tcW w:w="1730" w:type="dxa"/>
            <w:shd w:val="clear" w:color="000000" w:fill="auto"/>
            <w:vAlign w:val="center"/>
          </w:tcPr>
          <w:p w14:paraId="678075D1" w14:textId="4E6D7E92" w:rsidR="006F1F33" w:rsidRDefault="005701FE" w:rsidP="00546761">
            <w:pPr>
              <w:spacing w:before="120" w:after="120" w:line="240" w:lineRule="auto"/>
              <w:jc w:val="center"/>
              <w:rPr>
                <w:rFonts w:cs="Arial"/>
              </w:rPr>
            </w:pPr>
            <w:r>
              <w:rPr>
                <w:rFonts w:cs="Arial"/>
              </w:rPr>
              <w:t>NCWG5</w:t>
            </w:r>
          </w:p>
        </w:tc>
      </w:tr>
      <w:tr w:rsidR="00BD775B" w:rsidRPr="007D2593" w14:paraId="58D779A7" w14:textId="77777777" w:rsidTr="00BD775B">
        <w:trPr>
          <w:trHeight w:val="20"/>
          <w:jc w:val="center"/>
        </w:trPr>
        <w:tc>
          <w:tcPr>
            <w:tcW w:w="1696" w:type="dxa"/>
            <w:shd w:val="clear" w:color="000000" w:fill="auto"/>
            <w:vAlign w:val="center"/>
          </w:tcPr>
          <w:p w14:paraId="512A6B8B" w14:textId="0447B3C7" w:rsidR="00BD775B" w:rsidRPr="001A0583" w:rsidRDefault="00BD775B" w:rsidP="00BD775B">
            <w:pPr>
              <w:spacing w:before="120" w:after="120" w:line="240" w:lineRule="auto"/>
              <w:jc w:val="center"/>
              <w:rPr>
                <w:b/>
                <w:bCs/>
              </w:rPr>
            </w:pPr>
            <w:r w:rsidRPr="00BD775B">
              <w:rPr>
                <w:b/>
                <w:bCs/>
              </w:rPr>
              <w:t>MBSHC21/</w:t>
            </w:r>
            <w:r>
              <w:rPr>
                <w:b/>
                <w:bCs/>
              </w:rPr>
              <w:t>07</w:t>
            </w:r>
          </w:p>
        </w:tc>
        <w:tc>
          <w:tcPr>
            <w:tcW w:w="4818" w:type="dxa"/>
            <w:shd w:val="clear" w:color="000000" w:fill="auto"/>
            <w:vAlign w:val="center"/>
          </w:tcPr>
          <w:p w14:paraId="636C9773" w14:textId="4DC88DF8" w:rsidR="00BD775B" w:rsidRDefault="00BD775B" w:rsidP="00BD775B">
            <w:pPr>
              <w:spacing w:before="120" w:after="120" w:line="240" w:lineRule="auto"/>
              <w:jc w:val="center"/>
              <w:rPr>
                <w:rFonts w:cs="Arial"/>
                <w:lang w:val="en-US"/>
              </w:rPr>
            </w:pPr>
            <w:r w:rsidRPr="00F8312E">
              <w:t xml:space="preserve">Member States to send a graphical status of surveys to Spain ant </w:t>
            </w:r>
            <w:proofErr w:type="spellStart"/>
            <w:r w:rsidRPr="00F8312E">
              <w:t>th</w:t>
            </w:r>
            <w:proofErr w:type="spellEnd"/>
            <w:r w:rsidRPr="00F8312E">
              <w:t xml:space="preserve"> IHOs in GIS </w:t>
            </w:r>
            <w:proofErr w:type="spellStart"/>
            <w:r w:rsidRPr="00F8312E">
              <w:t>apllicable</w:t>
            </w:r>
            <w:proofErr w:type="spellEnd"/>
            <w:r w:rsidRPr="00F8312E">
              <w:t xml:space="preserve"> digital format</w:t>
            </w:r>
          </w:p>
        </w:tc>
        <w:tc>
          <w:tcPr>
            <w:tcW w:w="1390" w:type="dxa"/>
            <w:shd w:val="clear" w:color="000000" w:fill="auto"/>
            <w:vAlign w:val="center"/>
          </w:tcPr>
          <w:p w14:paraId="57FAFC74" w14:textId="6F07C226" w:rsidR="00BD775B" w:rsidRDefault="00BD775B" w:rsidP="00BD775B">
            <w:pPr>
              <w:spacing w:before="120" w:after="120" w:line="240" w:lineRule="auto"/>
              <w:jc w:val="center"/>
              <w:rPr>
                <w:bCs/>
                <w:lang w:val="fr-FR"/>
              </w:rPr>
            </w:pPr>
            <w:r w:rsidRPr="00F8312E">
              <w:t>All</w:t>
            </w:r>
          </w:p>
        </w:tc>
        <w:tc>
          <w:tcPr>
            <w:tcW w:w="1730" w:type="dxa"/>
            <w:shd w:val="clear" w:color="000000" w:fill="auto"/>
            <w:vAlign w:val="center"/>
          </w:tcPr>
          <w:p w14:paraId="52B3DAA3" w14:textId="17B02903" w:rsidR="00BD775B" w:rsidRDefault="00BD775B" w:rsidP="00BD775B">
            <w:pPr>
              <w:spacing w:before="120" w:after="120" w:line="240" w:lineRule="auto"/>
              <w:jc w:val="center"/>
              <w:rPr>
                <w:rFonts w:cs="Arial"/>
              </w:rPr>
            </w:pPr>
            <w:r w:rsidRPr="00F8312E">
              <w:t>MBSHC22</w:t>
            </w:r>
          </w:p>
        </w:tc>
      </w:tr>
      <w:tr w:rsidR="00D878A0" w:rsidRPr="007D2593" w14:paraId="0C9B24D5" w14:textId="77777777" w:rsidTr="0099313D">
        <w:trPr>
          <w:trHeight w:val="20"/>
          <w:jc w:val="center"/>
        </w:trPr>
        <w:tc>
          <w:tcPr>
            <w:tcW w:w="1696" w:type="dxa"/>
            <w:shd w:val="clear" w:color="000000" w:fill="auto"/>
            <w:vAlign w:val="center"/>
          </w:tcPr>
          <w:p w14:paraId="3EB7A186" w14:textId="391D8E15" w:rsidR="00346AA5" w:rsidRDefault="00346AA5" w:rsidP="00DA6DEB">
            <w:pPr>
              <w:spacing w:before="120" w:after="120" w:line="240" w:lineRule="auto"/>
              <w:jc w:val="center"/>
              <w:rPr>
                <w:b/>
                <w:bCs/>
              </w:rPr>
            </w:pPr>
            <w:r>
              <w:rPr>
                <w:b/>
                <w:bCs/>
              </w:rPr>
              <w:t>MBSHC21/08</w:t>
            </w:r>
          </w:p>
        </w:tc>
        <w:tc>
          <w:tcPr>
            <w:tcW w:w="4818" w:type="dxa"/>
            <w:shd w:val="clear" w:color="000000" w:fill="auto"/>
            <w:vAlign w:val="center"/>
          </w:tcPr>
          <w:p w14:paraId="25BC56B1" w14:textId="3809756F" w:rsidR="00D878A0" w:rsidRPr="007D2593" w:rsidRDefault="00DA6DEB" w:rsidP="00546761">
            <w:pPr>
              <w:spacing w:before="120" w:after="120" w:line="240" w:lineRule="auto"/>
              <w:jc w:val="both"/>
              <w:rPr>
                <w:rFonts w:cs="Arial"/>
              </w:rPr>
            </w:pPr>
            <w:r>
              <w:rPr>
                <w:rFonts w:cs="Arial"/>
              </w:rPr>
              <w:t>Member States</w:t>
            </w:r>
            <w:r w:rsidR="005701FE">
              <w:rPr>
                <w:rFonts w:cs="Arial"/>
              </w:rPr>
              <w:t xml:space="preserve"> are invited to provide their input to u</w:t>
            </w:r>
            <w:r w:rsidR="005C75AE">
              <w:rPr>
                <w:rFonts w:cs="Arial"/>
              </w:rPr>
              <w:t xml:space="preserve">pdate MBSHC Statutes in accordance with </w:t>
            </w:r>
            <w:r w:rsidR="005701FE">
              <w:rPr>
                <w:rFonts w:cs="Arial"/>
              </w:rPr>
              <w:t>the final</w:t>
            </w:r>
            <w:r w:rsidR="005C75AE">
              <w:rPr>
                <w:rFonts w:cs="Arial"/>
              </w:rPr>
              <w:t xml:space="preserve"> version of </w:t>
            </w:r>
            <w:r w:rsidR="005701FE">
              <w:rPr>
                <w:rFonts w:cs="Arial"/>
              </w:rPr>
              <w:t xml:space="preserve">the </w:t>
            </w:r>
            <w:r w:rsidR="005C75AE">
              <w:rPr>
                <w:rFonts w:cs="Arial"/>
              </w:rPr>
              <w:t>Res</w:t>
            </w:r>
            <w:r w:rsidR="005701FE">
              <w:rPr>
                <w:rFonts w:cs="Arial"/>
              </w:rPr>
              <w:t>olution</w:t>
            </w:r>
            <w:r w:rsidR="005C75AE">
              <w:rPr>
                <w:rFonts w:cs="Arial"/>
              </w:rPr>
              <w:t xml:space="preserve"> 2/1997 </w:t>
            </w:r>
            <w:r w:rsidR="005701FE">
              <w:rPr>
                <w:rFonts w:cs="Arial"/>
              </w:rPr>
              <w:t>(</w:t>
            </w:r>
            <w:r w:rsidR="005C75AE">
              <w:rPr>
                <w:rFonts w:cs="Arial"/>
              </w:rPr>
              <w:t xml:space="preserve">to be </w:t>
            </w:r>
            <w:r w:rsidR="005701FE">
              <w:rPr>
                <w:rFonts w:cs="Arial"/>
              </w:rPr>
              <w:t>submitted to C-3)</w:t>
            </w:r>
          </w:p>
        </w:tc>
        <w:tc>
          <w:tcPr>
            <w:tcW w:w="1390" w:type="dxa"/>
            <w:shd w:val="clear" w:color="000000" w:fill="auto"/>
            <w:vAlign w:val="center"/>
          </w:tcPr>
          <w:p w14:paraId="455682F1" w14:textId="7D0AC9C1" w:rsidR="00D878A0" w:rsidRDefault="005C75AE" w:rsidP="00546761">
            <w:pPr>
              <w:spacing w:before="120" w:after="120" w:line="240" w:lineRule="auto"/>
              <w:jc w:val="center"/>
              <w:rPr>
                <w:bCs/>
              </w:rPr>
            </w:pPr>
            <w:r w:rsidRPr="00091962">
              <w:rPr>
                <w:bCs/>
              </w:rPr>
              <w:t>MBSHC Chair</w:t>
            </w:r>
          </w:p>
        </w:tc>
        <w:tc>
          <w:tcPr>
            <w:tcW w:w="1730" w:type="dxa"/>
            <w:shd w:val="clear" w:color="000000" w:fill="auto"/>
            <w:vAlign w:val="center"/>
          </w:tcPr>
          <w:p w14:paraId="22EA2BB3" w14:textId="68B8E13E" w:rsidR="00D878A0" w:rsidRDefault="005701FE" w:rsidP="00546761">
            <w:pPr>
              <w:spacing w:before="120" w:after="120" w:line="240" w:lineRule="auto"/>
              <w:jc w:val="center"/>
              <w:rPr>
                <w:rFonts w:cs="Arial"/>
              </w:rPr>
            </w:pPr>
            <w:r>
              <w:rPr>
                <w:rFonts w:cs="Arial"/>
              </w:rPr>
              <w:t>MBSHC22</w:t>
            </w:r>
          </w:p>
        </w:tc>
      </w:tr>
      <w:tr w:rsidR="005701FE" w:rsidRPr="007D2593" w14:paraId="54EBF7F1" w14:textId="77777777" w:rsidTr="0099313D">
        <w:trPr>
          <w:trHeight w:val="20"/>
          <w:jc w:val="center"/>
        </w:trPr>
        <w:tc>
          <w:tcPr>
            <w:tcW w:w="1696" w:type="dxa"/>
            <w:shd w:val="clear" w:color="000000" w:fill="auto"/>
            <w:vAlign w:val="center"/>
          </w:tcPr>
          <w:p w14:paraId="0B4C437A" w14:textId="2E9A00A2" w:rsidR="005701FE" w:rsidRPr="009A16C3" w:rsidRDefault="005701FE" w:rsidP="00DA6DEB">
            <w:pPr>
              <w:spacing w:before="120" w:after="120" w:line="240" w:lineRule="auto"/>
              <w:jc w:val="center"/>
              <w:rPr>
                <w:b/>
                <w:bCs/>
              </w:rPr>
            </w:pPr>
            <w:r>
              <w:rPr>
                <w:b/>
                <w:bCs/>
              </w:rPr>
              <w:t>MBSHC21/09</w:t>
            </w:r>
          </w:p>
        </w:tc>
        <w:tc>
          <w:tcPr>
            <w:tcW w:w="4818" w:type="dxa"/>
            <w:shd w:val="clear" w:color="000000" w:fill="auto"/>
            <w:vAlign w:val="center"/>
          </w:tcPr>
          <w:p w14:paraId="07C54C48" w14:textId="7213E9F2" w:rsidR="005701FE" w:rsidRDefault="005701FE" w:rsidP="00546761">
            <w:pPr>
              <w:spacing w:before="120" w:after="120" w:line="240" w:lineRule="auto"/>
              <w:jc w:val="both"/>
              <w:rPr>
                <w:rFonts w:cs="Arial"/>
              </w:rPr>
            </w:pPr>
            <w:r>
              <w:rPr>
                <w:rFonts w:cs="Arial"/>
              </w:rPr>
              <w:t>MBSHC Chair to provide a brief history about the RHC to be made available in the IHO website (see IRCC11 Action 3)</w:t>
            </w:r>
          </w:p>
        </w:tc>
        <w:tc>
          <w:tcPr>
            <w:tcW w:w="1390" w:type="dxa"/>
            <w:shd w:val="clear" w:color="000000" w:fill="auto"/>
            <w:vAlign w:val="center"/>
          </w:tcPr>
          <w:p w14:paraId="370C1909" w14:textId="3CC10B61" w:rsidR="005701FE" w:rsidRPr="007D2593" w:rsidRDefault="005701FE" w:rsidP="00546761">
            <w:pPr>
              <w:spacing w:before="120" w:after="120" w:line="240" w:lineRule="auto"/>
              <w:jc w:val="center"/>
              <w:rPr>
                <w:bCs/>
              </w:rPr>
            </w:pPr>
            <w:r w:rsidRPr="00091962">
              <w:rPr>
                <w:bCs/>
              </w:rPr>
              <w:t>MBSHC Chair</w:t>
            </w:r>
          </w:p>
        </w:tc>
        <w:tc>
          <w:tcPr>
            <w:tcW w:w="1730" w:type="dxa"/>
            <w:shd w:val="clear" w:color="000000" w:fill="auto"/>
            <w:vAlign w:val="center"/>
          </w:tcPr>
          <w:p w14:paraId="66292E8E" w14:textId="48D9B1E3" w:rsidR="005701FE" w:rsidRPr="005443C8" w:rsidRDefault="005701FE" w:rsidP="00546761">
            <w:pPr>
              <w:spacing w:before="120" w:after="120" w:line="240" w:lineRule="auto"/>
              <w:jc w:val="center"/>
              <w:rPr>
                <w:rFonts w:ascii="Calibri" w:hAnsi="Calibri" w:cs="Calibri"/>
                <w:b/>
                <w:color w:val="FF0000"/>
                <w:lang w:val="en-US"/>
              </w:rPr>
            </w:pPr>
            <w:r>
              <w:rPr>
                <w:rFonts w:cs="Arial"/>
              </w:rPr>
              <w:t>30 September 2019</w:t>
            </w:r>
          </w:p>
        </w:tc>
      </w:tr>
      <w:tr w:rsidR="005701FE" w:rsidRPr="007D2593" w14:paraId="63A2EF6D" w14:textId="77777777" w:rsidTr="0099313D">
        <w:trPr>
          <w:trHeight w:val="20"/>
          <w:jc w:val="center"/>
        </w:trPr>
        <w:tc>
          <w:tcPr>
            <w:tcW w:w="1696" w:type="dxa"/>
            <w:shd w:val="clear" w:color="000000" w:fill="auto"/>
            <w:vAlign w:val="center"/>
          </w:tcPr>
          <w:p w14:paraId="5A569584" w14:textId="5A8C3A78" w:rsidR="005701FE" w:rsidRPr="00FF3A24" w:rsidRDefault="005701FE" w:rsidP="00DA6DEB">
            <w:pPr>
              <w:spacing w:before="120" w:after="120" w:line="240" w:lineRule="auto"/>
              <w:jc w:val="center"/>
              <w:rPr>
                <w:b/>
                <w:bCs/>
              </w:rPr>
            </w:pPr>
            <w:r w:rsidRPr="00FF3A24">
              <w:rPr>
                <w:b/>
                <w:bCs/>
              </w:rPr>
              <w:t>MBSHC21/10</w:t>
            </w:r>
          </w:p>
        </w:tc>
        <w:tc>
          <w:tcPr>
            <w:tcW w:w="4818" w:type="dxa"/>
            <w:shd w:val="clear" w:color="000000" w:fill="auto"/>
            <w:vAlign w:val="center"/>
          </w:tcPr>
          <w:p w14:paraId="46B2DF91" w14:textId="79F69454" w:rsidR="005701FE" w:rsidRPr="00FF3A24" w:rsidRDefault="005701FE" w:rsidP="00546761">
            <w:pPr>
              <w:spacing w:before="120" w:after="120" w:line="240" w:lineRule="auto"/>
              <w:jc w:val="both"/>
              <w:rPr>
                <w:rFonts w:cs="Arial"/>
              </w:rPr>
            </w:pPr>
            <w:r w:rsidRPr="00FF3A24">
              <w:rPr>
                <w:rFonts w:cs="Arial"/>
              </w:rPr>
              <w:t>MBSHC Chair to request National Coordinators to review the contents of the relevant Annexes of the GMDSS Master Plan to ensure consistency for their national entries website (see IRCC11 Action 8)</w:t>
            </w:r>
          </w:p>
        </w:tc>
        <w:tc>
          <w:tcPr>
            <w:tcW w:w="1390" w:type="dxa"/>
            <w:shd w:val="clear" w:color="000000" w:fill="auto"/>
            <w:vAlign w:val="center"/>
          </w:tcPr>
          <w:p w14:paraId="573785C1" w14:textId="34FF413B" w:rsidR="005701FE" w:rsidRPr="00FF3A24" w:rsidRDefault="005701FE" w:rsidP="00546761">
            <w:pPr>
              <w:spacing w:before="120" w:after="120" w:line="240" w:lineRule="auto"/>
              <w:jc w:val="center"/>
              <w:rPr>
                <w:bCs/>
              </w:rPr>
            </w:pPr>
            <w:r w:rsidRPr="00FF3A24">
              <w:rPr>
                <w:bCs/>
              </w:rPr>
              <w:t>MBSHC Chair</w:t>
            </w:r>
          </w:p>
        </w:tc>
        <w:tc>
          <w:tcPr>
            <w:tcW w:w="1730" w:type="dxa"/>
            <w:shd w:val="clear" w:color="000000" w:fill="auto"/>
            <w:vAlign w:val="center"/>
          </w:tcPr>
          <w:p w14:paraId="08133347" w14:textId="3278873E" w:rsidR="005701FE" w:rsidRPr="00FF3A24" w:rsidRDefault="005701FE" w:rsidP="00546761">
            <w:pPr>
              <w:spacing w:before="120" w:after="120" w:line="240" w:lineRule="auto"/>
              <w:jc w:val="center"/>
              <w:rPr>
                <w:rFonts w:cs="Arial"/>
              </w:rPr>
            </w:pPr>
            <w:r w:rsidRPr="00FF3A24">
              <w:rPr>
                <w:rFonts w:cs="Arial"/>
              </w:rPr>
              <w:t>30 July 2019</w:t>
            </w:r>
          </w:p>
        </w:tc>
      </w:tr>
      <w:tr w:rsidR="005701FE" w:rsidRPr="007D2593" w14:paraId="30B69783" w14:textId="77777777" w:rsidTr="0099313D">
        <w:trPr>
          <w:trHeight w:val="20"/>
          <w:jc w:val="center"/>
        </w:trPr>
        <w:tc>
          <w:tcPr>
            <w:tcW w:w="1696" w:type="dxa"/>
            <w:shd w:val="clear" w:color="000000" w:fill="auto"/>
            <w:vAlign w:val="center"/>
          </w:tcPr>
          <w:p w14:paraId="68E3CDF6" w14:textId="1AE2022F" w:rsidR="005701FE" w:rsidRPr="00FF3A24" w:rsidRDefault="005701FE" w:rsidP="00DA6DEB">
            <w:pPr>
              <w:spacing w:before="120" w:after="120" w:line="240" w:lineRule="auto"/>
              <w:jc w:val="center"/>
              <w:rPr>
                <w:b/>
                <w:bCs/>
              </w:rPr>
            </w:pPr>
            <w:r w:rsidRPr="00FF3A24">
              <w:rPr>
                <w:b/>
                <w:bCs/>
              </w:rPr>
              <w:lastRenderedPageBreak/>
              <w:t>MBSHC21/11</w:t>
            </w:r>
          </w:p>
        </w:tc>
        <w:tc>
          <w:tcPr>
            <w:tcW w:w="4818" w:type="dxa"/>
            <w:shd w:val="clear" w:color="000000" w:fill="auto"/>
            <w:vAlign w:val="center"/>
          </w:tcPr>
          <w:p w14:paraId="3571F58C" w14:textId="5DEB016F" w:rsidR="005701FE" w:rsidRPr="00FF3A24" w:rsidRDefault="005701FE" w:rsidP="00546761">
            <w:pPr>
              <w:spacing w:before="120" w:after="120" w:line="240" w:lineRule="auto"/>
              <w:jc w:val="both"/>
              <w:rPr>
                <w:rFonts w:cs="Arial"/>
              </w:rPr>
            </w:pPr>
            <w:r w:rsidRPr="00FF3A24">
              <w:rPr>
                <w:rFonts w:cs="Arial"/>
              </w:rPr>
              <w:t>MBSHC Chair to consider the task</w:t>
            </w:r>
            <w:r w:rsidR="00DA6DEB" w:rsidRPr="00FF3A24">
              <w:rPr>
                <w:rFonts w:cs="Arial"/>
              </w:rPr>
              <w:t>s</w:t>
            </w:r>
            <w:r w:rsidRPr="00FF3A24">
              <w:rPr>
                <w:rFonts w:cs="Arial"/>
              </w:rPr>
              <w:t xml:space="preserve"> listed as duties for the Regional Seabed Coordinator/Mechanism (see doc. IRCC11-07I3) (…)</w:t>
            </w:r>
          </w:p>
          <w:p w14:paraId="7408A4B9" w14:textId="77777777" w:rsidR="005701FE" w:rsidRPr="00FF3A24" w:rsidRDefault="005701FE" w:rsidP="00546761">
            <w:pPr>
              <w:spacing w:before="120" w:after="120" w:line="240" w:lineRule="auto"/>
              <w:jc w:val="both"/>
              <w:rPr>
                <w:rFonts w:cs="Arial"/>
              </w:rPr>
            </w:pPr>
            <w:r w:rsidRPr="00FF3A24">
              <w:rPr>
                <w:rFonts w:cs="Arial"/>
              </w:rPr>
              <w:t>(…) and to include Seabed 2030 in the MBSHC workplan and reports to IRCC</w:t>
            </w:r>
          </w:p>
          <w:p w14:paraId="06614B69" w14:textId="76EE3F58" w:rsidR="005701FE" w:rsidRPr="00FF3A24" w:rsidRDefault="005701FE" w:rsidP="00546761">
            <w:pPr>
              <w:spacing w:before="120" w:after="120" w:line="240" w:lineRule="auto"/>
              <w:jc w:val="both"/>
              <w:rPr>
                <w:rFonts w:cs="Arial"/>
              </w:rPr>
            </w:pPr>
            <w:r w:rsidRPr="00FF3A24">
              <w:rPr>
                <w:rFonts w:cs="Arial"/>
              </w:rPr>
              <w:t>(see IRCC11 action 12)</w:t>
            </w:r>
          </w:p>
        </w:tc>
        <w:tc>
          <w:tcPr>
            <w:tcW w:w="1390" w:type="dxa"/>
            <w:shd w:val="clear" w:color="000000" w:fill="auto"/>
            <w:vAlign w:val="center"/>
          </w:tcPr>
          <w:p w14:paraId="5D96AF71" w14:textId="3901A0F7" w:rsidR="005701FE" w:rsidRPr="00FF3A24" w:rsidRDefault="005701FE" w:rsidP="00546761">
            <w:pPr>
              <w:spacing w:before="120" w:after="120" w:line="240" w:lineRule="auto"/>
              <w:jc w:val="center"/>
              <w:rPr>
                <w:bCs/>
              </w:rPr>
            </w:pPr>
            <w:r w:rsidRPr="00FF3A24">
              <w:rPr>
                <w:bCs/>
              </w:rPr>
              <w:t>MBSHC Chair</w:t>
            </w:r>
          </w:p>
        </w:tc>
        <w:tc>
          <w:tcPr>
            <w:tcW w:w="1730" w:type="dxa"/>
            <w:shd w:val="clear" w:color="000000" w:fill="auto"/>
            <w:vAlign w:val="center"/>
          </w:tcPr>
          <w:p w14:paraId="78D57A02" w14:textId="6CB1C44B" w:rsidR="005701FE" w:rsidRPr="00FF3A24" w:rsidRDefault="005701FE" w:rsidP="00546761">
            <w:pPr>
              <w:spacing w:before="120" w:after="120" w:line="240" w:lineRule="auto"/>
              <w:jc w:val="center"/>
              <w:rPr>
                <w:rFonts w:cs="Arial"/>
              </w:rPr>
            </w:pPr>
            <w:r w:rsidRPr="00FF3A24">
              <w:rPr>
                <w:rFonts w:cs="Arial"/>
              </w:rPr>
              <w:t>IRCC12</w:t>
            </w:r>
          </w:p>
        </w:tc>
      </w:tr>
      <w:tr w:rsidR="00A23D23" w:rsidRPr="007D2593" w14:paraId="77CDF9B1" w14:textId="77777777" w:rsidTr="0099313D">
        <w:trPr>
          <w:trHeight w:val="20"/>
          <w:jc w:val="center"/>
        </w:trPr>
        <w:tc>
          <w:tcPr>
            <w:tcW w:w="1696" w:type="dxa"/>
            <w:shd w:val="clear" w:color="000000" w:fill="auto"/>
            <w:vAlign w:val="center"/>
          </w:tcPr>
          <w:p w14:paraId="6172C5D1" w14:textId="1333FFDC" w:rsidR="00A23D23" w:rsidRPr="00FF3A24" w:rsidRDefault="00A23D23" w:rsidP="00A23D23">
            <w:pPr>
              <w:spacing w:before="120" w:after="120" w:line="240" w:lineRule="auto"/>
              <w:jc w:val="center"/>
              <w:rPr>
                <w:b/>
                <w:bCs/>
              </w:rPr>
            </w:pPr>
            <w:r w:rsidRPr="00FF3A24">
              <w:rPr>
                <w:b/>
                <w:bCs/>
              </w:rPr>
              <w:t>MBSHC21/12</w:t>
            </w:r>
          </w:p>
        </w:tc>
        <w:tc>
          <w:tcPr>
            <w:tcW w:w="4818" w:type="dxa"/>
            <w:shd w:val="clear" w:color="000000" w:fill="auto"/>
            <w:vAlign w:val="center"/>
          </w:tcPr>
          <w:p w14:paraId="22C7DE64" w14:textId="77777777" w:rsidR="00A23D23" w:rsidRPr="00FF3A24" w:rsidRDefault="00A23D23" w:rsidP="00A23D23">
            <w:pPr>
              <w:spacing w:before="120" w:after="120" w:line="240" w:lineRule="auto"/>
              <w:jc w:val="both"/>
              <w:rPr>
                <w:rFonts w:cs="Arial"/>
              </w:rPr>
            </w:pPr>
            <w:r w:rsidRPr="00FF3A24">
              <w:rPr>
                <w:rFonts w:cs="Arial"/>
              </w:rPr>
              <w:t xml:space="preserve">Member States are </w:t>
            </w:r>
            <w:proofErr w:type="spellStart"/>
            <w:r w:rsidRPr="00FF3A24">
              <w:rPr>
                <w:rFonts w:cs="Arial"/>
              </w:rPr>
              <w:t>intived</w:t>
            </w:r>
            <w:proofErr w:type="spellEnd"/>
            <w:r w:rsidRPr="00FF3A24">
              <w:rPr>
                <w:rFonts w:cs="Arial"/>
              </w:rPr>
              <w:t xml:space="preserve"> to provide comments and suggestions to SPRWG’s Chair and secretariat about the IHO Future Strategic Plan (see IRCC11 action 15)</w:t>
            </w:r>
          </w:p>
          <w:p w14:paraId="68AB72A6" w14:textId="77777777" w:rsidR="00A23D23" w:rsidRPr="00FF3A24" w:rsidRDefault="00AF3AF2" w:rsidP="00A23D23">
            <w:pPr>
              <w:spacing w:after="0" w:line="240" w:lineRule="auto"/>
              <w:jc w:val="both"/>
              <w:rPr>
                <w:rFonts w:cs="Arial"/>
              </w:rPr>
            </w:pPr>
            <w:hyperlink r:id="rId8" w:history="1">
              <w:r w:rsidR="00A23D23" w:rsidRPr="00FF3A24">
                <w:rPr>
                  <w:rStyle w:val="Hipervnculo"/>
                  <w:rFonts w:cs="Arial"/>
                </w:rPr>
                <w:t>Bruno.frachon@shom.fr</w:t>
              </w:r>
            </w:hyperlink>
          </w:p>
          <w:p w14:paraId="145A3FB8" w14:textId="77777777" w:rsidR="00A23D23" w:rsidRPr="00FF3A24" w:rsidRDefault="00AF3AF2" w:rsidP="00A23D23">
            <w:pPr>
              <w:spacing w:after="0" w:line="240" w:lineRule="auto"/>
              <w:jc w:val="both"/>
              <w:rPr>
                <w:rFonts w:cs="Arial"/>
              </w:rPr>
            </w:pPr>
            <w:hyperlink r:id="rId9" w:history="1">
              <w:r w:rsidR="00A23D23" w:rsidRPr="00FF3A24">
                <w:rPr>
                  <w:rStyle w:val="Hipervnculo"/>
                  <w:rFonts w:cs="Arial"/>
                </w:rPr>
                <w:t>Shigeru.nakabayashi@jodc.go.jp</w:t>
              </w:r>
            </w:hyperlink>
          </w:p>
          <w:p w14:paraId="0B1BD9B1" w14:textId="7080C4E7" w:rsidR="00A23D23" w:rsidRPr="00FF3A24" w:rsidRDefault="00AF3AF2" w:rsidP="00744155">
            <w:pPr>
              <w:spacing w:after="120" w:line="240" w:lineRule="auto"/>
              <w:jc w:val="both"/>
              <w:rPr>
                <w:rFonts w:cs="Arial"/>
              </w:rPr>
            </w:pPr>
            <w:hyperlink r:id="rId10" w:history="1">
              <w:r w:rsidR="00A23D23" w:rsidRPr="00FF3A24">
                <w:rPr>
                  <w:rStyle w:val="Hipervnculo"/>
                  <w:rFonts w:cs="Arial"/>
                </w:rPr>
                <w:t>Douglas.brunt@dfo-mpo.gc.ca</w:t>
              </w:r>
            </w:hyperlink>
          </w:p>
        </w:tc>
        <w:tc>
          <w:tcPr>
            <w:tcW w:w="1390" w:type="dxa"/>
            <w:shd w:val="clear" w:color="000000" w:fill="auto"/>
            <w:vAlign w:val="center"/>
          </w:tcPr>
          <w:p w14:paraId="467B0AF5" w14:textId="131D76B1" w:rsidR="00A23D23" w:rsidRPr="00FF3A24" w:rsidRDefault="00A23D23" w:rsidP="00A23D23">
            <w:pPr>
              <w:spacing w:before="120" w:after="120" w:line="240" w:lineRule="auto"/>
              <w:jc w:val="center"/>
              <w:rPr>
                <w:bCs/>
              </w:rPr>
            </w:pPr>
            <w:r w:rsidRPr="00FF3A24">
              <w:rPr>
                <w:bCs/>
              </w:rPr>
              <w:t>All</w:t>
            </w:r>
          </w:p>
        </w:tc>
        <w:tc>
          <w:tcPr>
            <w:tcW w:w="1730" w:type="dxa"/>
            <w:shd w:val="clear" w:color="000000" w:fill="auto"/>
            <w:vAlign w:val="center"/>
          </w:tcPr>
          <w:p w14:paraId="7960208F" w14:textId="6C5F22F0" w:rsidR="00A23D23" w:rsidRPr="00FF3A24" w:rsidRDefault="00A23D23" w:rsidP="00A23D23">
            <w:pPr>
              <w:spacing w:before="120" w:after="120" w:line="240" w:lineRule="auto"/>
              <w:jc w:val="center"/>
              <w:rPr>
                <w:rFonts w:cs="Arial"/>
              </w:rPr>
            </w:pPr>
            <w:r w:rsidRPr="00FF3A24">
              <w:rPr>
                <w:rFonts w:ascii="Calibri" w:hAnsi="Calibri" w:cs="Calibri"/>
                <w:color w:val="000000" w:themeColor="text1"/>
                <w:lang w:val="en-US"/>
              </w:rPr>
              <w:t>24 June 2019</w:t>
            </w:r>
          </w:p>
        </w:tc>
      </w:tr>
      <w:tr w:rsidR="005701FE" w:rsidRPr="005701FE" w14:paraId="510155AD" w14:textId="77777777" w:rsidTr="0099313D">
        <w:trPr>
          <w:trHeight w:val="20"/>
          <w:jc w:val="center"/>
        </w:trPr>
        <w:tc>
          <w:tcPr>
            <w:tcW w:w="1696" w:type="dxa"/>
            <w:shd w:val="clear" w:color="000000" w:fill="auto"/>
            <w:vAlign w:val="center"/>
          </w:tcPr>
          <w:p w14:paraId="5C12FAE1" w14:textId="5B545D40" w:rsidR="005701FE" w:rsidRPr="00FF3A24" w:rsidRDefault="005701FE" w:rsidP="00DA6DEB">
            <w:pPr>
              <w:spacing w:before="120" w:after="120" w:line="240" w:lineRule="auto"/>
              <w:jc w:val="center"/>
              <w:rPr>
                <w:b/>
                <w:bCs/>
              </w:rPr>
            </w:pPr>
            <w:r w:rsidRPr="00FF3A24">
              <w:rPr>
                <w:b/>
                <w:bCs/>
              </w:rPr>
              <w:t>MBSHC21/1</w:t>
            </w:r>
            <w:r w:rsidR="00A23D23" w:rsidRPr="00FF3A24">
              <w:rPr>
                <w:b/>
                <w:bCs/>
              </w:rPr>
              <w:t>3</w:t>
            </w:r>
          </w:p>
        </w:tc>
        <w:tc>
          <w:tcPr>
            <w:tcW w:w="4818" w:type="dxa"/>
            <w:shd w:val="clear" w:color="000000" w:fill="auto"/>
            <w:vAlign w:val="center"/>
          </w:tcPr>
          <w:p w14:paraId="5F2F7E40" w14:textId="16864F21" w:rsidR="005701FE" w:rsidRPr="00FF3A24" w:rsidRDefault="005701FE" w:rsidP="00546761">
            <w:pPr>
              <w:spacing w:before="120" w:after="120" w:line="240" w:lineRule="auto"/>
              <w:jc w:val="both"/>
              <w:rPr>
                <w:rFonts w:cs="Arial"/>
              </w:rPr>
            </w:pPr>
            <w:r w:rsidRPr="00FF3A24">
              <w:rPr>
                <w:rFonts w:cs="Arial"/>
              </w:rPr>
              <w:t>Member States are inv</w:t>
            </w:r>
            <w:r w:rsidR="00DA6DEB" w:rsidRPr="00FF3A24">
              <w:rPr>
                <w:rFonts w:cs="Arial"/>
              </w:rPr>
              <w:t xml:space="preserve">ited to provide feedback on the development of a Roadmap for </w:t>
            </w:r>
            <w:proofErr w:type="spellStart"/>
            <w:r w:rsidR="00DA6DEB" w:rsidRPr="00FF3A24">
              <w:rPr>
                <w:rFonts w:cs="Arial"/>
              </w:rPr>
              <w:t>provisione</w:t>
            </w:r>
            <w:proofErr w:type="spellEnd"/>
            <w:r w:rsidR="00DA6DEB" w:rsidRPr="00FF3A24">
              <w:rPr>
                <w:rFonts w:cs="Arial"/>
              </w:rPr>
              <w:t xml:space="preserve"> of S-100-based services </w:t>
            </w:r>
            <w:proofErr w:type="spellStart"/>
            <w:r w:rsidR="00DA6DEB" w:rsidRPr="00FF3A24">
              <w:rPr>
                <w:rFonts w:cs="Arial"/>
              </w:rPr>
              <w:t>pro</w:t>
            </w:r>
            <w:r w:rsidRPr="00FF3A24">
              <w:rPr>
                <w:rFonts w:cs="Arial"/>
              </w:rPr>
              <w:t>and</w:t>
            </w:r>
            <w:proofErr w:type="spellEnd"/>
            <w:r w:rsidRPr="00FF3A24">
              <w:rPr>
                <w:rFonts w:cs="Arial"/>
              </w:rPr>
              <w:t xml:space="preserve"> </w:t>
            </w:r>
            <w:r w:rsidR="00DA6DEB" w:rsidRPr="00FF3A24">
              <w:rPr>
                <w:rFonts w:cs="Arial"/>
              </w:rPr>
              <w:t>t</w:t>
            </w:r>
            <w:r w:rsidRPr="00FF3A24">
              <w:rPr>
                <w:rFonts w:cs="Arial"/>
              </w:rPr>
              <w:t xml:space="preserve">o the Secretary of the drafting group (Council chair, RDML Smith, </w:t>
            </w:r>
            <w:hyperlink r:id="rId11" w:history="1">
              <w:r w:rsidRPr="00FF3A24">
                <w:rPr>
                  <w:rStyle w:val="Hipervnculo"/>
                  <w:rFonts w:cs="Arial"/>
                </w:rPr>
                <w:t>shep.smith@noaa.gov</w:t>
              </w:r>
            </w:hyperlink>
            <w:r w:rsidRPr="00FF3A24">
              <w:rPr>
                <w:rFonts w:cs="Arial"/>
              </w:rPr>
              <w:t>) (see IRCC11 action</w:t>
            </w:r>
            <w:r w:rsidR="00DA6DEB" w:rsidRPr="00FF3A24">
              <w:rPr>
                <w:rFonts w:cs="Arial"/>
              </w:rPr>
              <w:t xml:space="preserve"> 16</w:t>
            </w:r>
            <w:r w:rsidRPr="00FF3A24">
              <w:rPr>
                <w:rFonts w:cs="Arial"/>
              </w:rPr>
              <w:t>)</w:t>
            </w:r>
          </w:p>
        </w:tc>
        <w:tc>
          <w:tcPr>
            <w:tcW w:w="1390" w:type="dxa"/>
            <w:shd w:val="clear" w:color="000000" w:fill="auto"/>
            <w:vAlign w:val="center"/>
          </w:tcPr>
          <w:p w14:paraId="3C0B4866" w14:textId="0B0D232D" w:rsidR="005701FE" w:rsidRPr="00FF3A24" w:rsidRDefault="005701FE" w:rsidP="00546761">
            <w:pPr>
              <w:spacing w:before="120" w:after="120" w:line="240" w:lineRule="auto"/>
              <w:jc w:val="center"/>
              <w:rPr>
                <w:bCs/>
              </w:rPr>
            </w:pPr>
            <w:r w:rsidRPr="00FF3A24">
              <w:rPr>
                <w:bCs/>
              </w:rPr>
              <w:t>All</w:t>
            </w:r>
          </w:p>
        </w:tc>
        <w:tc>
          <w:tcPr>
            <w:tcW w:w="1730" w:type="dxa"/>
            <w:shd w:val="clear" w:color="000000" w:fill="auto"/>
            <w:vAlign w:val="center"/>
          </w:tcPr>
          <w:p w14:paraId="17E54128" w14:textId="3EB8EE78" w:rsidR="005701FE" w:rsidRPr="00FF3A24" w:rsidRDefault="005701FE" w:rsidP="00546761">
            <w:pPr>
              <w:spacing w:before="120" w:after="120" w:line="240" w:lineRule="auto"/>
              <w:jc w:val="center"/>
              <w:rPr>
                <w:rFonts w:ascii="Calibri" w:hAnsi="Calibri" w:cs="Calibri"/>
                <w:color w:val="FF0000"/>
                <w:lang w:val="en-US"/>
              </w:rPr>
            </w:pPr>
            <w:r w:rsidRPr="00FF3A24">
              <w:rPr>
                <w:rFonts w:ascii="Calibri" w:hAnsi="Calibri" w:cs="Calibri"/>
                <w:color w:val="000000" w:themeColor="text1"/>
                <w:lang w:val="en-US"/>
              </w:rPr>
              <w:t>24 June 2019</w:t>
            </w:r>
          </w:p>
        </w:tc>
      </w:tr>
      <w:tr w:rsidR="007C12EC" w:rsidRPr="005701FE" w14:paraId="3CFD1DE3" w14:textId="77777777" w:rsidTr="0099313D">
        <w:trPr>
          <w:trHeight w:val="20"/>
          <w:jc w:val="center"/>
        </w:trPr>
        <w:tc>
          <w:tcPr>
            <w:tcW w:w="1696" w:type="dxa"/>
            <w:shd w:val="clear" w:color="000000" w:fill="auto"/>
            <w:vAlign w:val="center"/>
          </w:tcPr>
          <w:p w14:paraId="1466C0F8" w14:textId="26573E8A" w:rsidR="007C12EC" w:rsidRPr="00FF3A24" w:rsidRDefault="007C12EC" w:rsidP="00DA6DEB">
            <w:pPr>
              <w:spacing w:before="120" w:after="120" w:line="240" w:lineRule="auto"/>
              <w:jc w:val="center"/>
              <w:rPr>
                <w:b/>
                <w:bCs/>
              </w:rPr>
            </w:pPr>
            <w:r w:rsidRPr="00FF3A24">
              <w:rPr>
                <w:b/>
                <w:bCs/>
              </w:rPr>
              <w:t>MBSHC21/1</w:t>
            </w:r>
            <w:r w:rsidR="00BA37FE" w:rsidRPr="00FF3A24">
              <w:rPr>
                <w:b/>
                <w:bCs/>
              </w:rPr>
              <w:t>4</w:t>
            </w:r>
          </w:p>
        </w:tc>
        <w:tc>
          <w:tcPr>
            <w:tcW w:w="4818" w:type="dxa"/>
            <w:shd w:val="clear" w:color="000000" w:fill="auto"/>
            <w:vAlign w:val="center"/>
          </w:tcPr>
          <w:p w14:paraId="4505AEBA" w14:textId="41DBCD5F" w:rsidR="007C12EC" w:rsidRPr="00FF3A24" w:rsidRDefault="007C12EC" w:rsidP="00546761">
            <w:pPr>
              <w:spacing w:before="120" w:after="120" w:line="240" w:lineRule="auto"/>
              <w:jc w:val="both"/>
              <w:rPr>
                <w:rFonts w:cs="Arial"/>
              </w:rPr>
            </w:pPr>
            <w:r w:rsidRPr="00FF3A24">
              <w:rPr>
                <w:rFonts w:cs="Arial"/>
              </w:rPr>
              <w:t xml:space="preserve">Member States are encouraged to take note of the list of the activities of interest suggested by Croatia in its National report and </w:t>
            </w:r>
            <w:r w:rsidR="00AF6275" w:rsidRPr="00FF3A24">
              <w:rPr>
                <w:rFonts w:cs="Arial"/>
              </w:rPr>
              <w:t xml:space="preserve">make an </w:t>
            </w:r>
            <w:r w:rsidRPr="00FF3A24">
              <w:rPr>
                <w:rFonts w:cs="Arial"/>
              </w:rPr>
              <w:t xml:space="preserve">update about progresses </w:t>
            </w:r>
            <w:r w:rsidR="00AF6275" w:rsidRPr="00FF3A24">
              <w:rPr>
                <w:rFonts w:cs="Arial"/>
              </w:rPr>
              <w:t xml:space="preserve">about the listed topics </w:t>
            </w:r>
            <w:r w:rsidRPr="00FF3A24">
              <w:rPr>
                <w:rFonts w:cs="Arial"/>
              </w:rPr>
              <w:t>at the next meeting</w:t>
            </w:r>
          </w:p>
        </w:tc>
        <w:tc>
          <w:tcPr>
            <w:tcW w:w="1390" w:type="dxa"/>
            <w:shd w:val="clear" w:color="000000" w:fill="auto"/>
            <w:vAlign w:val="center"/>
          </w:tcPr>
          <w:p w14:paraId="060CFE19" w14:textId="2ACDC32F" w:rsidR="007C12EC" w:rsidRPr="00FF3A24" w:rsidRDefault="007C12EC" w:rsidP="00546761">
            <w:pPr>
              <w:spacing w:before="120" w:after="120" w:line="240" w:lineRule="auto"/>
              <w:jc w:val="center"/>
              <w:rPr>
                <w:bCs/>
              </w:rPr>
            </w:pPr>
            <w:r w:rsidRPr="00FF3A24">
              <w:rPr>
                <w:bCs/>
              </w:rPr>
              <w:t>All</w:t>
            </w:r>
          </w:p>
        </w:tc>
        <w:tc>
          <w:tcPr>
            <w:tcW w:w="1730" w:type="dxa"/>
            <w:shd w:val="clear" w:color="000000" w:fill="auto"/>
            <w:vAlign w:val="center"/>
          </w:tcPr>
          <w:p w14:paraId="3B7CC778" w14:textId="1CC74805" w:rsidR="007C12EC" w:rsidRPr="00FF3A24" w:rsidRDefault="007C12EC" w:rsidP="00546761">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MBSHC22</w:t>
            </w:r>
          </w:p>
        </w:tc>
      </w:tr>
      <w:tr w:rsidR="00546761" w:rsidRPr="005701FE" w14:paraId="4C4A5ADC" w14:textId="77777777" w:rsidTr="0099313D">
        <w:trPr>
          <w:trHeight w:val="20"/>
          <w:jc w:val="center"/>
        </w:trPr>
        <w:tc>
          <w:tcPr>
            <w:tcW w:w="1696" w:type="dxa"/>
            <w:shd w:val="clear" w:color="000000" w:fill="auto"/>
            <w:vAlign w:val="center"/>
          </w:tcPr>
          <w:p w14:paraId="5E1A8765" w14:textId="704AE51D" w:rsidR="00546761" w:rsidRPr="00FF3A24" w:rsidRDefault="00546761" w:rsidP="00DA6DEB">
            <w:pPr>
              <w:spacing w:before="120" w:after="120" w:line="240" w:lineRule="auto"/>
              <w:jc w:val="center"/>
              <w:rPr>
                <w:b/>
                <w:bCs/>
              </w:rPr>
            </w:pPr>
            <w:r w:rsidRPr="00FF3A24">
              <w:rPr>
                <w:b/>
                <w:bCs/>
              </w:rPr>
              <w:t>MBSHC21/</w:t>
            </w:r>
            <w:r w:rsidR="00AF6275" w:rsidRPr="00FF3A24">
              <w:rPr>
                <w:b/>
                <w:bCs/>
              </w:rPr>
              <w:t>14</w:t>
            </w:r>
          </w:p>
        </w:tc>
        <w:tc>
          <w:tcPr>
            <w:tcW w:w="4818" w:type="dxa"/>
            <w:shd w:val="clear" w:color="000000" w:fill="auto"/>
            <w:vAlign w:val="center"/>
          </w:tcPr>
          <w:p w14:paraId="3AC922BB" w14:textId="55C5C15F" w:rsidR="00546761" w:rsidRPr="00FF3A24" w:rsidRDefault="00A23D23" w:rsidP="00546761">
            <w:pPr>
              <w:spacing w:before="120" w:after="120" w:line="240" w:lineRule="auto"/>
              <w:jc w:val="both"/>
              <w:rPr>
                <w:rFonts w:cs="Arial"/>
              </w:rPr>
            </w:pPr>
            <w:r w:rsidRPr="00FF3A24">
              <w:rPr>
                <w:rFonts w:cs="Arial"/>
              </w:rPr>
              <w:t>Member States</w:t>
            </w:r>
            <w:r w:rsidR="00546761" w:rsidRPr="00FF3A24">
              <w:rPr>
                <w:rFonts w:cs="Arial"/>
              </w:rPr>
              <w:t xml:space="preserve"> to be aware of IALA risk management toolbox endorsed by IMO in SN 1/Circ. 296</w:t>
            </w:r>
          </w:p>
        </w:tc>
        <w:tc>
          <w:tcPr>
            <w:tcW w:w="1390" w:type="dxa"/>
            <w:shd w:val="clear" w:color="000000" w:fill="auto"/>
            <w:vAlign w:val="center"/>
          </w:tcPr>
          <w:p w14:paraId="51462F22" w14:textId="6ACDEED1" w:rsidR="00546761" w:rsidRPr="00FF3A24" w:rsidRDefault="00546761" w:rsidP="00546761">
            <w:pPr>
              <w:spacing w:before="120" w:after="120" w:line="240" w:lineRule="auto"/>
              <w:jc w:val="center"/>
              <w:rPr>
                <w:bCs/>
              </w:rPr>
            </w:pPr>
            <w:r w:rsidRPr="00FF3A24">
              <w:rPr>
                <w:bCs/>
              </w:rPr>
              <w:t>All</w:t>
            </w:r>
          </w:p>
        </w:tc>
        <w:tc>
          <w:tcPr>
            <w:tcW w:w="1730" w:type="dxa"/>
            <w:shd w:val="clear" w:color="000000" w:fill="auto"/>
            <w:vAlign w:val="center"/>
          </w:tcPr>
          <w:p w14:paraId="0C8B04F8" w14:textId="7BDE1111" w:rsidR="00546761" w:rsidRPr="00FF3A24" w:rsidRDefault="00546761" w:rsidP="00546761">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Permanent</w:t>
            </w:r>
          </w:p>
        </w:tc>
      </w:tr>
      <w:tr w:rsidR="007C12EC" w:rsidRPr="005701FE" w14:paraId="167ADE9A" w14:textId="77777777" w:rsidTr="0099313D">
        <w:trPr>
          <w:trHeight w:val="20"/>
          <w:jc w:val="center"/>
        </w:trPr>
        <w:tc>
          <w:tcPr>
            <w:tcW w:w="1696" w:type="dxa"/>
            <w:shd w:val="clear" w:color="000000" w:fill="auto"/>
            <w:vAlign w:val="center"/>
          </w:tcPr>
          <w:p w14:paraId="275DCDEB" w14:textId="53B5915F" w:rsidR="007C12EC" w:rsidRPr="00FF3A24" w:rsidRDefault="00546761" w:rsidP="00DA6DEB">
            <w:pPr>
              <w:spacing w:before="120" w:after="120" w:line="240" w:lineRule="auto"/>
              <w:jc w:val="center"/>
              <w:rPr>
                <w:b/>
                <w:bCs/>
              </w:rPr>
            </w:pPr>
            <w:r w:rsidRPr="00FF3A24">
              <w:rPr>
                <w:b/>
                <w:bCs/>
              </w:rPr>
              <w:t>MBSHC21/</w:t>
            </w:r>
            <w:r w:rsidR="00AF6275" w:rsidRPr="00FF3A24">
              <w:rPr>
                <w:b/>
                <w:bCs/>
              </w:rPr>
              <w:t>15</w:t>
            </w:r>
          </w:p>
        </w:tc>
        <w:tc>
          <w:tcPr>
            <w:tcW w:w="4818" w:type="dxa"/>
            <w:shd w:val="clear" w:color="000000" w:fill="auto"/>
            <w:vAlign w:val="center"/>
          </w:tcPr>
          <w:p w14:paraId="54B17874" w14:textId="31098EEA" w:rsidR="007C12EC" w:rsidRPr="00FF3A24" w:rsidRDefault="00C93FF9" w:rsidP="00546761">
            <w:pPr>
              <w:spacing w:before="120" w:after="120" w:line="240" w:lineRule="auto"/>
              <w:jc w:val="both"/>
              <w:rPr>
                <w:rFonts w:cs="Arial"/>
              </w:rPr>
            </w:pPr>
            <w:r w:rsidRPr="00FF3A24">
              <w:rPr>
                <w:color w:val="000000"/>
              </w:rPr>
              <w:t xml:space="preserve">NAVAREA III coordinator to participate in </w:t>
            </w:r>
            <w:proofErr w:type="spellStart"/>
            <w:r w:rsidRPr="00FF3A24">
              <w:rPr>
                <w:color w:val="000000"/>
              </w:rPr>
              <w:t>NEAMWave</w:t>
            </w:r>
            <w:proofErr w:type="spellEnd"/>
            <w:r w:rsidRPr="00FF3A24">
              <w:rPr>
                <w:color w:val="000000"/>
              </w:rPr>
              <w:t xml:space="preserve"> 20 exercise</w:t>
            </w:r>
          </w:p>
        </w:tc>
        <w:tc>
          <w:tcPr>
            <w:tcW w:w="1390" w:type="dxa"/>
            <w:shd w:val="clear" w:color="000000" w:fill="auto"/>
            <w:vAlign w:val="center"/>
          </w:tcPr>
          <w:p w14:paraId="3766C9F1" w14:textId="5CFABBBE" w:rsidR="007C12EC" w:rsidRPr="00FF3A24" w:rsidRDefault="00C93FF9" w:rsidP="00546761">
            <w:pPr>
              <w:spacing w:before="120" w:after="120" w:line="240" w:lineRule="auto"/>
              <w:jc w:val="center"/>
              <w:rPr>
                <w:bCs/>
              </w:rPr>
            </w:pPr>
            <w:r w:rsidRPr="00FF3A24">
              <w:rPr>
                <w:bCs/>
              </w:rPr>
              <w:t>ES</w:t>
            </w:r>
          </w:p>
        </w:tc>
        <w:tc>
          <w:tcPr>
            <w:tcW w:w="1730" w:type="dxa"/>
            <w:shd w:val="clear" w:color="000000" w:fill="auto"/>
            <w:vAlign w:val="center"/>
          </w:tcPr>
          <w:p w14:paraId="7D5DE72F" w14:textId="16C4D6A7" w:rsidR="007C12EC" w:rsidRPr="00FF3A24" w:rsidRDefault="00C93FF9" w:rsidP="00546761">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NEAMWave20</w:t>
            </w:r>
          </w:p>
        </w:tc>
      </w:tr>
      <w:tr w:rsidR="00C93FF9" w:rsidRPr="005701FE" w14:paraId="79E92FAA" w14:textId="77777777" w:rsidTr="0099313D">
        <w:trPr>
          <w:trHeight w:val="20"/>
          <w:jc w:val="center"/>
        </w:trPr>
        <w:tc>
          <w:tcPr>
            <w:tcW w:w="1696" w:type="dxa"/>
            <w:shd w:val="clear" w:color="000000" w:fill="auto"/>
            <w:vAlign w:val="center"/>
          </w:tcPr>
          <w:p w14:paraId="485D0746" w14:textId="5D79D2B2" w:rsidR="00C93FF9" w:rsidRPr="00FF3A24" w:rsidRDefault="00C93FF9" w:rsidP="00DA6DEB">
            <w:pPr>
              <w:spacing w:before="120" w:after="120" w:line="240" w:lineRule="auto"/>
              <w:jc w:val="center"/>
              <w:rPr>
                <w:b/>
                <w:bCs/>
              </w:rPr>
            </w:pPr>
            <w:r w:rsidRPr="00FF3A24">
              <w:rPr>
                <w:b/>
                <w:bCs/>
              </w:rPr>
              <w:t>MBSHC21/</w:t>
            </w:r>
            <w:r w:rsidR="00A23D23" w:rsidRPr="00FF3A24">
              <w:rPr>
                <w:b/>
                <w:bCs/>
              </w:rPr>
              <w:t>16</w:t>
            </w:r>
          </w:p>
        </w:tc>
        <w:tc>
          <w:tcPr>
            <w:tcW w:w="4818" w:type="dxa"/>
            <w:shd w:val="clear" w:color="000000" w:fill="auto"/>
            <w:vAlign w:val="center"/>
          </w:tcPr>
          <w:p w14:paraId="33ECD349" w14:textId="65CEE320" w:rsidR="00C93FF9" w:rsidRPr="00FF3A24" w:rsidRDefault="00C93FF9" w:rsidP="00C93FF9">
            <w:pPr>
              <w:spacing w:before="120" w:after="120" w:line="240" w:lineRule="auto"/>
              <w:jc w:val="both"/>
              <w:rPr>
                <w:rFonts w:cs="Arial"/>
              </w:rPr>
            </w:pPr>
            <w:r w:rsidRPr="00FF3A24">
              <w:rPr>
                <w:rFonts w:cs="Arial"/>
              </w:rPr>
              <w:t xml:space="preserve">Member States </w:t>
            </w:r>
            <w:r w:rsidR="00A23D23" w:rsidRPr="00FF3A24">
              <w:rPr>
                <w:rFonts w:cs="Arial"/>
              </w:rPr>
              <w:t xml:space="preserve">and MBSHC Chair </w:t>
            </w:r>
            <w:r w:rsidRPr="00FF3A24">
              <w:rPr>
                <w:rFonts w:cs="Arial"/>
              </w:rPr>
              <w:t>are encouraged to participate to the Mediterranean regional workshop (TBD - January 2020) that will be organized among the activities of the “UN Decade of Ocean Science”</w:t>
            </w:r>
          </w:p>
        </w:tc>
        <w:tc>
          <w:tcPr>
            <w:tcW w:w="1390" w:type="dxa"/>
            <w:shd w:val="clear" w:color="000000" w:fill="auto"/>
            <w:vAlign w:val="center"/>
          </w:tcPr>
          <w:p w14:paraId="2509C134" w14:textId="77777777" w:rsidR="00C93FF9" w:rsidRPr="00FF3A24" w:rsidRDefault="00C93FF9" w:rsidP="00C93FF9">
            <w:pPr>
              <w:spacing w:before="120" w:after="120" w:line="240" w:lineRule="auto"/>
              <w:jc w:val="center"/>
              <w:rPr>
                <w:bCs/>
              </w:rPr>
            </w:pPr>
            <w:r w:rsidRPr="00FF3A24">
              <w:rPr>
                <w:bCs/>
              </w:rPr>
              <w:t xml:space="preserve">All </w:t>
            </w:r>
          </w:p>
          <w:p w14:paraId="1F726812" w14:textId="02459B25" w:rsidR="00A23D23" w:rsidRPr="00FF3A24" w:rsidRDefault="00A23D23" w:rsidP="00C93FF9">
            <w:pPr>
              <w:spacing w:before="120" w:after="120" w:line="240" w:lineRule="auto"/>
              <w:jc w:val="center"/>
              <w:rPr>
                <w:bCs/>
              </w:rPr>
            </w:pPr>
            <w:r w:rsidRPr="00FF3A24">
              <w:rPr>
                <w:bCs/>
              </w:rPr>
              <w:t>MBSHC Chair</w:t>
            </w:r>
          </w:p>
        </w:tc>
        <w:tc>
          <w:tcPr>
            <w:tcW w:w="1730" w:type="dxa"/>
            <w:shd w:val="clear" w:color="000000" w:fill="auto"/>
            <w:vAlign w:val="center"/>
          </w:tcPr>
          <w:p w14:paraId="030F3822" w14:textId="0602CE34" w:rsidR="00C93FF9" w:rsidRPr="00FF3A24" w:rsidRDefault="00C93FF9" w:rsidP="00C93FF9">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January 2020 (TBD)</w:t>
            </w:r>
          </w:p>
        </w:tc>
      </w:tr>
      <w:tr w:rsidR="00C93FF9" w:rsidRPr="005701FE" w14:paraId="42D33472" w14:textId="77777777" w:rsidTr="0099313D">
        <w:trPr>
          <w:trHeight w:val="20"/>
          <w:jc w:val="center"/>
        </w:trPr>
        <w:tc>
          <w:tcPr>
            <w:tcW w:w="1696" w:type="dxa"/>
            <w:shd w:val="clear" w:color="000000" w:fill="auto"/>
            <w:vAlign w:val="center"/>
          </w:tcPr>
          <w:p w14:paraId="700EE08D" w14:textId="7A1E9844" w:rsidR="00C93FF9" w:rsidRPr="00FF3A24" w:rsidRDefault="00C93FF9" w:rsidP="00DA6DEB">
            <w:pPr>
              <w:spacing w:before="120" w:after="120" w:line="240" w:lineRule="auto"/>
              <w:jc w:val="center"/>
              <w:rPr>
                <w:b/>
                <w:bCs/>
              </w:rPr>
            </w:pPr>
            <w:r w:rsidRPr="00FF3A24">
              <w:rPr>
                <w:b/>
                <w:bCs/>
              </w:rPr>
              <w:t>MBSHC21/</w:t>
            </w:r>
            <w:r w:rsidR="00A23D23" w:rsidRPr="00FF3A24">
              <w:rPr>
                <w:b/>
                <w:bCs/>
              </w:rPr>
              <w:t>17</w:t>
            </w:r>
          </w:p>
        </w:tc>
        <w:tc>
          <w:tcPr>
            <w:tcW w:w="4818" w:type="dxa"/>
            <w:shd w:val="clear" w:color="000000" w:fill="auto"/>
            <w:vAlign w:val="center"/>
          </w:tcPr>
          <w:p w14:paraId="05C97F1B" w14:textId="2B29223E" w:rsidR="00C93FF9" w:rsidRPr="00FF3A24" w:rsidRDefault="00C93FF9" w:rsidP="00C93FF9">
            <w:pPr>
              <w:spacing w:before="120" w:after="120" w:line="240" w:lineRule="auto"/>
              <w:jc w:val="both"/>
              <w:rPr>
                <w:rFonts w:cs="Arial"/>
              </w:rPr>
            </w:pPr>
            <w:r w:rsidRPr="00FF3A24">
              <w:rPr>
                <w:rFonts w:cs="Arial"/>
              </w:rPr>
              <w:t xml:space="preserve">Member States are encouraged to densify sea </w:t>
            </w:r>
            <w:proofErr w:type="spellStart"/>
            <w:r w:rsidRPr="00FF3A24">
              <w:rPr>
                <w:rFonts w:cs="Arial"/>
              </w:rPr>
              <w:t>leavel</w:t>
            </w:r>
            <w:proofErr w:type="spellEnd"/>
            <w:r w:rsidRPr="00FF3A24">
              <w:rPr>
                <w:rFonts w:cs="Arial"/>
              </w:rPr>
              <w:t xml:space="preserve"> network</w:t>
            </w:r>
            <w:r w:rsidR="00E62775" w:rsidRPr="00FF3A24">
              <w:rPr>
                <w:rFonts w:cs="Arial"/>
              </w:rPr>
              <w:t>s and share real time sea level data</w:t>
            </w:r>
            <w:r w:rsidRPr="00FF3A24">
              <w:rPr>
                <w:rFonts w:cs="Arial"/>
              </w:rPr>
              <w:t xml:space="preserve"> relevant to tsunami detection and alerts</w:t>
            </w:r>
          </w:p>
        </w:tc>
        <w:tc>
          <w:tcPr>
            <w:tcW w:w="1390" w:type="dxa"/>
            <w:shd w:val="clear" w:color="000000" w:fill="auto"/>
            <w:vAlign w:val="center"/>
          </w:tcPr>
          <w:p w14:paraId="1E1DE848" w14:textId="06E96AD0" w:rsidR="00C93FF9" w:rsidRPr="00FF3A24" w:rsidRDefault="00C93FF9" w:rsidP="00C93FF9">
            <w:pPr>
              <w:spacing w:before="120" w:after="120" w:line="240" w:lineRule="auto"/>
              <w:jc w:val="center"/>
              <w:rPr>
                <w:bCs/>
              </w:rPr>
            </w:pPr>
            <w:r w:rsidRPr="00FF3A24">
              <w:rPr>
                <w:bCs/>
              </w:rPr>
              <w:t>All</w:t>
            </w:r>
          </w:p>
        </w:tc>
        <w:tc>
          <w:tcPr>
            <w:tcW w:w="1730" w:type="dxa"/>
            <w:shd w:val="clear" w:color="000000" w:fill="auto"/>
            <w:vAlign w:val="center"/>
          </w:tcPr>
          <w:p w14:paraId="7C64D1D8" w14:textId="6B4FB1F8" w:rsidR="00C93FF9" w:rsidRPr="00FF3A24" w:rsidRDefault="00C93FF9" w:rsidP="00C93FF9">
            <w:pPr>
              <w:spacing w:before="120" w:after="120" w:line="240" w:lineRule="auto"/>
              <w:jc w:val="center"/>
              <w:rPr>
                <w:rFonts w:ascii="Calibri" w:hAnsi="Calibri" w:cs="Calibri"/>
                <w:color w:val="000000" w:themeColor="text1"/>
                <w:lang w:val="en-US"/>
              </w:rPr>
            </w:pPr>
            <w:r w:rsidRPr="00FF3A24">
              <w:rPr>
                <w:rFonts w:ascii="Calibri" w:hAnsi="Calibri" w:cs="Calibri"/>
                <w:color w:val="000000" w:themeColor="text1"/>
                <w:lang w:val="en-US"/>
              </w:rPr>
              <w:t>Permanent</w:t>
            </w:r>
          </w:p>
        </w:tc>
      </w:tr>
      <w:tr w:rsidR="005701FE" w:rsidRPr="005701FE" w14:paraId="045C09E3" w14:textId="77777777" w:rsidTr="0099313D">
        <w:trPr>
          <w:trHeight w:val="20"/>
          <w:jc w:val="center"/>
        </w:trPr>
        <w:tc>
          <w:tcPr>
            <w:tcW w:w="1696" w:type="dxa"/>
            <w:shd w:val="clear" w:color="000000" w:fill="auto"/>
            <w:vAlign w:val="center"/>
          </w:tcPr>
          <w:p w14:paraId="4F714EE7" w14:textId="40F9E07C" w:rsidR="005701FE" w:rsidRPr="00FF3A24" w:rsidRDefault="005701FE" w:rsidP="00DA6DEB">
            <w:pPr>
              <w:spacing w:before="120" w:after="120" w:line="240" w:lineRule="auto"/>
              <w:jc w:val="center"/>
              <w:rPr>
                <w:b/>
                <w:bCs/>
              </w:rPr>
            </w:pPr>
            <w:r w:rsidRPr="00FF3A24">
              <w:rPr>
                <w:b/>
                <w:bCs/>
              </w:rPr>
              <w:t>MBSHC21/</w:t>
            </w:r>
            <w:r w:rsidR="00A23D23" w:rsidRPr="00FF3A24">
              <w:rPr>
                <w:b/>
                <w:bCs/>
              </w:rPr>
              <w:t>18</w:t>
            </w:r>
          </w:p>
        </w:tc>
        <w:tc>
          <w:tcPr>
            <w:tcW w:w="4818" w:type="dxa"/>
            <w:shd w:val="clear" w:color="000000" w:fill="auto"/>
            <w:vAlign w:val="center"/>
          </w:tcPr>
          <w:p w14:paraId="48ECC571" w14:textId="3C98F8FF" w:rsidR="005701FE" w:rsidRPr="00FF3A24" w:rsidRDefault="005701FE" w:rsidP="00546761">
            <w:pPr>
              <w:spacing w:before="120" w:after="120" w:line="240" w:lineRule="auto"/>
              <w:jc w:val="both"/>
              <w:rPr>
                <w:rFonts w:cs="Arial"/>
              </w:rPr>
            </w:pPr>
            <w:r w:rsidRPr="00FF3A24">
              <w:rPr>
                <w:rFonts w:cs="Arial"/>
              </w:rPr>
              <w:t>Memb</w:t>
            </w:r>
            <w:r w:rsidR="00A23D23" w:rsidRPr="00FF3A24">
              <w:rPr>
                <w:rFonts w:cs="Arial"/>
              </w:rPr>
              <w:t>er States are invited to contri</w:t>
            </w:r>
            <w:r w:rsidRPr="00FF3A24">
              <w:rPr>
                <w:rFonts w:cs="Arial"/>
              </w:rPr>
              <w:t>bute to update the “Maritime Services” guidance (see IRCC11 action 18)</w:t>
            </w:r>
          </w:p>
        </w:tc>
        <w:tc>
          <w:tcPr>
            <w:tcW w:w="1390" w:type="dxa"/>
            <w:shd w:val="clear" w:color="000000" w:fill="auto"/>
            <w:vAlign w:val="center"/>
          </w:tcPr>
          <w:p w14:paraId="3E5F4B81" w14:textId="0F323AA0" w:rsidR="005701FE" w:rsidRPr="00FF3A24" w:rsidRDefault="00C93FF9" w:rsidP="00546761">
            <w:pPr>
              <w:spacing w:before="120" w:after="120" w:line="240" w:lineRule="auto"/>
              <w:jc w:val="center"/>
              <w:rPr>
                <w:bCs/>
              </w:rPr>
            </w:pPr>
            <w:r w:rsidRPr="00FF3A24">
              <w:rPr>
                <w:bCs/>
              </w:rPr>
              <w:t>All</w:t>
            </w:r>
          </w:p>
        </w:tc>
        <w:tc>
          <w:tcPr>
            <w:tcW w:w="1730" w:type="dxa"/>
            <w:shd w:val="clear" w:color="000000" w:fill="auto"/>
            <w:vAlign w:val="center"/>
          </w:tcPr>
          <w:p w14:paraId="68E06A54" w14:textId="7E318834" w:rsidR="005701FE" w:rsidRPr="00FF3A24" w:rsidRDefault="00C93FF9" w:rsidP="00546761">
            <w:pPr>
              <w:spacing w:before="120" w:after="120" w:line="240" w:lineRule="auto"/>
              <w:jc w:val="center"/>
              <w:rPr>
                <w:rFonts w:ascii="Calibri" w:hAnsi="Calibri" w:cs="Calibri"/>
                <w:lang w:val="en-US"/>
              </w:rPr>
            </w:pPr>
            <w:r w:rsidRPr="00FF3A24">
              <w:rPr>
                <w:rFonts w:ascii="Calibri" w:hAnsi="Calibri" w:cs="Calibri"/>
                <w:lang w:val="en-US"/>
              </w:rPr>
              <w:t>IRCC12</w:t>
            </w:r>
          </w:p>
        </w:tc>
      </w:tr>
      <w:tr w:rsidR="005701FE" w:rsidRPr="005701FE" w14:paraId="2910BE9A" w14:textId="77777777" w:rsidTr="0099313D">
        <w:trPr>
          <w:trHeight w:val="20"/>
          <w:jc w:val="center"/>
        </w:trPr>
        <w:tc>
          <w:tcPr>
            <w:tcW w:w="1696" w:type="dxa"/>
            <w:shd w:val="clear" w:color="000000" w:fill="auto"/>
            <w:vAlign w:val="center"/>
          </w:tcPr>
          <w:p w14:paraId="056A45EE" w14:textId="1BB4A834" w:rsidR="005701FE" w:rsidRPr="00FF3A24" w:rsidRDefault="005701FE" w:rsidP="00DA6DEB">
            <w:pPr>
              <w:spacing w:before="120" w:after="120" w:line="240" w:lineRule="auto"/>
              <w:jc w:val="center"/>
              <w:rPr>
                <w:b/>
                <w:bCs/>
              </w:rPr>
            </w:pPr>
            <w:r w:rsidRPr="00FF3A24">
              <w:rPr>
                <w:b/>
                <w:bCs/>
              </w:rPr>
              <w:t>MBSHC21/</w:t>
            </w:r>
            <w:r w:rsidR="00A23D23" w:rsidRPr="00FF3A24">
              <w:rPr>
                <w:b/>
                <w:bCs/>
              </w:rPr>
              <w:t>19</w:t>
            </w:r>
          </w:p>
        </w:tc>
        <w:tc>
          <w:tcPr>
            <w:tcW w:w="4818" w:type="dxa"/>
            <w:shd w:val="clear" w:color="000000" w:fill="auto"/>
            <w:vAlign w:val="center"/>
          </w:tcPr>
          <w:p w14:paraId="30478BC8" w14:textId="1C5CA408" w:rsidR="00A23D23" w:rsidRPr="00FF3A24" w:rsidRDefault="00A23D23" w:rsidP="00546761">
            <w:pPr>
              <w:spacing w:before="120" w:after="120" w:line="240" w:lineRule="auto"/>
              <w:jc w:val="both"/>
              <w:rPr>
                <w:color w:val="000000"/>
              </w:rPr>
            </w:pPr>
            <w:r w:rsidRPr="00FF3A24">
              <w:rPr>
                <w:color w:val="000000"/>
              </w:rPr>
              <w:t xml:space="preserve">Member States are encouraged </w:t>
            </w:r>
            <w:r w:rsidR="005701FE" w:rsidRPr="00FF3A24">
              <w:rPr>
                <w:color w:val="000000"/>
              </w:rPr>
              <w:t xml:space="preserve">to check </w:t>
            </w:r>
            <w:r w:rsidRPr="00FF3A24">
              <w:rPr>
                <w:color w:val="000000"/>
              </w:rPr>
              <w:t xml:space="preserve">and update </w:t>
            </w:r>
            <w:r w:rsidR="005701FE" w:rsidRPr="00FF3A24">
              <w:rPr>
                <w:color w:val="000000"/>
              </w:rPr>
              <w:t xml:space="preserve">on a regular basis </w:t>
            </w:r>
            <w:r w:rsidRPr="00FF3A24">
              <w:rPr>
                <w:color w:val="000000"/>
              </w:rPr>
              <w:t>the list of maritime related events, projects and tenders of interest of MBSHC</w:t>
            </w:r>
          </w:p>
          <w:p w14:paraId="59097202" w14:textId="58FB542D" w:rsidR="005701FE" w:rsidRPr="00FF3A24" w:rsidRDefault="00A23D23" w:rsidP="0099313D">
            <w:pPr>
              <w:spacing w:before="120" w:after="120" w:line="240" w:lineRule="auto"/>
              <w:jc w:val="both"/>
            </w:pPr>
            <w:r w:rsidRPr="00FF3A24">
              <w:rPr>
                <w:color w:val="000000"/>
              </w:rPr>
              <w:t xml:space="preserve">(…) Member States </w:t>
            </w:r>
            <w:r w:rsidR="005701FE" w:rsidRPr="00FF3A24">
              <w:rPr>
                <w:color w:val="000000"/>
              </w:rPr>
              <w:t xml:space="preserve">to inform Greece and the </w:t>
            </w:r>
            <w:r w:rsidR="005701FE" w:rsidRPr="00FF3A24">
              <w:t>MBSHC</w:t>
            </w:r>
            <w:r w:rsidR="005701FE" w:rsidRPr="00FF3A24">
              <w:rPr>
                <w:color w:val="FF0000"/>
              </w:rPr>
              <w:t xml:space="preserve"> </w:t>
            </w:r>
            <w:r w:rsidR="005701FE" w:rsidRPr="00FF3A24">
              <w:rPr>
                <w:color w:val="000000"/>
              </w:rPr>
              <w:t xml:space="preserve">Chair of their intent to </w:t>
            </w:r>
            <w:proofErr w:type="spellStart"/>
            <w:r w:rsidR="005701FE" w:rsidRPr="00FF3A24">
              <w:rPr>
                <w:color w:val="000000"/>
              </w:rPr>
              <w:t>enventually</w:t>
            </w:r>
            <w:proofErr w:type="spellEnd"/>
            <w:r w:rsidR="005701FE" w:rsidRPr="00FF3A24">
              <w:rPr>
                <w:color w:val="000000"/>
              </w:rPr>
              <w:t xml:space="preserve"> </w:t>
            </w:r>
            <w:r w:rsidR="005701FE" w:rsidRPr="00FF3A24">
              <w:rPr>
                <w:color w:val="000000"/>
              </w:rPr>
              <w:lastRenderedPageBreak/>
              <w:t xml:space="preserve">participate to </w:t>
            </w:r>
            <w:r w:rsidR="00C93FF9" w:rsidRPr="00FF3A24">
              <w:rPr>
                <w:color w:val="000000"/>
              </w:rPr>
              <w:t xml:space="preserve">an </w:t>
            </w:r>
            <w:r w:rsidR="005701FE" w:rsidRPr="00FF3A24">
              <w:rPr>
                <w:color w:val="000000"/>
              </w:rPr>
              <w:t xml:space="preserve">event or project </w:t>
            </w:r>
            <w:r w:rsidR="005701FE" w:rsidRPr="00FF3A24">
              <w:t>(see action MBSHC20/1</w:t>
            </w:r>
            <w:r w:rsidR="0099313D" w:rsidRPr="00FF3A24">
              <w:t>1-12</w:t>
            </w:r>
            <w:r w:rsidR="005701FE" w:rsidRPr="00FF3A24">
              <w:t>).</w:t>
            </w:r>
          </w:p>
        </w:tc>
        <w:tc>
          <w:tcPr>
            <w:tcW w:w="1390" w:type="dxa"/>
            <w:shd w:val="clear" w:color="000000" w:fill="auto"/>
            <w:vAlign w:val="center"/>
          </w:tcPr>
          <w:p w14:paraId="5A67998E" w14:textId="423B2731" w:rsidR="005701FE" w:rsidRPr="00FF3A24" w:rsidRDefault="005701FE" w:rsidP="00546761">
            <w:pPr>
              <w:spacing w:before="120" w:after="120" w:line="240" w:lineRule="auto"/>
              <w:jc w:val="center"/>
              <w:rPr>
                <w:bCs/>
              </w:rPr>
            </w:pPr>
            <w:r w:rsidRPr="00FF3A24">
              <w:rPr>
                <w:bCs/>
              </w:rPr>
              <w:lastRenderedPageBreak/>
              <w:t>All</w:t>
            </w:r>
          </w:p>
        </w:tc>
        <w:tc>
          <w:tcPr>
            <w:tcW w:w="1730" w:type="dxa"/>
            <w:shd w:val="clear" w:color="000000" w:fill="auto"/>
            <w:vAlign w:val="center"/>
          </w:tcPr>
          <w:p w14:paraId="537ACCD4" w14:textId="502756B9" w:rsidR="005701FE" w:rsidRPr="00FF3A24" w:rsidRDefault="005701FE" w:rsidP="00546761">
            <w:pPr>
              <w:spacing w:before="120" w:after="120" w:line="240" w:lineRule="auto"/>
              <w:jc w:val="center"/>
              <w:rPr>
                <w:rFonts w:cs="Arial"/>
              </w:rPr>
            </w:pPr>
            <w:r w:rsidRPr="00FF3A24">
              <w:rPr>
                <w:rFonts w:cs="Arial"/>
              </w:rPr>
              <w:t>Permanent</w:t>
            </w:r>
          </w:p>
        </w:tc>
      </w:tr>
      <w:tr w:rsidR="00081BB9" w:rsidRPr="005701FE" w14:paraId="692FFA26" w14:textId="77777777" w:rsidTr="0099313D">
        <w:trPr>
          <w:trHeight w:val="20"/>
          <w:jc w:val="center"/>
        </w:trPr>
        <w:tc>
          <w:tcPr>
            <w:tcW w:w="1696" w:type="dxa"/>
            <w:shd w:val="clear" w:color="000000" w:fill="auto"/>
            <w:vAlign w:val="center"/>
          </w:tcPr>
          <w:p w14:paraId="12F991E5" w14:textId="087B2C7B" w:rsidR="00081BB9" w:rsidRPr="00FF3A24" w:rsidRDefault="00081BB9" w:rsidP="00DA6DEB">
            <w:pPr>
              <w:spacing w:before="120" w:after="120" w:line="240" w:lineRule="auto"/>
              <w:jc w:val="center"/>
              <w:rPr>
                <w:b/>
                <w:bCs/>
              </w:rPr>
            </w:pPr>
            <w:r w:rsidRPr="00FF3A24">
              <w:rPr>
                <w:b/>
                <w:bCs/>
              </w:rPr>
              <w:t>MBSHC21/</w:t>
            </w:r>
            <w:r w:rsidR="00A23D23" w:rsidRPr="00FF3A24">
              <w:rPr>
                <w:b/>
                <w:bCs/>
              </w:rPr>
              <w:t>20</w:t>
            </w:r>
          </w:p>
        </w:tc>
        <w:tc>
          <w:tcPr>
            <w:tcW w:w="4818" w:type="dxa"/>
            <w:shd w:val="clear" w:color="000000" w:fill="auto"/>
            <w:vAlign w:val="center"/>
          </w:tcPr>
          <w:p w14:paraId="0B5EBCD6" w14:textId="704FB780" w:rsidR="00081BB9" w:rsidRPr="00FF3A24" w:rsidRDefault="00081BB9" w:rsidP="00546761">
            <w:pPr>
              <w:spacing w:before="120" w:after="120" w:line="240" w:lineRule="auto"/>
              <w:jc w:val="both"/>
            </w:pPr>
            <w:r w:rsidRPr="00FF3A24">
              <w:t>MS are encouraged to liaise with CIESM under the IHO-CIESM MoU umbrella, for the benefit of the oceanography in the Mediterranean Sea</w:t>
            </w:r>
            <w:r w:rsidR="00072363" w:rsidRPr="00FF3A24">
              <w:t xml:space="preserve"> and participate to CIESM events </w:t>
            </w:r>
          </w:p>
        </w:tc>
        <w:tc>
          <w:tcPr>
            <w:tcW w:w="1390" w:type="dxa"/>
            <w:shd w:val="clear" w:color="000000" w:fill="auto"/>
            <w:vAlign w:val="center"/>
          </w:tcPr>
          <w:p w14:paraId="4C7F0B86" w14:textId="5AB7B9D3" w:rsidR="00081BB9" w:rsidRPr="00FF3A24" w:rsidRDefault="00081BB9" w:rsidP="00546761">
            <w:pPr>
              <w:spacing w:before="120" w:after="120" w:line="240" w:lineRule="auto"/>
              <w:jc w:val="center"/>
              <w:rPr>
                <w:bCs/>
              </w:rPr>
            </w:pPr>
            <w:r w:rsidRPr="00FF3A24">
              <w:rPr>
                <w:bCs/>
              </w:rPr>
              <w:t>All</w:t>
            </w:r>
          </w:p>
        </w:tc>
        <w:tc>
          <w:tcPr>
            <w:tcW w:w="1730" w:type="dxa"/>
            <w:shd w:val="clear" w:color="000000" w:fill="auto"/>
            <w:vAlign w:val="center"/>
          </w:tcPr>
          <w:p w14:paraId="40E9ECD8" w14:textId="2FD8DBE9" w:rsidR="00081BB9" w:rsidRPr="00FF3A24" w:rsidRDefault="00081BB9" w:rsidP="00546761">
            <w:pPr>
              <w:spacing w:before="120" w:after="120" w:line="240" w:lineRule="auto"/>
              <w:jc w:val="center"/>
              <w:rPr>
                <w:rFonts w:cs="Arial"/>
              </w:rPr>
            </w:pPr>
            <w:r w:rsidRPr="00FF3A24">
              <w:rPr>
                <w:rFonts w:cs="Arial"/>
              </w:rPr>
              <w:t>Permanent</w:t>
            </w:r>
          </w:p>
        </w:tc>
      </w:tr>
      <w:tr w:rsidR="00081BB9" w:rsidRPr="005701FE" w14:paraId="097CA978" w14:textId="77777777" w:rsidTr="0099313D">
        <w:trPr>
          <w:trHeight w:val="20"/>
          <w:jc w:val="center"/>
        </w:trPr>
        <w:tc>
          <w:tcPr>
            <w:tcW w:w="1696" w:type="dxa"/>
            <w:shd w:val="clear" w:color="000000" w:fill="auto"/>
            <w:vAlign w:val="center"/>
          </w:tcPr>
          <w:p w14:paraId="4CA25131" w14:textId="50BEA6EA" w:rsidR="00081BB9" w:rsidRPr="00FF3A24" w:rsidRDefault="00081BB9" w:rsidP="00DA6DEB">
            <w:pPr>
              <w:spacing w:before="120" w:after="120" w:line="240" w:lineRule="auto"/>
              <w:jc w:val="center"/>
              <w:rPr>
                <w:b/>
                <w:bCs/>
              </w:rPr>
            </w:pPr>
            <w:r w:rsidRPr="00FF3A24">
              <w:rPr>
                <w:b/>
                <w:bCs/>
              </w:rPr>
              <w:t>MBSHC21/</w:t>
            </w:r>
            <w:r w:rsidR="00072363" w:rsidRPr="00FF3A24">
              <w:rPr>
                <w:b/>
                <w:bCs/>
              </w:rPr>
              <w:t>21</w:t>
            </w:r>
          </w:p>
        </w:tc>
        <w:tc>
          <w:tcPr>
            <w:tcW w:w="4818" w:type="dxa"/>
            <w:shd w:val="clear" w:color="000000" w:fill="auto"/>
            <w:vAlign w:val="center"/>
          </w:tcPr>
          <w:p w14:paraId="0A11A05E" w14:textId="17817AAA" w:rsidR="00081BB9" w:rsidRPr="00FF3A24" w:rsidRDefault="00081BB9" w:rsidP="00546761">
            <w:pPr>
              <w:spacing w:before="120" w:after="120" w:line="240" w:lineRule="auto"/>
              <w:jc w:val="both"/>
            </w:pPr>
            <w:r w:rsidRPr="00FF3A24">
              <w:t>MBSHC Chair to inform IRCC on the results achieved at regional level on ENC overlapping issues</w:t>
            </w:r>
          </w:p>
        </w:tc>
        <w:tc>
          <w:tcPr>
            <w:tcW w:w="1390" w:type="dxa"/>
            <w:shd w:val="clear" w:color="000000" w:fill="auto"/>
            <w:vAlign w:val="center"/>
          </w:tcPr>
          <w:p w14:paraId="6141E846" w14:textId="6D3B76BB" w:rsidR="00081BB9" w:rsidRPr="00FF3A24" w:rsidRDefault="00081BB9" w:rsidP="00546761">
            <w:pPr>
              <w:spacing w:before="120" w:after="120" w:line="240" w:lineRule="auto"/>
              <w:jc w:val="center"/>
              <w:rPr>
                <w:bCs/>
              </w:rPr>
            </w:pPr>
            <w:r w:rsidRPr="00FF3A24">
              <w:rPr>
                <w:bCs/>
              </w:rPr>
              <w:t>MBSHC Chair</w:t>
            </w:r>
          </w:p>
        </w:tc>
        <w:tc>
          <w:tcPr>
            <w:tcW w:w="1730" w:type="dxa"/>
            <w:shd w:val="clear" w:color="000000" w:fill="auto"/>
            <w:vAlign w:val="center"/>
          </w:tcPr>
          <w:p w14:paraId="3878B320" w14:textId="02479365" w:rsidR="00081BB9" w:rsidRPr="00FF3A24" w:rsidRDefault="00081BB9" w:rsidP="00546761">
            <w:pPr>
              <w:spacing w:before="120" w:after="120" w:line="240" w:lineRule="auto"/>
              <w:jc w:val="center"/>
              <w:rPr>
                <w:rFonts w:cs="Arial"/>
              </w:rPr>
            </w:pPr>
            <w:r w:rsidRPr="00FF3A24">
              <w:rPr>
                <w:rFonts w:cs="Arial"/>
              </w:rPr>
              <w:t>Permanent</w:t>
            </w:r>
          </w:p>
        </w:tc>
      </w:tr>
      <w:tr w:rsidR="007C12EC" w:rsidRPr="005701FE" w14:paraId="23504CC6" w14:textId="77777777" w:rsidTr="0099313D">
        <w:trPr>
          <w:trHeight w:val="20"/>
          <w:jc w:val="center"/>
        </w:trPr>
        <w:tc>
          <w:tcPr>
            <w:tcW w:w="1696" w:type="dxa"/>
            <w:shd w:val="clear" w:color="000000" w:fill="auto"/>
            <w:vAlign w:val="center"/>
          </w:tcPr>
          <w:p w14:paraId="062F9E4C" w14:textId="4B92706A" w:rsidR="007C12EC" w:rsidRPr="00FF3A24" w:rsidRDefault="007C12EC" w:rsidP="00DA6DEB">
            <w:pPr>
              <w:spacing w:before="120" w:after="120" w:line="240" w:lineRule="auto"/>
              <w:jc w:val="center"/>
              <w:rPr>
                <w:b/>
                <w:bCs/>
              </w:rPr>
            </w:pPr>
            <w:r w:rsidRPr="00FF3A24">
              <w:rPr>
                <w:b/>
                <w:bCs/>
              </w:rPr>
              <w:t>MBSHC21/</w:t>
            </w:r>
            <w:r w:rsidR="00072363" w:rsidRPr="00FF3A24">
              <w:rPr>
                <w:b/>
                <w:bCs/>
              </w:rPr>
              <w:t>22</w:t>
            </w:r>
          </w:p>
        </w:tc>
        <w:tc>
          <w:tcPr>
            <w:tcW w:w="4818" w:type="dxa"/>
            <w:shd w:val="clear" w:color="000000" w:fill="auto"/>
            <w:vAlign w:val="center"/>
          </w:tcPr>
          <w:p w14:paraId="6BD86B40" w14:textId="726355A2" w:rsidR="007C12EC" w:rsidRPr="00FF3A24" w:rsidRDefault="00B37FE7" w:rsidP="00546761">
            <w:pPr>
              <w:spacing w:before="120" w:after="120" w:line="240" w:lineRule="auto"/>
              <w:jc w:val="both"/>
              <w:rPr>
                <w:rFonts w:cs="Arial"/>
              </w:rPr>
            </w:pPr>
            <w:r w:rsidRPr="00FF3A24">
              <w:rPr>
                <w:rFonts w:cs="Arial"/>
              </w:rPr>
              <w:t>Member States</w:t>
            </w:r>
            <w:r w:rsidR="007C12EC" w:rsidRPr="00FF3A24">
              <w:rPr>
                <w:rFonts w:cs="Arial"/>
              </w:rPr>
              <w:t xml:space="preserve"> are encouraged to populate the CATZ</w:t>
            </w:r>
            <w:r w:rsidRPr="00FF3A24">
              <w:rPr>
                <w:rFonts w:cs="Arial"/>
              </w:rPr>
              <w:t xml:space="preserve">OC values (1 to 5) of their ENCs </w:t>
            </w:r>
            <w:r w:rsidR="007C12EC" w:rsidRPr="00FF3A24">
              <w:rPr>
                <w:rFonts w:cs="Arial"/>
              </w:rPr>
              <w:t>cells</w:t>
            </w:r>
          </w:p>
        </w:tc>
        <w:tc>
          <w:tcPr>
            <w:tcW w:w="1390" w:type="dxa"/>
            <w:shd w:val="clear" w:color="000000" w:fill="auto"/>
            <w:vAlign w:val="center"/>
          </w:tcPr>
          <w:p w14:paraId="68976571" w14:textId="14F7402F" w:rsidR="007C12EC" w:rsidRPr="00FF3A24" w:rsidRDefault="007C12EC" w:rsidP="00546761">
            <w:pPr>
              <w:spacing w:before="120" w:after="120" w:line="240" w:lineRule="auto"/>
              <w:jc w:val="center"/>
              <w:rPr>
                <w:bCs/>
              </w:rPr>
            </w:pPr>
            <w:r w:rsidRPr="00FF3A24">
              <w:rPr>
                <w:bCs/>
              </w:rPr>
              <w:t>Al</w:t>
            </w:r>
            <w:r w:rsidR="00B37FE7" w:rsidRPr="00FF3A24">
              <w:rPr>
                <w:bCs/>
              </w:rPr>
              <w:t>l</w:t>
            </w:r>
          </w:p>
        </w:tc>
        <w:tc>
          <w:tcPr>
            <w:tcW w:w="1730" w:type="dxa"/>
            <w:shd w:val="clear" w:color="000000" w:fill="auto"/>
            <w:vAlign w:val="center"/>
          </w:tcPr>
          <w:p w14:paraId="131B8F2C" w14:textId="2B8D4D3E" w:rsidR="007C12EC" w:rsidRPr="00FF3A24" w:rsidRDefault="007C12EC" w:rsidP="00546761">
            <w:pPr>
              <w:spacing w:before="120" w:after="120" w:line="240" w:lineRule="auto"/>
              <w:jc w:val="center"/>
              <w:rPr>
                <w:rFonts w:cs="Arial"/>
              </w:rPr>
            </w:pPr>
            <w:r w:rsidRPr="00FF3A24">
              <w:rPr>
                <w:bCs/>
              </w:rPr>
              <w:t>MBSHC22</w:t>
            </w:r>
          </w:p>
        </w:tc>
      </w:tr>
      <w:tr w:rsidR="00546761" w:rsidRPr="005701FE" w14:paraId="151D763F" w14:textId="77777777" w:rsidTr="0099313D">
        <w:trPr>
          <w:trHeight w:val="20"/>
          <w:jc w:val="center"/>
        </w:trPr>
        <w:tc>
          <w:tcPr>
            <w:tcW w:w="1696" w:type="dxa"/>
            <w:shd w:val="clear" w:color="000000" w:fill="auto"/>
            <w:vAlign w:val="center"/>
          </w:tcPr>
          <w:p w14:paraId="153EA86F" w14:textId="208FB123" w:rsidR="00546761" w:rsidRPr="00FF3A24" w:rsidRDefault="00546761" w:rsidP="00DA6DEB">
            <w:pPr>
              <w:spacing w:before="120" w:after="120" w:line="240" w:lineRule="auto"/>
              <w:jc w:val="center"/>
              <w:rPr>
                <w:b/>
                <w:bCs/>
              </w:rPr>
            </w:pPr>
            <w:r w:rsidRPr="00FF3A24">
              <w:rPr>
                <w:b/>
                <w:bCs/>
              </w:rPr>
              <w:t>MBSHC21/</w:t>
            </w:r>
            <w:r w:rsidR="00B37FE7" w:rsidRPr="00FF3A24">
              <w:rPr>
                <w:b/>
                <w:bCs/>
              </w:rPr>
              <w:t>23</w:t>
            </w:r>
          </w:p>
        </w:tc>
        <w:tc>
          <w:tcPr>
            <w:tcW w:w="4818" w:type="dxa"/>
            <w:shd w:val="clear" w:color="000000" w:fill="auto"/>
            <w:vAlign w:val="center"/>
          </w:tcPr>
          <w:p w14:paraId="1FD07495" w14:textId="5328E843" w:rsidR="00546761" w:rsidRPr="00FF3A24" w:rsidRDefault="00C93FF9" w:rsidP="00546761">
            <w:pPr>
              <w:spacing w:before="120" w:after="120" w:line="240" w:lineRule="auto"/>
              <w:jc w:val="both"/>
              <w:rPr>
                <w:color w:val="000000"/>
              </w:rPr>
            </w:pPr>
            <w:r w:rsidRPr="00FF3A24">
              <w:rPr>
                <w:color w:val="000000"/>
              </w:rPr>
              <w:t>Member States</w:t>
            </w:r>
            <w:r w:rsidR="00546761" w:rsidRPr="00FF3A24">
              <w:rPr>
                <w:color w:val="000000"/>
              </w:rPr>
              <w:t xml:space="preserve"> are encouraged to </w:t>
            </w:r>
            <w:proofErr w:type="spellStart"/>
            <w:r w:rsidR="00546761" w:rsidRPr="00FF3A24">
              <w:rPr>
                <w:color w:val="000000"/>
              </w:rPr>
              <w:t>liase</w:t>
            </w:r>
            <w:proofErr w:type="spellEnd"/>
            <w:r w:rsidR="00B37FE7" w:rsidRPr="00FF3A24">
              <w:rPr>
                <w:color w:val="000000"/>
              </w:rPr>
              <w:t xml:space="preserve"> with their</w:t>
            </w:r>
            <w:r w:rsidR="00546761" w:rsidRPr="00FF3A24">
              <w:rPr>
                <w:color w:val="000000"/>
              </w:rPr>
              <w:t xml:space="preserve"> national representatives to the UN-GGIM and support the WG-MGI</w:t>
            </w:r>
            <w:r w:rsidRPr="00FF3A24">
              <w:rPr>
                <w:color w:val="000000"/>
              </w:rPr>
              <w:t>, informing Region F MSDI Ambassador</w:t>
            </w:r>
          </w:p>
        </w:tc>
        <w:tc>
          <w:tcPr>
            <w:tcW w:w="1390" w:type="dxa"/>
            <w:shd w:val="clear" w:color="000000" w:fill="auto"/>
            <w:vAlign w:val="center"/>
          </w:tcPr>
          <w:p w14:paraId="1B152BD5" w14:textId="2D9EA2ED" w:rsidR="00546761" w:rsidRPr="00FF3A24" w:rsidRDefault="00546761" w:rsidP="00546761">
            <w:pPr>
              <w:spacing w:after="0"/>
              <w:jc w:val="center"/>
              <w:rPr>
                <w:bCs/>
              </w:rPr>
            </w:pPr>
            <w:r w:rsidRPr="00FF3A24">
              <w:rPr>
                <w:bCs/>
              </w:rPr>
              <w:t>All</w:t>
            </w:r>
          </w:p>
        </w:tc>
        <w:tc>
          <w:tcPr>
            <w:tcW w:w="1730" w:type="dxa"/>
            <w:shd w:val="clear" w:color="000000" w:fill="auto"/>
            <w:vAlign w:val="center"/>
          </w:tcPr>
          <w:p w14:paraId="163F4A98" w14:textId="53982B6E" w:rsidR="00546761" w:rsidRPr="00FF3A24" w:rsidRDefault="00546761" w:rsidP="00546761">
            <w:pPr>
              <w:spacing w:before="120" w:after="120" w:line="240" w:lineRule="auto"/>
              <w:jc w:val="center"/>
              <w:rPr>
                <w:bCs/>
              </w:rPr>
            </w:pPr>
            <w:r w:rsidRPr="00FF3A24">
              <w:rPr>
                <w:bCs/>
              </w:rPr>
              <w:t>Next UN-GGIM conference (August 2019)</w:t>
            </w:r>
          </w:p>
        </w:tc>
      </w:tr>
      <w:tr w:rsidR="00BA37FE" w:rsidRPr="005701FE" w14:paraId="30B6BEC4" w14:textId="77777777" w:rsidTr="0099313D">
        <w:trPr>
          <w:trHeight w:val="20"/>
          <w:jc w:val="center"/>
        </w:trPr>
        <w:tc>
          <w:tcPr>
            <w:tcW w:w="1696" w:type="dxa"/>
            <w:shd w:val="clear" w:color="000000" w:fill="auto"/>
            <w:vAlign w:val="center"/>
          </w:tcPr>
          <w:p w14:paraId="70D17802" w14:textId="6D1D509A" w:rsidR="00BA37FE" w:rsidRPr="00FF3A24" w:rsidRDefault="00BA37FE" w:rsidP="00DA6DEB">
            <w:pPr>
              <w:spacing w:before="120" w:after="120" w:line="240" w:lineRule="auto"/>
              <w:jc w:val="center"/>
              <w:rPr>
                <w:b/>
                <w:bCs/>
              </w:rPr>
            </w:pPr>
            <w:r w:rsidRPr="00FF3A24">
              <w:rPr>
                <w:b/>
                <w:bCs/>
              </w:rPr>
              <w:t>MBSHC21</w:t>
            </w:r>
            <w:r w:rsidR="00B37FE7" w:rsidRPr="00FF3A24">
              <w:rPr>
                <w:b/>
                <w:bCs/>
              </w:rPr>
              <w:t>/24</w:t>
            </w:r>
          </w:p>
        </w:tc>
        <w:tc>
          <w:tcPr>
            <w:tcW w:w="4818" w:type="dxa"/>
            <w:shd w:val="clear" w:color="000000" w:fill="auto"/>
            <w:vAlign w:val="center"/>
          </w:tcPr>
          <w:p w14:paraId="2EF5EB13" w14:textId="66F2C02B" w:rsidR="00BA37FE" w:rsidRPr="00FF3A24" w:rsidRDefault="00BA37FE" w:rsidP="00546761">
            <w:pPr>
              <w:spacing w:before="120" w:after="120" w:line="240" w:lineRule="auto"/>
              <w:jc w:val="both"/>
              <w:rPr>
                <w:color w:val="000000"/>
              </w:rPr>
            </w:pPr>
            <w:r w:rsidRPr="00FF3A24">
              <w:rPr>
                <w:color w:val="000000"/>
              </w:rPr>
              <w:t>Member States are encouraged t</w:t>
            </w:r>
            <w:r w:rsidR="00B37FE7" w:rsidRPr="00FF3A24">
              <w:rPr>
                <w:color w:val="000000"/>
              </w:rPr>
              <w:t>o inform MSDI Ambassador (Italy) about National MSDI initiatives</w:t>
            </w:r>
          </w:p>
        </w:tc>
        <w:tc>
          <w:tcPr>
            <w:tcW w:w="1390" w:type="dxa"/>
            <w:shd w:val="clear" w:color="000000" w:fill="auto"/>
            <w:vAlign w:val="center"/>
          </w:tcPr>
          <w:p w14:paraId="2B48059B" w14:textId="02597206" w:rsidR="00BA37FE" w:rsidRPr="00FF3A24" w:rsidRDefault="00BA37FE" w:rsidP="00546761">
            <w:pPr>
              <w:spacing w:after="0"/>
              <w:jc w:val="center"/>
              <w:rPr>
                <w:bCs/>
              </w:rPr>
            </w:pPr>
            <w:r w:rsidRPr="00FF3A24">
              <w:rPr>
                <w:bCs/>
              </w:rPr>
              <w:t>All</w:t>
            </w:r>
          </w:p>
        </w:tc>
        <w:tc>
          <w:tcPr>
            <w:tcW w:w="1730" w:type="dxa"/>
            <w:shd w:val="clear" w:color="000000" w:fill="auto"/>
            <w:vAlign w:val="center"/>
          </w:tcPr>
          <w:p w14:paraId="050BCCA6" w14:textId="3A00DC8D" w:rsidR="00BA37FE" w:rsidRPr="00FF3A24" w:rsidRDefault="00B37FE7" w:rsidP="00546761">
            <w:pPr>
              <w:spacing w:before="120" w:after="120" w:line="240" w:lineRule="auto"/>
              <w:jc w:val="center"/>
              <w:rPr>
                <w:bCs/>
              </w:rPr>
            </w:pPr>
            <w:r w:rsidRPr="00FF3A24">
              <w:rPr>
                <w:bCs/>
              </w:rPr>
              <w:t>Permanent</w:t>
            </w:r>
          </w:p>
        </w:tc>
      </w:tr>
      <w:tr w:rsidR="00C93FF9" w:rsidRPr="005701FE" w14:paraId="064D91E8" w14:textId="77777777" w:rsidTr="0099313D">
        <w:trPr>
          <w:trHeight w:val="20"/>
          <w:jc w:val="center"/>
        </w:trPr>
        <w:tc>
          <w:tcPr>
            <w:tcW w:w="1696" w:type="dxa"/>
            <w:shd w:val="clear" w:color="000000" w:fill="auto"/>
            <w:vAlign w:val="center"/>
          </w:tcPr>
          <w:p w14:paraId="3250B6A0" w14:textId="51032585" w:rsidR="00C93FF9" w:rsidRPr="00FF3A24" w:rsidRDefault="00C93FF9" w:rsidP="00DA6DEB">
            <w:pPr>
              <w:spacing w:before="120" w:after="120" w:line="240" w:lineRule="auto"/>
              <w:jc w:val="center"/>
              <w:rPr>
                <w:b/>
                <w:bCs/>
              </w:rPr>
            </w:pPr>
            <w:r w:rsidRPr="00FF3A24">
              <w:rPr>
                <w:b/>
                <w:bCs/>
              </w:rPr>
              <w:t>MBSHC21/</w:t>
            </w:r>
            <w:r w:rsidR="00B37FE7" w:rsidRPr="00FF3A24">
              <w:rPr>
                <w:b/>
                <w:bCs/>
              </w:rPr>
              <w:t>25</w:t>
            </w:r>
          </w:p>
        </w:tc>
        <w:tc>
          <w:tcPr>
            <w:tcW w:w="4818" w:type="dxa"/>
            <w:shd w:val="clear" w:color="000000" w:fill="auto"/>
            <w:vAlign w:val="center"/>
          </w:tcPr>
          <w:p w14:paraId="5D7AF988" w14:textId="691C3076" w:rsidR="00C93FF9" w:rsidRPr="00FF3A24" w:rsidRDefault="00C93FF9" w:rsidP="00C93FF9">
            <w:pPr>
              <w:spacing w:before="120" w:after="120" w:line="240" w:lineRule="auto"/>
              <w:jc w:val="both"/>
              <w:rPr>
                <w:color w:val="000000"/>
              </w:rPr>
            </w:pPr>
            <w:r w:rsidRPr="00FF3A24">
              <w:t>Member States and Associate members to ensure that the information on any requirements for ECDIS back-up arrangements using paper charts have been posted on the IHO website, and to update or give confirmation of no change at least once a year.</w:t>
            </w:r>
          </w:p>
        </w:tc>
        <w:tc>
          <w:tcPr>
            <w:tcW w:w="1390" w:type="dxa"/>
            <w:shd w:val="clear" w:color="000000" w:fill="auto"/>
            <w:vAlign w:val="center"/>
          </w:tcPr>
          <w:p w14:paraId="51C3B557" w14:textId="797C189F" w:rsidR="00C93FF9" w:rsidRPr="00FF3A24" w:rsidRDefault="00C93FF9" w:rsidP="00C93FF9">
            <w:pPr>
              <w:spacing w:after="0"/>
              <w:jc w:val="center"/>
              <w:rPr>
                <w:bCs/>
              </w:rPr>
            </w:pPr>
            <w:r w:rsidRPr="00FF3A24">
              <w:rPr>
                <w:bCs/>
              </w:rPr>
              <w:t>All</w:t>
            </w:r>
          </w:p>
        </w:tc>
        <w:tc>
          <w:tcPr>
            <w:tcW w:w="1730" w:type="dxa"/>
            <w:shd w:val="clear" w:color="000000" w:fill="auto"/>
            <w:vAlign w:val="center"/>
          </w:tcPr>
          <w:p w14:paraId="5C10A9C3" w14:textId="28C99256" w:rsidR="00C93FF9" w:rsidRPr="00FF3A24" w:rsidRDefault="00C93FF9" w:rsidP="00C93FF9">
            <w:pPr>
              <w:spacing w:before="120" w:after="120" w:line="240" w:lineRule="auto"/>
              <w:jc w:val="center"/>
              <w:rPr>
                <w:bCs/>
              </w:rPr>
            </w:pPr>
            <w:r w:rsidRPr="00FF3A24">
              <w:rPr>
                <w:rFonts w:cs="Arial"/>
              </w:rPr>
              <w:t>Permanent</w:t>
            </w:r>
          </w:p>
        </w:tc>
      </w:tr>
      <w:tr w:rsidR="00C93FF9" w:rsidRPr="005701FE" w14:paraId="66ED4290" w14:textId="77777777" w:rsidTr="0099313D">
        <w:trPr>
          <w:trHeight w:val="20"/>
          <w:jc w:val="center"/>
        </w:trPr>
        <w:tc>
          <w:tcPr>
            <w:tcW w:w="1696" w:type="dxa"/>
            <w:shd w:val="clear" w:color="000000" w:fill="auto"/>
            <w:vAlign w:val="center"/>
          </w:tcPr>
          <w:p w14:paraId="53233E6B" w14:textId="70D7D5C4" w:rsidR="00C93FF9" w:rsidRPr="00FF3A24" w:rsidRDefault="00C93FF9" w:rsidP="00DA6DEB">
            <w:pPr>
              <w:spacing w:before="120" w:after="120" w:line="240" w:lineRule="auto"/>
              <w:jc w:val="center"/>
              <w:rPr>
                <w:b/>
                <w:bCs/>
              </w:rPr>
            </w:pPr>
            <w:r w:rsidRPr="00FF3A24">
              <w:rPr>
                <w:b/>
                <w:bCs/>
              </w:rPr>
              <w:t>MBSHC21/</w:t>
            </w:r>
            <w:r w:rsidR="000404B6" w:rsidRPr="00FF3A24">
              <w:rPr>
                <w:b/>
                <w:bCs/>
              </w:rPr>
              <w:t>26</w:t>
            </w:r>
          </w:p>
        </w:tc>
        <w:tc>
          <w:tcPr>
            <w:tcW w:w="4818" w:type="dxa"/>
            <w:shd w:val="clear" w:color="000000" w:fill="auto"/>
            <w:vAlign w:val="center"/>
          </w:tcPr>
          <w:p w14:paraId="0A1E7EAB" w14:textId="78028A21" w:rsidR="00C93FF9" w:rsidRPr="00FF3A24" w:rsidRDefault="00B37FE7" w:rsidP="00C93FF9">
            <w:pPr>
              <w:spacing w:before="120" w:after="120" w:line="240" w:lineRule="auto"/>
              <w:jc w:val="both"/>
            </w:pPr>
            <w:r w:rsidRPr="00FF3A24">
              <w:rPr>
                <w:rFonts w:cs="Arial"/>
              </w:rPr>
              <w:t>Member States to</w:t>
            </w:r>
            <w:r w:rsidR="00C93FF9" w:rsidRPr="00FF3A24">
              <w:rPr>
                <w:rFonts w:cs="Arial"/>
              </w:rPr>
              <w:t xml:space="preserve"> liaise with </w:t>
            </w:r>
            <w:proofErr w:type="spellStart"/>
            <w:r w:rsidR="00C93FF9" w:rsidRPr="00FF3A24">
              <w:rPr>
                <w:rFonts w:cs="Arial"/>
              </w:rPr>
              <w:t>INToGIS</w:t>
            </w:r>
            <w:proofErr w:type="spellEnd"/>
            <w:r w:rsidR="00C93FF9" w:rsidRPr="00FF3A24">
              <w:rPr>
                <w:rFonts w:cs="Arial"/>
              </w:rPr>
              <w:t xml:space="preserve"> Management team (IHO Secretariat) to retrieve their national account access details</w:t>
            </w:r>
          </w:p>
        </w:tc>
        <w:tc>
          <w:tcPr>
            <w:tcW w:w="1390" w:type="dxa"/>
            <w:shd w:val="clear" w:color="000000" w:fill="auto"/>
            <w:vAlign w:val="center"/>
          </w:tcPr>
          <w:p w14:paraId="4EEE19E5" w14:textId="0CA6569A" w:rsidR="00C93FF9" w:rsidRPr="00FF3A24" w:rsidRDefault="00C93FF9" w:rsidP="00C93FF9">
            <w:pPr>
              <w:spacing w:after="0"/>
              <w:jc w:val="center"/>
              <w:rPr>
                <w:bCs/>
              </w:rPr>
            </w:pPr>
            <w:r w:rsidRPr="00FF3A24">
              <w:rPr>
                <w:bCs/>
              </w:rPr>
              <w:t>All</w:t>
            </w:r>
          </w:p>
        </w:tc>
        <w:tc>
          <w:tcPr>
            <w:tcW w:w="1730" w:type="dxa"/>
            <w:shd w:val="clear" w:color="000000" w:fill="auto"/>
            <w:vAlign w:val="center"/>
          </w:tcPr>
          <w:p w14:paraId="1F6453BD" w14:textId="64550498" w:rsidR="00C93FF9" w:rsidRPr="00FF3A24" w:rsidRDefault="00C93FF9" w:rsidP="00C93FF9">
            <w:pPr>
              <w:spacing w:before="120" w:after="120" w:line="240" w:lineRule="auto"/>
              <w:jc w:val="center"/>
              <w:rPr>
                <w:rFonts w:cs="Arial"/>
              </w:rPr>
            </w:pPr>
            <w:r w:rsidRPr="00FF3A24">
              <w:rPr>
                <w:rFonts w:cs="Arial"/>
              </w:rPr>
              <w:t>Permanent</w:t>
            </w:r>
          </w:p>
        </w:tc>
      </w:tr>
      <w:tr w:rsidR="00C93FF9" w:rsidRPr="005701FE" w14:paraId="5FB82828" w14:textId="77777777" w:rsidTr="0099313D">
        <w:trPr>
          <w:trHeight w:val="20"/>
          <w:jc w:val="center"/>
        </w:trPr>
        <w:tc>
          <w:tcPr>
            <w:tcW w:w="1696" w:type="dxa"/>
            <w:shd w:val="clear" w:color="000000" w:fill="auto"/>
            <w:vAlign w:val="center"/>
          </w:tcPr>
          <w:p w14:paraId="340406C0" w14:textId="1C728B27" w:rsidR="00C93FF9" w:rsidRPr="00FF3A24" w:rsidRDefault="00C93FF9" w:rsidP="00DA6DEB">
            <w:pPr>
              <w:spacing w:before="120" w:after="120" w:line="240" w:lineRule="auto"/>
              <w:jc w:val="center"/>
              <w:rPr>
                <w:b/>
                <w:bCs/>
              </w:rPr>
            </w:pPr>
            <w:r w:rsidRPr="00FF3A24">
              <w:rPr>
                <w:b/>
                <w:bCs/>
              </w:rPr>
              <w:t>MBSHC21/</w:t>
            </w:r>
            <w:r w:rsidR="000404B6" w:rsidRPr="00FF3A24">
              <w:rPr>
                <w:b/>
                <w:bCs/>
              </w:rPr>
              <w:t>27</w:t>
            </w:r>
          </w:p>
        </w:tc>
        <w:tc>
          <w:tcPr>
            <w:tcW w:w="4818" w:type="dxa"/>
            <w:shd w:val="clear" w:color="000000" w:fill="auto"/>
            <w:vAlign w:val="center"/>
          </w:tcPr>
          <w:p w14:paraId="1983CDD1" w14:textId="28743E0F" w:rsidR="00C93FF9" w:rsidRPr="00FF3A24" w:rsidRDefault="00B37FE7" w:rsidP="00C93FF9">
            <w:pPr>
              <w:spacing w:before="120" w:after="120" w:line="240" w:lineRule="auto"/>
              <w:jc w:val="both"/>
              <w:rPr>
                <w:rFonts w:cs="Calibri"/>
                <w:bCs/>
                <w:lang w:val="en-US" w:eastAsia="el-GR"/>
              </w:rPr>
            </w:pPr>
            <w:r w:rsidRPr="00FF3A24">
              <w:rPr>
                <w:rFonts w:cs="Calibri"/>
                <w:bCs/>
                <w:lang w:eastAsia="el-GR"/>
              </w:rPr>
              <w:t>Concerned Member States</w:t>
            </w:r>
            <w:r w:rsidR="00C93FF9" w:rsidRPr="00FF3A24">
              <w:rPr>
                <w:rFonts w:cs="Calibri"/>
                <w:bCs/>
                <w:lang w:eastAsia="el-GR"/>
              </w:rPr>
              <w:t xml:space="preserve"> to liaise bilaterally to resolve ENC </w:t>
            </w:r>
            <w:proofErr w:type="spellStart"/>
            <w:r w:rsidR="00C93FF9" w:rsidRPr="00FF3A24">
              <w:rPr>
                <w:rFonts w:cs="Calibri"/>
                <w:bCs/>
                <w:lang w:eastAsia="el-GR"/>
              </w:rPr>
              <w:t>overlappings</w:t>
            </w:r>
            <w:proofErr w:type="spellEnd"/>
            <w:r w:rsidR="00C93FF9" w:rsidRPr="00FF3A24">
              <w:rPr>
                <w:rFonts w:cs="Calibri"/>
                <w:bCs/>
                <w:lang w:eastAsia="el-GR"/>
              </w:rPr>
              <w:t>, keeping the MBSHC Chair informed.</w:t>
            </w:r>
          </w:p>
        </w:tc>
        <w:tc>
          <w:tcPr>
            <w:tcW w:w="1390" w:type="dxa"/>
            <w:shd w:val="clear" w:color="000000" w:fill="auto"/>
            <w:vAlign w:val="center"/>
          </w:tcPr>
          <w:p w14:paraId="707B8B23" w14:textId="647869C3" w:rsidR="00C93FF9" w:rsidRPr="00FF3A24" w:rsidRDefault="00C93FF9" w:rsidP="00C93FF9">
            <w:pPr>
              <w:spacing w:after="0"/>
              <w:jc w:val="center"/>
              <w:rPr>
                <w:bCs/>
              </w:rPr>
            </w:pPr>
            <w:r w:rsidRPr="00FF3A24">
              <w:rPr>
                <w:bCs/>
              </w:rPr>
              <w:t xml:space="preserve">All </w:t>
            </w:r>
          </w:p>
        </w:tc>
        <w:tc>
          <w:tcPr>
            <w:tcW w:w="1730" w:type="dxa"/>
            <w:shd w:val="clear" w:color="000000" w:fill="auto"/>
            <w:vAlign w:val="center"/>
          </w:tcPr>
          <w:p w14:paraId="4E95B11B" w14:textId="72881E30" w:rsidR="00C93FF9" w:rsidRPr="00FF3A24" w:rsidRDefault="00C93FF9" w:rsidP="00C93FF9">
            <w:pPr>
              <w:spacing w:before="120" w:after="120" w:line="240" w:lineRule="auto"/>
              <w:jc w:val="center"/>
              <w:rPr>
                <w:bCs/>
              </w:rPr>
            </w:pPr>
            <w:r w:rsidRPr="00FF3A24">
              <w:rPr>
                <w:bCs/>
              </w:rPr>
              <w:t>Permanent</w:t>
            </w:r>
          </w:p>
        </w:tc>
      </w:tr>
      <w:tr w:rsidR="00C93FF9" w:rsidRPr="005701FE" w14:paraId="0A790D78" w14:textId="77777777" w:rsidTr="0099313D">
        <w:trPr>
          <w:trHeight w:val="20"/>
          <w:jc w:val="center"/>
        </w:trPr>
        <w:tc>
          <w:tcPr>
            <w:tcW w:w="1696" w:type="dxa"/>
            <w:shd w:val="clear" w:color="000000" w:fill="auto"/>
            <w:vAlign w:val="center"/>
          </w:tcPr>
          <w:p w14:paraId="21ADA12F" w14:textId="4D098E00" w:rsidR="00C93FF9" w:rsidRPr="00FF3A24" w:rsidRDefault="00C93FF9" w:rsidP="00DA6DEB">
            <w:pPr>
              <w:spacing w:before="120" w:after="120" w:line="240" w:lineRule="auto"/>
              <w:jc w:val="center"/>
              <w:rPr>
                <w:b/>
                <w:bCs/>
              </w:rPr>
            </w:pPr>
            <w:r w:rsidRPr="00FF3A24">
              <w:rPr>
                <w:b/>
                <w:bCs/>
              </w:rPr>
              <w:t>MBSHC21/</w:t>
            </w:r>
            <w:r w:rsidR="000404B6" w:rsidRPr="00FF3A24">
              <w:rPr>
                <w:b/>
                <w:bCs/>
              </w:rPr>
              <w:t>28</w:t>
            </w:r>
          </w:p>
        </w:tc>
        <w:tc>
          <w:tcPr>
            <w:tcW w:w="4818" w:type="dxa"/>
            <w:shd w:val="clear" w:color="000000" w:fill="auto"/>
            <w:vAlign w:val="center"/>
          </w:tcPr>
          <w:p w14:paraId="1D0D5F12" w14:textId="477DB067" w:rsidR="00C93FF9" w:rsidRPr="00FF3A24" w:rsidRDefault="001F687F" w:rsidP="00C93FF9">
            <w:pPr>
              <w:spacing w:before="120" w:after="120" w:line="240" w:lineRule="auto"/>
              <w:jc w:val="both"/>
              <w:rPr>
                <w:rFonts w:cs="Arial"/>
              </w:rPr>
            </w:pPr>
            <w:r w:rsidRPr="00FF3A24">
              <w:rPr>
                <w:color w:val="000000"/>
              </w:rPr>
              <w:t xml:space="preserve">Member States </w:t>
            </w:r>
            <w:r w:rsidR="00C93FF9" w:rsidRPr="00FF3A24">
              <w:rPr>
                <w:color w:val="000000"/>
              </w:rPr>
              <w:t>to use the IHO online port database to update their port priority list and report to the Regional Charting Coordinator (RCC)</w:t>
            </w:r>
          </w:p>
        </w:tc>
        <w:tc>
          <w:tcPr>
            <w:tcW w:w="1390" w:type="dxa"/>
            <w:shd w:val="clear" w:color="000000" w:fill="auto"/>
            <w:vAlign w:val="center"/>
          </w:tcPr>
          <w:p w14:paraId="2504E499" w14:textId="30F3E18B" w:rsidR="00C93FF9" w:rsidRPr="00FF3A24" w:rsidRDefault="00C93FF9" w:rsidP="00C93FF9">
            <w:pPr>
              <w:spacing w:after="0"/>
              <w:jc w:val="center"/>
              <w:rPr>
                <w:bCs/>
              </w:rPr>
            </w:pPr>
            <w:r w:rsidRPr="00FF3A24">
              <w:rPr>
                <w:bCs/>
              </w:rPr>
              <w:t>All</w:t>
            </w:r>
          </w:p>
        </w:tc>
        <w:tc>
          <w:tcPr>
            <w:tcW w:w="1730" w:type="dxa"/>
            <w:shd w:val="clear" w:color="000000" w:fill="auto"/>
            <w:vAlign w:val="center"/>
          </w:tcPr>
          <w:p w14:paraId="47C277C1" w14:textId="47BC16C3" w:rsidR="00C93FF9" w:rsidRPr="00FF3A24" w:rsidRDefault="001F687F" w:rsidP="00C93FF9">
            <w:pPr>
              <w:spacing w:before="120" w:after="120" w:line="240" w:lineRule="auto"/>
              <w:jc w:val="center"/>
              <w:rPr>
                <w:bCs/>
              </w:rPr>
            </w:pPr>
            <w:r w:rsidRPr="00FF3A24">
              <w:rPr>
                <w:bCs/>
              </w:rPr>
              <w:t>Permanent</w:t>
            </w:r>
          </w:p>
        </w:tc>
      </w:tr>
      <w:tr w:rsidR="00C93FF9" w:rsidRPr="005701FE" w14:paraId="4FC54256" w14:textId="77777777" w:rsidTr="0099313D">
        <w:trPr>
          <w:trHeight w:val="20"/>
          <w:jc w:val="center"/>
        </w:trPr>
        <w:tc>
          <w:tcPr>
            <w:tcW w:w="1696" w:type="dxa"/>
            <w:shd w:val="clear" w:color="000000" w:fill="auto"/>
            <w:vAlign w:val="center"/>
          </w:tcPr>
          <w:p w14:paraId="74AE9BBA" w14:textId="55304816" w:rsidR="00C93FF9" w:rsidRPr="00FF3A24" w:rsidRDefault="00C93FF9" w:rsidP="00DA6DEB">
            <w:pPr>
              <w:spacing w:before="120" w:after="120" w:line="240" w:lineRule="auto"/>
              <w:jc w:val="center"/>
              <w:rPr>
                <w:b/>
                <w:bCs/>
              </w:rPr>
            </w:pPr>
            <w:r w:rsidRPr="00FF3A24">
              <w:rPr>
                <w:b/>
                <w:bCs/>
              </w:rPr>
              <w:t>MBSHC21/</w:t>
            </w:r>
            <w:r w:rsidR="000404B6" w:rsidRPr="00FF3A24">
              <w:rPr>
                <w:b/>
                <w:bCs/>
              </w:rPr>
              <w:t>29</w:t>
            </w:r>
          </w:p>
        </w:tc>
        <w:tc>
          <w:tcPr>
            <w:tcW w:w="4818" w:type="dxa"/>
            <w:shd w:val="clear" w:color="000000" w:fill="auto"/>
            <w:vAlign w:val="center"/>
          </w:tcPr>
          <w:p w14:paraId="6999264E" w14:textId="2F6D0102" w:rsidR="00C93FF9" w:rsidRPr="00FF3A24" w:rsidRDefault="00C93FF9" w:rsidP="00C93FF9">
            <w:pPr>
              <w:spacing w:before="120" w:after="120" w:line="240" w:lineRule="auto"/>
              <w:jc w:val="both"/>
              <w:rPr>
                <w:rFonts w:cs="Arial"/>
              </w:rPr>
            </w:pPr>
            <w:r w:rsidRPr="00FF3A24">
              <w:rPr>
                <w:color w:val="000000"/>
              </w:rPr>
              <w:t>RCC to disseminate an updated version of the Port priority list.</w:t>
            </w:r>
          </w:p>
        </w:tc>
        <w:tc>
          <w:tcPr>
            <w:tcW w:w="1390" w:type="dxa"/>
            <w:shd w:val="clear" w:color="000000" w:fill="auto"/>
            <w:vAlign w:val="center"/>
          </w:tcPr>
          <w:p w14:paraId="335F625E" w14:textId="19BC81DB" w:rsidR="00C93FF9" w:rsidRPr="00FF3A24" w:rsidRDefault="001F687F" w:rsidP="00C93FF9">
            <w:pPr>
              <w:spacing w:after="0"/>
              <w:jc w:val="center"/>
              <w:rPr>
                <w:bCs/>
              </w:rPr>
            </w:pPr>
            <w:r w:rsidRPr="00FF3A24">
              <w:rPr>
                <w:bCs/>
              </w:rPr>
              <w:t>ICC Coord</w:t>
            </w:r>
          </w:p>
        </w:tc>
        <w:tc>
          <w:tcPr>
            <w:tcW w:w="1730" w:type="dxa"/>
            <w:shd w:val="clear" w:color="000000" w:fill="auto"/>
            <w:vAlign w:val="center"/>
          </w:tcPr>
          <w:p w14:paraId="6D4D766E" w14:textId="74352551" w:rsidR="00C93FF9" w:rsidRPr="00FF3A24" w:rsidRDefault="001F687F" w:rsidP="00C93FF9">
            <w:pPr>
              <w:spacing w:before="120" w:after="120" w:line="240" w:lineRule="auto"/>
              <w:jc w:val="center"/>
              <w:rPr>
                <w:bCs/>
              </w:rPr>
            </w:pPr>
            <w:r w:rsidRPr="00FF3A24">
              <w:rPr>
                <w:bCs/>
              </w:rPr>
              <w:t>Permanent</w:t>
            </w:r>
          </w:p>
        </w:tc>
      </w:tr>
      <w:tr w:rsidR="00C93FF9" w:rsidRPr="005701FE" w14:paraId="1DC935BB" w14:textId="77777777" w:rsidTr="0099313D">
        <w:trPr>
          <w:trHeight w:val="20"/>
          <w:jc w:val="center"/>
        </w:trPr>
        <w:tc>
          <w:tcPr>
            <w:tcW w:w="1696" w:type="dxa"/>
            <w:shd w:val="clear" w:color="000000" w:fill="auto"/>
            <w:vAlign w:val="center"/>
          </w:tcPr>
          <w:p w14:paraId="1F76435A" w14:textId="14739A3F" w:rsidR="00C93FF9" w:rsidRPr="00FF3A24" w:rsidRDefault="00C93FF9" w:rsidP="00DA6DEB">
            <w:pPr>
              <w:spacing w:before="120" w:after="120" w:line="240" w:lineRule="auto"/>
              <w:jc w:val="center"/>
              <w:rPr>
                <w:b/>
                <w:bCs/>
              </w:rPr>
            </w:pPr>
            <w:r w:rsidRPr="00FF3A24">
              <w:rPr>
                <w:b/>
                <w:bCs/>
              </w:rPr>
              <w:t>MBSHC21/</w:t>
            </w:r>
            <w:r w:rsidR="000404B6" w:rsidRPr="00FF3A24">
              <w:rPr>
                <w:b/>
                <w:bCs/>
              </w:rPr>
              <w:t>30</w:t>
            </w:r>
          </w:p>
        </w:tc>
        <w:tc>
          <w:tcPr>
            <w:tcW w:w="4818" w:type="dxa"/>
            <w:shd w:val="clear" w:color="000000" w:fill="auto"/>
            <w:vAlign w:val="center"/>
          </w:tcPr>
          <w:p w14:paraId="17028394" w14:textId="45478636" w:rsidR="00C93FF9" w:rsidRPr="00FF3A24" w:rsidRDefault="00C93FF9" w:rsidP="0099313D">
            <w:pPr>
              <w:spacing w:before="120" w:after="120"/>
              <w:jc w:val="both"/>
              <w:rPr>
                <w:rFonts w:cs="Arial"/>
              </w:rPr>
            </w:pPr>
            <w:r w:rsidRPr="00FF3A24">
              <w:rPr>
                <w:rFonts w:cs="Arial"/>
              </w:rPr>
              <w:t xml:space="preserve">RENCs </w:t>
            </w:r>
            <w:r w:rsidR="000404B6" w:rsidRPr="00FF3A24">
              <w:rPr>
                <w:rFonts w:cs="Arial"/>
              </w:rPr>
              <w:t xml:space="preserve">are kindly invited </w:t>
            </w:r>
            <w:r w:rsidRPr="00FF3A24">
              <w:rPr>
                <w:rFonts w:cs="Arial"/>
              </w:rPr>
              <w:t xml:space="preserve">to provide </w:t>
            </w:r>
            <w:r w:rsidR="000404B6" w:rsidRPr="00FF3A24">
              <w:rPr>
                <w:rFonts w:cs="Arial"/>
              </w:rPr>
              <w:t xml:space="preserve">periodically </w:t>
            </w:r>
            <w:r w:rsidRPr="00FF3A24">
              <w:rPr>
                <w:rFonts w:cs="Arial"/>
              </w:rPr>
              <w:t xml:space="preserve">a report in order to collect the evaluation of risk level on ENC overlaps from the MS in the frame of the WENDWG </w:t>
            </w:r>
            <w:r w:rsidR="00A126CC" w:rsidRPr="00FF3A24">
              <w:rPr>
                <w:rFonts w:cs="Arial"/>
              </w:rPr>
              <w:t>risk assessment</w:t>
            </w:r>
          </w:p>
        </w:tc>
        <w:tc>
          <w:tcPr>
            <w:tcW w:w="1390" w:type="dxa"/>
            <w:shd w:val="clear" w:color="000000" w:fill="auto"/>
            <w:vAlign w:val="center"/>
          </w:tcPr>
          <w:p w14:paraId="567E7ADD" w14:textId="77F03165" w:rsidR="00C93FF9" w:rsidRPr="00FF3A24" w:rsidRDefault="00C93FF9" w:rsidP="00C93FF9">
            <w:pPr>
              <w:spacing w:after="0"/>
              <w:jc w:val="center"/>
              <w:rPr>
                <w:bCs/>
              </w:rPr>
            </w:pPr>
            <w:r w:rsidRPr="00FF3A24">
              <w:rPr>
                <w:bCs/>
              </w:rPr>
              <w:t>RENCs</w:t>
            </w:r>
          </w:p>
        </w:tc>
        <w:tc>
          <w:tcPr>
            <w:tcW w:w="1730" w:type="dxa"/>
            <w:shd w:val="clear" w:color="000000" w:fill="auto"/>
            <w:vAlign w:val="center"/>
          </w:tcPr>
          <w:p w14:paraId="4D3C4FAB" w14:textId="1641EB82" w:rsidR="00C93FF9" w:rsidRPr="00FF3A24" w:rsidRDefault="00C93FF9" w:rsidP="00C93FF9">
            <w:pPr>
              <w:spacing w:before="120" w:after="120" w:line="240" w:lineRule="auto"/>
              <w:jc w:val="center"/>
              <w:rPr>
                <w:bCs/>
              </w:rPr>
            </w:pPr>
            <w:r w:rsidRPr="00FF3A24">
              <w:rPr>
                <w:bCs/>
              </w:rPr>
              <w:t>Permanent</w:t>
            </w:r>
          </w:p>
        </w:tc>
      </w:tr>
      <w:tr w:rsidR="00C93FF9" w:rsidRPr="005701FE" w14:paraId="058E5C18" w14:textId="77777777" w:rsidTr="0099313D">
        <w:trPr>
          <w:trHeight w:val="20"/>
          <w:jc w:val="center"/>
        </w:trPr>
        <w:tc>
          <w:tcPr>
            <w:tcW w:w="1696" w:type="dxa"/>
            <w:shd w:val="clear" w:color="000000" w:fill="auto"/>
            <w:vAlign w:val="center"/>
          </w:tcPr>
          <w:p w14:paraId="729F2174" w14:textId="0D073084" w:rsidR="00C93FF9" w:rsidRPr="00FF3A24" w:rsidRDefault="00C93FF9" w:rsidP="00DA6DEB">
            <w:pPr>
              <w:spacing w:before="120" w:after="120" w:line="240" w:lineRule="auto"/>
              <w:jc w:val="center"/>
              <w:rPr>
                <w:b/>
                <w:bCs/>
              </w:rPr>
            </w:pPr>
            <w:r w:rsidRPr="00FF3A24">
              <w:rPr>
                <w:b/>
                <w:bCs/>
              </w:rPr>
              <w:t>MBSHC21/</w:t>
            </w:r>
            <w:r w:rsidR="000404B6" w:rsidRPr="00FF3A24">
              <w:rPr>
                <w:b/>
                <w:bCs/>
              </w:rPr>
              <w:t>31</w:t>
            </w:r>
          </w:p>
        </w:tc>
        <w:tc>
          <w:tcPr>
            <w:tcW w:w="4818" w:type="dxa"/>
            <w:shd w:val="clear" w:color="000000" w:fill="auto"/>
            <w:vAlign w:val="center"/>
          </w:tcPr>
          <w:p w14:paraId="037E9CF1" w14:textId="77777777" w:rsidR="00C93FF9" w:rsidRPr="00FF3A24" w:rsidRDefault="00C93FF9" w:rsidP="0099313D">
            <w:pPr>
              <w:spacing w:before="120" w:after="120"/>
              <w:jc w:val="both"/>
              <w:rPr>
                <w:rFonts w:cs="Arial"/>
              </w:rPr>
            </w:pPr>
            <w:r w:rsidRPr="00FF3A24">
              <w:rPr>
                <w:rFonts w:cs="Arial"/>
              </w:rPr>
              <w:t>MS to use the RENCs’ template report to provide the RCC with:</w:t>
            </w:r>
          </w:p>
          <w:p w14:paraId="2B578BDD" w14:textId="77777777" w:rsidR="00C93FF9" w:rsidRPr="00FF3A24" w:rsidRDefault="00C93FF9" w:rsidP="0099313D">
            <w:pPr>
              <w:pStyle w:val="Prrafodelista"/>
              <w:numPr>
                <w:ilvl w:val="0"/>
                <w:numId w:val="2"/>
              </w:numPr>
              <w:spacing w:before="120" w:after="120"/>
              <w:jc w:val="both"/>
              <w:rPr>
                <w:rFonts w:cs="Arial"/>
              </w:rPr>
            </w:pPr>
            <w:r w:rsidRPr="00FF3A24">
              <w:rPr>
                <w:rFonts w:cs="Arial"/>
              </w:rPr>
              <w:t>evaluation of risk level on the most critical ENC overlaps based on the IC-ENC risk assessment regional database (level: MEDIUM);</w:t>
            </w:r>
          </w:p>
          <w:p w14:paraId="5DD35141" w14:textId="3CB564BC" w:rsidR="00C93FF9" w:rsidRPr="00FF3A24" w:rsidRDefault="00C93FF9" w:rsidP="0099313D">
            <w:pPr>
              <w:pStyle w:val="Prrafodelista"/>
              <w:numPr>
                <w:ilvl w:val="0"/>
                <w:numId w:val="2"/>
              </w:numPr>
              <w:spacing w:before="120" w:after="120"/>
              <w:jc w:val="both"/>
              <w:rPr>
                <w:rFonts w:cs="Arial"/>
              </w:rPr>
            </w:pPr>
            <w:r w:rsidRPr="00FF3A24">
              <w:rPr>
                <w:rFonts w:cs="Arial"/>
              </w:rPr>
              <w:lastRenderedPageBreak/>
              <w:t>their views and comments on the IC-ENC risk assessment methodology</w:t>
            </w:r>
          </w:p>
        </w:tc>
        <w:tc>
          <w:tcPr>
            <w:tcW w:w="1390" w:type="dxa"/>
            <w:shd w:val="clear" w:color="000000" w:fill="auto"/>
            <w:vAlign w:val="center"/>
          </w:tcPr>
          <w:p w14:paraId="0EE11D08" w14:textId="4F76DE2E" w:rsidR="00C93FF9" w:rsidRPr="00FF3A24" w:rsidRDefault="00C93FF9" w:rsidP="00C93FF9">
            <w:pPr>
              <w:spacing w:after="0"/>
              <w:jc w:val="center"/>
              <w:rPr>
                <w:bCs/>
              </w:rPr>
            </w:pPr>
            <w:r w:rsidRPr="00FF3A24">
              <w:rPr>
                <w:bCs/>
              </w:rPr>
              <w:lastRenderedPageBreak/>
              <w:t>All</w:t>
            </w:r>
          </w:p>
        </w:tc>
        <w:tc>
          <w:tcPr>
            <w:tcW w:w="1730" w:type="dxa"/>
            <w:shd w:val="clear" w:color="000000" w:fill="auto"/>
            <w:vAlign w:val="center"/>
          </w:tcPr>
          <w:p w14:paraId="6D237D64" w14:textId="2D1190F6" w:rsidR="00C93FF9" w:rsidRPr="00FF3A24" w:rsidRDefault="000404B6" w:rsidP="00C93FF9">
            <w:pPr>
              <w:spacing w:before="120" w:after="120" w:line="240" w:lineRule="auto"/>
              <w:jc w:val="center"/>
              <w:rPr>
                <w:bCs/>
              </w:rPr>
            </w:pPr>
            <w:r w:rsidRPr="00FF3A24">
              <w:rPr>
                <w:bCs/>
              </w:rPr>
              <w:t>Permanent</w:t>
            </w:r>
          </w:p>
        </w:tc>
      </w:tr>
      <w:tr w:rsidR="00C93FF9" w:rsidRPr="005701FE" w14:paraId="22D9D069" w14:textId="77777777" w:rsidTr="0099313D">
        <w:trPr>
          <w:trHeight w:val="20"/>
          <w:jc w:val="center"/>
        </w:trPr>
        <w:tc>
          <w:tcPr>
            <w:tcW w:w="1696" w:type="dxa"/>
            <w:shd w:val="clear" w:color="000000" w:fill="auto"/>
            <w:vAlign w:val="center"/>
          </w:tcPr>
          <w:p w14:paraId="459130C4" w14:textId="21380D06" w:rsidR="00C93FF9" w:rsidRPr="00FF3A24" w:rsidRDefault="00C93FF9" w:rsidP="00DA6DEB">
            <w:pPr>
              <w:spacing w:before="120" w:after="120" w:line="240" w:lineRule="auto"/>
              <w:jc w:val="center"/>
              <w:rPr>
                <w:bCs/>
              </w:rPr>
            </w:pPr>
            <w:r w:rsidRPr="00FF3A24">
              <w:rPr>
                <w:b/>
                <w:bCs/>
              </w:rPr>
              <w:t>MBSHC21/</w:t>
            </w:r>
            <w:r w:rsidR="000404B6" w:rsidRPr="00FF3A24">
              <w:rPr>
                <w:b/>
                <w:bCs/>
              </w:rPr>
              <w:t>32</w:t>
            </w:r>
          </w:p>
        </w:tc>
        <w:tc>
          <w:tcPr>
            <w:tcW w:w="4818" w:type="dxa"/>
            <w:shd w:val="clear" w:color="000000" w:fill="auto"/>
            <w:vAlign w:val="center"/>
          </w:tcPr>
          <w:p w14:paraId="6E08BAB9" w14:textId="24D59B83" w:rsidR="00C93FF9" w:rsidRPr="00FF3A24" w:rsidRDefault="00C93FF9" w:rsidP="0099313D">
            <w:pPr>
              <w:spacing w:before="120" w:after="120"/>
              <w:jc w:val="both"/>
              <w:rPr>
                <w:rFonts w:cs="Arial"/>
                <w:lang w:val="en-US"/>
              </w:rPr>
            </w:pPr>
            <w:r w:rsidRPr="00FF3A24">
              <w:rPr>
                <w:rFonts w:cs="Arial"/>
                <w:lang w:val="en-US"/>
              </w:rPr>
              <w:t xml:space="preserve">IHO Secretariat </w:t>
            </w:r>
            <w:r w:rsidR="000404B6" w:rsidRPr="00FF3A24">
              <w:rPr>
                <w:rFonts w:cs="Arial"/>
                <w:lang w:val="en-US"/>
              </w:rPr>
              <w:t xml:space="preserve">is kindly invited </w:t>
            </w:r>
            <w:r w:rsidRPr="00FF3A24">
              <w:rPr>
                <w:rFonts w:cs="Arial"/>
                <w:lang w:val="en-US"/>
              </w:rPr>
              <w:t>to put the documents (CL, Correspondence, Presentations) on an open access page of the commission and to keep only the archived versions of old catalogues on the restricted access page</w:t>
            </w:r>
          </w:p>
        </w:tc>
        <w:tc>
          <w:tcPr>
            <w:tcW w:w="1390" w:type="dxa"/>
            <w:shd w:val="clear" w:color="000000" w:fill="auto"/>
            <w:vAlign w:val="center"/>
          </w:tcPr>
          <w:p w14:paraId="5FF03E25" w14:textId="4538D749" w:rsidR="00C93FF9" w:rsidRPr="00FF3A24" w:rsidRDefault="00C93FF9" w:rsidP="00C93FF9">
            <w:pPr>
              <w:spacing w:after="0"/>
              <w:jc w:val="center"/>
              <w:rPr>
                <w:bCs/>
              </w:rPr>
            </w:pPr>
            <w:r w:rsidRPr="00FF3A24">
              <w:rPr>
                <w:bCs/>
              </w:rPr>
              <w:t xml:space="preserve">IHO </w:t>
            </w:r>
            <w:proofErr w:type="spellStart"/>
            <w:r w:rsidRPr="00FF3A24">
              <w:rPr>
                <w:bCs/>
              </w:rPr>
              <w:t>Secr</w:t>
            </w:r>
            <w:proofErr w:type="spellEnd"/>
            <w:r w:rsidRPr="00FF3A24">
              <w:rPr>
                <w:bCs/>
              </w:rPr>
              <w:t xml:space="preserve">. </w:t>
            </w:r>
          </w:p>
        </w:tc>
        <w:tc>
          <w:tcPr>
            <w:tcW w:w="1730" w:type="dxa"/>
            <w:shd w:val="clear" w:color="000000" w:fill="auto"/>
            <w:vAlign w:val="center"/>
          </w:tcPr>
          <w:p w14:paraId="1E8D03DC" w14:textId="5911614D" w:rsidR="00C93FF9" w:rsidRPr="00FF3A24" w:rsidRDefault="000404B6" w:rsidP="00C93FF9">
            <w:pPr>
              <w:spacing w:before="120" w:after="120" w:line="240" w:lineRule="auto"/>
              <w:jc w:val="center"/>
              <w:rPr>
                <w:bCs/>
              </w:rPr>
            </w:pPr>
            <w:r w:rsidRPr="00FF3A24">
              <w:rPr>
                <w:bCs/>
              </w:rPr>
              <w:t>MBSHC22</w:t>
            </w:r>
          </w:p>
        </w:tc>
      </w:tr>
      <w:tr w:rsidR="00A126CC" w:rsidRPr="005701FE" w14:paraId="65F258B6" w14:textId="77777777" w:rsidTr="0099313D">
        <w:trPr>
          <w:trHeight w:val="20"/>
          <w:jc w:val="center"/>
        </w:trPr>
        <w:tc>
          <w:tcPr>
            <w:tcW w:w="1696" w:type="dxa"/>
            <w:shd w:val="clear" w:color="000000" w:fill="auto"/>
            <w:vAlign w:val="center"/>
          </w:tcPr>
          <w:p w14:paraId="678332F3" w14:textId="7A03F9CD" w:rsidR="000404B6" w:rsidRPr="00FF3A24" w:rsidRDefault="00A126CC" w:rsidP="000404B6">
            <w:pPr>
              <w:spacing w:before="120" w:after="120" w:line="240" w:lineRule="auto"/>
              <w:jc w:val="center"/>
              <w:rPr>
                <w:b/>
                <w:bCs/>
              </w:rPr>
            </w:pPr>
            <w:r w:rsidRPr="00FF3A24">
              <w:rPr>
                <w:b/>
                <w:bCs/>
              </w:rPr>
              <w:t>MBSHC21</w:t>
            </w:r>
            <w:r w:rsidR="000404B6" w:rsidRPr="00FF3A24">
              <w:rPr>
                <w:b/>
                <w:bCs/>
              </w:rPr>
              <w:t>/33</w:t>
            </w:r>
          </w:p>
        </w:tc>
        <w:tc>
          <w:tcPr>
            <w:tcW w:w="4818" w:type="dxa"/>
            <w:shd w:val="clear" w:color="000000" w:fill="auto"/>
            <w:vAlign w:val="center"/>
          </w:tcPr>
          <w:p w14:paraId="2F467C5B" w14:textId="31D56B65" w:rsidR="00A126CC" w:rsidRPr="00FF3A24" w:rsidRDefault="00A126CC" w:rsidP="0099313D">
            <w:pPr>
              <w:spacing w:before="120" w:after="120"/>
              <w:jc w:val="both"/>
              <w:rPr>
                <w:rFonts w:cs="Arial"/>
                <w:lang w:val="en-US"/>
              </w:rPr>
            </w:pPr>
            <w:r w:rsidRPr="00FF3A24">
              <w:rPr>
                <w:rFonts w:cs="Arial"/>
                <w:bCs/>
                <w:lang w:val="en-US"/>
              </w:rPr>
              <w:t>RU and GE to work on an agreement for the coproduction of INT3810 and report to the Region F ICC, who can provide help if needed</w:t>
            </w:r>
          </w:p>
        </w:tc>
        <w:tc>
          <w:tcPr>
            <w:tcW w:w="1390" w:type="dxa"/>
            <w:shd w:val="clear" w:color="000000" w:fill="auto"/>
            <w:vAlign w:val="center"/>
          </w:tcPr>
          <w:p w14:paraId="6DC64062" w14:textId="77777777" w:rsidR="00A126CC" w:rsidRPr="00FF3A24" w:rsidRDefault="00A126CC" w:rsidP="00C93FF9">
            <w:pPr>
              <w:spacing w:after="0"/>
              <w:jc w:val="center"/>
              <w:rPr>
                <w:bCs/>
              </w:rPr>
            </w:pPr>
            <w:r w:rsidRPr="00FF3A24">
              <w:rPr>
                <w:bCs/>
              </w:rPr>
              <w:t>RU and GE</w:t>
            </w:r>
          </w:p>
          <w:p w14:paraId="3E1D6E00" w14:textId="78D1346E" w:rsidR="00A126CC" w:rsidRPr="00FF3A24" w:rsidRDefault="00A126CC" w:rsidP="00A126CC">
            <w:pPr>
              <w:spacing w:after="0"/>
              <w:rPr>
                <w:bCs/>
              </w:rPr>
            </w:pPr>
          </w:p>
        </w:tc>
        <w:tc>
          <w:tcPr>
            <w:tcW w:w="1730" w:type="dxa"/>
            <w:shd w:val="clear" w:color="000000" w:fill="auto"/>
            <w:vAlign w:val="center"/>
          </w:tcPr>
          <w:p w14:paraId="0A11BFA8" w14:textId="0CD54BB6" w:rsidR="00A126CC" w:rsidRPr="00FF3A24" w:rsidRDefault="00A126CC" w:rsidP="00C93FF9">
            <w:pPr>
              <w:spacing w:before="120" w:after="120" w:line="240" w:lineRule="auto"/>
              <w:jc w:val="center"/>
              <w:rPr>
                <w:bCs/>
              </w:rPr>
            </w:pPr>
            <w:r w:rsidRPr="00FF3A24">
              <w:rPr>
                <w:bCs/>
              </w:rPr>
              <w:t>MBSHC22</w:t>
            </w:r>
          </w:p>
        </w:tc>
      </w:tr>
      <w:tr w:rsidR="00A126CC" w:rsidRPr="005701FE" w14:paraId="6015798D" w14:textId="77777777" w:rsidTr="0099313D">
        <w:trPr>
          <w:trHeight w:val="20"/>
          <w:jc w:val="center"/>
        </w:trPr>
        <w:tc>
          <w:tcPr>
            <w:tcW w:w="1696" w:type="dxa"/>
            <w:shd w:val="clear" w:color="000000" w:fill="auto"/>
            <w:vAlign w:val="center"/>
          </w:tcPr>
          <w:p w14:paraId="0EE1C87A" w14:textId="76C86025" w:rsidR="00A126CC" w:rsidRPr="00FF3A24" w:rsidRDefault="00A126CC" w:rsidP="00DA6DEB">
            <w:pPr>
              <w:spacing w:before="120" w:after="120" w:line="240" w:lineRule="auto"/>
              <w:jc w:val="center"/>
              <w:rPr>
                <w:bCs/>
              </w:rPr>
            </w:pPr>
            <w:r w:rsidRPr="00FF3A24">
              <w:rPr>
                <w:b/>
                <w:bCs/>
              </w:rPr>
              <w:t>MBSHC21</w:t>
            </w:r>
            <w:r w:rsidR="00F549E0" w:rsidRPr="00FF3A24">
              <w:rPr>
                <w:b/>
                <w:bCs/>
              </w:rPr>
              <w:t>/</w:t>
            </w:r>
            <w:r w:rsidR="000404B6" w:rsidRPr="00FF3A24">
              <w:rPr>
                <w:b/>
                <w:bCs/>
              </w:rPr>
              <w:t>34</w:t>
            </w:r>
          </w:p>
        </w:tc>
        <w:tc>
          <w:tcPr>
            <w:tcW w:w="4818" w:type="dxa"/>
            <w:shd w:val="clear" w:color="000000" w:fill="auto"/>
            <w:vAlign w:val="center"/>
          </w:tcPr>
          <w:p w14:paraId="06D4ADC4" w14:textId="44E85482" w:rsidR="00A126CC" w:rsidRPr="00FF3A24" w:rsidRDefault="00A126CC" w:rsidP="0099313D">
            <w:pPr>
              <w:spacing w:before="120" w:after="120"/>
              <w:jc w:val="both"/>
              <w:rPr>
                <w:rFonts w:cs="Arial"/>
                <w:bCs/>
              </w:rPr>
            </w:pPr>
            <w:r w:rsidRPr="00FF3A24">
              <w:rPr>
                <w:rFonts w:cs="Arial"/>
                <w:bCs/>
                <w:lang w:val="fr-FR"/>
              </w:rPr>
              <w:t xml:space="preserve">RU to </w:t>
            </w:r>
            <w:proofErr w:type="spellStart"/>
            <w:r w:rsidRPr="00FF3A24">
              <w:rPr>
                <w:rFonts w:cs="Arial"/>
                <w:bCs/>
                <w:lang w:val="fr-FR"/>
              </w:rPr>
              <w:t>provide</w:t>
            </w:r>
            <w:proofErr w:type="spellEnd"/>
            <w:r w:rsidRPr="00FF3A24">
              <w:rPr>
                <w:rFonts w:cs="Arial"/>
                <w:bCs/>
                <w:lang w:val="fr-FR"/>
              </w:rPr>
              <w:t xml:space="preserve"> </w:t>
            </w:r>
            <w:proofErr w:type="spellStart"/>
            <w:r w:rsidRPr="00FF3A24">
              <w:rPr>
                <w:rFonts w:cs="Arial"/>
                <w:bCs/>
                <w:lang w:val="fr-FR"/>
              </w:rPr>
              <w:t>assigned</w:t>
            </w:r>
            <w:proofErr w:type="spellEnd"/>
            <w:r w:rsidRPr="00FF3A24">
              <w:rPr>
                <w:rFonts w:cs="Arial"/>
                <w:bCs/>
                <w:lang w:val="fr-FR"/>
              </w:rPr>
              <w:t xml:space="preserve"> </w:t>
            </w:r>
            <w:proofErr w:type="spellStart"/>
            <w:r w:rsidRPr="00FF3A24">
              <w:rPr>
                <w:rFonts w:cs="Arial"/>
                <w:bCs/>
                <w:lang w:val="fr-FR"/>
              </w:rPr>
              <w:t>producers</w:t>
            </w:r>
            <w:proofErr w:type="spellEnd"/>
            <w:r w:rsidRPr="00FF3A24">
              <w:rPr>
                <w:rFonts w:cs="Arial"/>
                <w:bCs/>
                <w:lang w:val="fr-FR"/>
              </w:rPr>
              <w:t xml:space="preserve"> (TR and GE) </w:t>
            </w:r>
            <w:proofErr w:type="spellStart"/>
            <w:r w:rsidRPr="00FF3A24">
              <w:rPr>
                <w:rFonts w:cs="Arial"/>
                <w:bCs/>
                <w:lang w:val="fr-FR"/>
              </w:rPr>
              <w:t>with</w:t>
            </w:r>
            <w:proofErr w:type="spellEnd"/>
            <w:r w:rsidRPr="00FF3A24">
              <w:rPr>
                <w:rFonts w:cs="Arial"/>
                <w:bCs/>
                <w:lang w:val="fr-FR"/>
              </w:rPr>
              <w:t xml:space="preserve"> </w:t>
            </w:r>
            <w:proofErr w:type="spellStart"/>
            <w:r w:rsidRPr="00FF3A24">
              <w:rPr>
                <w:rFonts w:cs="Arial"/>
                <w:bCs/>
                <w:lang w:val="fr-FR"/>
              </w:rPr>
              <w:t>repromats</w:t>
            </w:r>
            <w:proofErr w:type="spellEnd"/>
            <w:r w:rsidRPr="00FF3A24">
              <w:rPr>
                <w:rFonts w:cs="Arial"/>
                <w:bCs/>
                <w:lang w:val="fr-FR"/>
              </w:rPr>
              <w:t xml:space="preserve"> of </w:t>
            </w:r>
            <w:proofErr w:type="spellStart"/>
            <w:r w:rsidRPr="00FF3A24">
              <w:rPr>
                <w:rFonts w:cs="Arial"/>
                <w:bCs/>
                <w:lang w:val="fr-FR"/>
              </w:rPr>
              <w:t>their</w:t>
            </w:r>
            <w:proofErr w:type="spellEnd"/>
            <w:r w:rsidRPr="00FF3A24">
              <w:rPr>
                <w:rFonts w:cs="Arial"/>
                <w:bCs/>
                <w:lang w:val="fr-FR"/>
              </w:rPr>
              <w:t xml:space="preserve"> </w:t>
            </w:r>
            <w:proofErr w:type="spellStart"/>
            <w:r w:rsidRPr="00FF3A24">
              <w:rPr>
                <w:rFonts w:cs="Arial"/>
                <w:bCs/>
                <w:lang w:val="fr-FR"/>
              </w:rPr>
              <w:t>updated</w:t>
            </w:r>
            <w:proofErr w:type="spellEnd"/>
            <w:r w:rsidRPr="00FF3A24">
              <w:rPr>
                <w:rFonts w:cs="Arial"/>
                <w:bCs/>
                <w:lang w:val="fr-FR"/>
              </w:rPr>
              <w:t xml:space="preserve"> chart </w:t>
            </w:r>
            <w:proofErr w:type="spellStart"/>
            <w:r w:rsidRPr="00FF3A24">
              <w:rPr>
                <w:rFonts w:cs="Arial"/>
                <w:bCs/>
                <w:lang w:val="fr-FR"/>
              </w:rPr>
              <w:t>corresponding</w:t>
            </w:r>
            <w:proofErr w:type="spellEnd"/>
            <w:r w:rsidRPr="00FF3A24">
              <w:rPr>
                <w:rFonts w:cs="Arial"/>
                <w:bCs/>
                <w:lang w:val="fr-FR"/>
              </w:rPr>
              <w:t xml:space="preserve"> to INT3808 and </w:t>
            </w:r>
            <w:proofErr w:type="spellStart"/>
            <w:r w:rsidRPr="00FF3A24">
              <w:rPr>
                <w:rFonts w:cs="Arial"/>
                <w:bCs/>
                <w:lang w:val="fr-FR"/>
              </w:rPr>
              <w:t>with</w:t>
            </w:r>
            <w:proofErr w:type="spellEnd"/>
            <w:r w:rsidRPr="00FF3A24">
              <w:rPr>
                <w:rFonts w:cs="Arial"/>
                <w:bCs/>
                <w:lang w:val="fr-FR"/>
              </w:rPr>
              <w:t xml:space="preserve"> </w:t>
            </w:r>
            <w:proofErr w:type="spellStart"/>
            <w:r w:rsidRPr="00FF3A24">
              <w:rPr>
                <w:rFonts w:cs="Arial"/>
                <w:bCs/>
                <w:lang w:val="fr-FR"/>
              </w:rPr>
              <w:t>updating</w:t>
            </w:r>
            <w:proofErr w:type="spellEnd"/>
            <w:r w:rsidRPr="00FF3A24">
              <w:rPr>
                <w:rFonts w:cs="Arial"/>
                <w:bCs/>
                <w:lang w:val="fr-FR"/>
              </w:rPr>
              <w:t xml:space="preserve"> information for ENC TR200014</w:t>
            </w:r>
          </w:p>
        </w:tc>
        <w:tc>
          <w:tcPr>
            <w:tcW w:w="1390" w:type="dxa"/>
            <w:shd w:val="clear" w:color="000000" w:fill="auto"/>
            <w:vAlign w:val="center"/>
          </w:tcPr>
          <w:p w14:paraId="281AE995" w14:textId="65EB7D0A" w:rsidR="00A126CC" w:rsidRPr="00FF3A24" w:rsidRDefault="00A126CC" w:rsidP="00C93FF9">
            <w:pPr>
              <w:spacing w:after="0"/>
              <w:jc w:val="center"/>
              <w:rPr>
                <w:bCs/>
              </w:rPr>
            </w:pPr>
            <w:r w:rsidRPr="00FF3A24">
              <w:rPr>
                <w:bCs/>
              </w:rPr>
              <w:t xml:space="preserve">RU  </w:t>
            </w:r>
          </w:p>
        </w:tc>
        <w:tc>
          <w:tcPr>
            <w:tcW w:w="1730" w:type="dxa"/>
            <w:shd w:val="clear" w:color="000000" w:fill="auto"/>
            <w:vAlign w:val="center"/>
          </w:tcPr>
          <w:p w14:paraId="2B7FC781" w14:textId="78F5A18C" w:rsidR="00A126CC" w:rsidRPr="00FF3A24" w:rsidRDefault="00A126CC" w:rsidP="00C93FF9">
            <w:pPr>
              <w:spacing w:before="120" w:after="120" w:line="240" w:lineRule="auto"/>
              <w:jc w:val="center"/>
              <w:rPr>
                <w:bCs/>
              </w:rPr>
            </w:pPr>
            <w:r w:rsidRPr="00FF3A24">
              <w:rPr>
                <w:bCs/>
              </w:rPr>
              <w:t>Oct</w:t>
            </w:r>
            <w:r w:rsidR="000404B6" w:rsidRPr="00FF3A24">
              <w:rPr>
                <w:bCs/>
              </w:rPr>
              <w:t xml:space="preserve">ober </w:t>
            </w:r>
            <w:r w:rsidRPr="00FF3A24">
              <w:rPr>
                <w:bCs/>
              </w:rPr>
              <w:t>201</w:t>
            </w:r>
            <w:r w:rsidR="000404B6" w:rsidRPr="00FF3A24">
              <w:rPr>
                <w:bCs/>
              </w:rPr>
              <w:t>9</w:t>
            </w:r>
          </w:p>
        </w:tc>
      </w:tr>
      <w:tr w:rsidR="00A126CC" w:rsidRPr="005701FE" w14:paraId="064D7E1B" w14:textId="77777777" w:rsidTr="0099313D">
        <w:trPr>
          <w:trHeight w:val="20"/>
          <w:jc w:val="center"/>
        </w:trPr>
        <w:tc>
          <w:tcPr>
            <w:tcW w:w="1696" w:type="dxa"/>
            <w:shd w:val="clear" w:color="000000" w:fill="auto"/>
            <w:vAlign w:val="center"/>
          </w:tcPr>
          <w:p w14:paraId="1B8CA61C" w14:textId="03920C73" w:rsidR="00A126CC" w:rsidRPr="00FF3A24" w:rsidRDefault="00A126CC" w:rsidP="00DA6DEB">
            <w:pPr>
              <w:spacing w:before="120" w:after="120" w:line="240" w:lineRule="auto"/>
              <w:jc w:val="center"/>
              <w:rPr>
                <w:b/>
                <w:bCs/>
              </w:rPr>
            </w:pPr>
            <w:r w:rsidRPr="00FF3A24">
              <w:rPr>
                <w:b/>
                <w:bCs/>
              </w:rPr>
              <w:t>MBSHC21/</w:t>
            </w:r>
            <w:r w:rsidR="000404B6" w:rsidRPr="00FF3A24">
              <w:rPr>
                <w:b/>
                <w:bCs/>
              </w:rPr>
              <w:t>35</w:t>
            </w:r>
          </w:p>
        </w:tc>
        <w:tc>
          <w:tcPr>
            <w:tcW w:w="4818" w:type="dxa"/>
            <w:shd w:val="clear" w:color="000000" w:fill="auto"/>
            <w:vAlign w:val="center"/>
          </w:tcPr>
          <w:p w14:paraId="7DCD457A" w14:textId="23BD4DD1" w:rsidR="00A126CC" w:rsidRPr="00FF3A24" w:rsidRDefault="00A126CC" w:rsidP="0099313D">
            <w:pPr>
              <w:spacing w:before="120" w:after="120"/>
              <w:jc w:val="both"/>
              <w:rPr>
                <w:rFonts w:cs="Arial"/>
                <w:b/>
                <w:bCs/>
                <w:lang w:val="fr-FR"/>
              </w:rPr>
            </w:pPr>
            <w:r w:rsidRPr="00FF3A24">
              <w:rPr>
                <w:rFonts w:cs="Calibri"/>
                <w:bCs/>
                <w:lang w:eastAsia="el-GR"/>
              </w:rPr>
              <w:t>EG to provide new INT charts to the Region F ICC, to check consistency with the current INT scheme (New charts to be added to the scheme and charts taking over already produced INT charts, IAW with transition plan with UKHO, with justification of proposed modifications to the existing scheme if applicable)</w:t>
            </w:r>
          </w:p>
        </w:tc>
        <w:tc>
          <w:tcPr>
            <w:tcW w:w="1390" w:type="dxa"/>
            <w:shd w:val="clear" w:color="000000" w:fill="auto"/>
            <w:vAlign w:val="center"/>
          </w:tcPr>
          <w:p w14:paraId="46EF5A32" w14:textId="305F1BDA" w:rsidR="00A126CC" w:rsidRPr="00FF3A24" w:rsidRDefault="00A126CC" w:rsidP="00A126CC">
            <w:pPr>
              <w:spacing w:after="0"/>
              <w:jc w:val="center"/>
              <w:rPr>
                <w:bCs/>
              </w:rPr>
            </w:pPr>
            <w:r w:rsidRPr="00FF3A24">
              <w:rPr>
                <w:bCs/>
              </w:rPr>
              <w:t xml:space="preserve">EG </w:t>
            </w:r>
          </w:p>
        </w:tc>
        <w:tc>
          <w:tcPr>
            <w:tcW w:w="1730" w:type="dxa"/>
            <w:shd w:val="clear" w:color="000000" w:fill="auto"/>
            <w:vAlign w:val="center"/>
          </w:tcPr>
          <w:p w14:paraId="67641A2F" w14:textId="4BBC3444" w:rsidR="00A126CC" w:rsidRPr="00FF3A24" w:rsidRDefault="00A126CC" w:rsidP="00A126CC">
            <w:pPr>
              <w:spacing w:before="120" w:after="120" w:line="240" w:lineRule="auto"/>
              <w:jc w:val="center"/>
              <w:rPr>
                <w:bCs/>
              </w:rPr>
            </w:pPr>
            <w:r w:rsidRPr="00FF3A24">
              <w:rPr>
                <w:bCs/>
              </w:rPr>
              <w:t>MBSHC22</w:t>
            </w:r>
          </w:p>
        </w:tc>
      </w:tr>
      <w:tr w:rsidR="00A126CC" w:rsidRPr="005701FE" w14:paraId="5A3F6C90" w14:textId="77777777" w:rsidTr="0099313D">
        <w:trPr>
          <w:trHeight w:val="20"/>
          <w:jc w:val="center"/>
        </w:trPr>
        <w:tc>
          <w:tcPr>
            <w:tcW w:w="1696" w:type="dxa"/>
            <w:shd w:val="clear" w:color="000000" w:fill="auto"/>
            <w:vAlign w:val="center"/>
          </w:tcPr>
          <w:p w14:paraId="77F53CF2" w14:textId="79850D56" w:rsidR="00A126CC" w:rsidRPr="00FF3A24" w:rsidRDefault="00A126CC" w:rsidP="00DA6DEB">
            <w:pPr>
              <w:tabs>
                <w:tab w:val="left" w:pos="1275"/>
              </w:tabs>
              <w:spacing w:before="120" w:after="120" w:line="240" w:lineRule="auto"/>
              <w:jc w:val="center"/>
              <w:rPr>
                <w:b/>
                <w:bCs/>
              </w:rPr>
            </w:pPr>
            <w:r w:rsidRPr="00FF3A24">
              <w:rPr>
                <w:b/>
                <w:bCs/>
              </w:rPr>
              <w:t>MBSHC21/</w:t>
            </w:r>
            <w:r w:rsidR="000404B6" w:rsidRPr="00FF3A24">
              <w:rPr>
                <w:b/>
                <w:bCs/>
              </w:rPr>
              <w:t>36</w:t>
            </w:r>
          </w:p>
        </w:tc>
        <w:tc>
          <w:tcPr>
            <w:tcW w:w="4818" w:type="dxa"/>
            <w:shd w:val="clear" w:color="000000" w:fill="auto"/>
            <w:vAlign w:val="center"/>
          </w:tcPr>
          <w:p w14:paraId="16301284" w14:textId="11D4CB4D" w:rsidR="00A126CC" w:rsidRPr="00FF3A24" w:rsidRDefault="00A126CC" w:rsidP="0099313D">
            <w:pPr>
              <w:spacing w:before="120" w:after="120"/>
              <w:jc w:val="both"/>
              <w:rPr>
                <w:rFonts w:cs="Arial"/>
                <w:b/>
                <w:bCs/>
                <w:lang w:val="fr-FR"/>
              </w:rPr>
            </w:pPr>
            <w:r w:rsidRPr="00FF3A24">
              <w:rPr>
                <w:rFonts w:cs="Calibri"/>
                <w:bCs/>
                <w:lang w:eastAsia="el-GR"/>
              </w:rPr>
              <w:t>EG to propose a transition plan including procedure for reprint agreement prior to endorsement in the region F catalogue.</w:t>
            </w:r>
          </w:p>
        </w:tc>
        <w:tc>
          <w:tcPr>
            <w:tcW w:w="1390" w:type="dxa"/>
            <w:shd w:val="clear" w:color="000000" w:fill="auto"/>
            <w:vAlign w:val="center"/>
          </w:tcPr>
          <w:p w14:paraId="4D431C82" w14:textId="2B8811CE" w:rsidR="00A126CC" w:rsidRPr="00FF3A24" w:rsidRDefault="00A126CC" w:rsidP="00A126CC">
            <w:pPr>
              <w:spacing w:after="0"/>
              <w:jc w:val="center"/>
              <w:rPr>
                <w:bCs/>
              </w:rPr>
            </w:pPr>
            <w:r w:rsidRPr="00FF3A24">
              <w:rPr>
                <w:bCs/>
              </w:rPr>
              <w:t>EG</w:t>
            </w:r>
          </w:p>
        </w:tc>
        <w:tc>
          <w:tcPr>
            <w:tcW w:w="1730" w:type="dxa"/>
            <w:shd w:val="clear" w:color="000000" w:fill="auto"/>
            <w:vAlign w:val="center"/>
          </w:tcPr>
          <w:p w14:paraId="22A976CD" w14:textId="1E1FD498" w:rsidR="00A126CC" w:rsidRPr="00FF3A24" w:rsidRDefault="00A126CC" w:rsidP="00A126CC">
            <w:pPr>
              <w:spacing w:before="120" w:after="120" w:line="240" w:lineRule="auto"/>
              <w:jc w:val="center"/>
              <w:rPr>
                <w:bCs/>
              </w:rPr>
            </w:pPr>
            <w:r w:rsidRPr="00FF3A24">
              <w:rPr>
                <w:bCs/>
              </w:rPr>
              <w:t>MBSHC22</w:t>
            </w:r>
          </w:p>
        </w:tc>
      </w:tr>
      <w:tr w:rsidR="0099313D" w:rsidRPr="005701FE" w14:paraId="3231091D" w14:textId="77777777" w:rsidTr="0099313D">
        <w:trPr>
          <w:trHeight w:val="20"/>
          <w:jc w:val="center"/>
        </w:trPr>
        <w:tc>
          <w:tcPr>
            <w:tcW w:w="1696" w:type="dxa"/>
            <w:shd w:val="clear" w:color="000000" w:fill="auto"/>
            <w:vAlign w:val="center"/>
          </w:tcPr>
          <w:p w14:paraId="789E9A2B" w14:textId="5D156A2C" w:rsidR="0099313D" w:rsidRPr="00FF3A24" w:rsidRDefault="0099313D" w:rsidP="0099313D">
            <w:pPr>
              <w:tabs>
                <w:tab w:val="left" w:pos="1275"/>
              </w:tabs>
              <w:spacing w:before="120" w:after="120" w:line="240" w:lineRule="auto"/>
              <w:jc w:val="center"/>
              <w:rPr>
                <w:b/>
                <w:bCs/>
              </w:rPr>
            </w:pPr>
            <w:r w:rsidRPr="00FF3A24">
              <w:rPr>
                <w:b/>
                <w:bCs/>
              </w:rPr>
              <w:t>MBSHC21/37</w:t>
            </w:r>
          </w:p>
        </w:tc>
        <w:tc>
          <w:tcPr>
            <w:tcW w:w="4818" w:type="dxa"/>
            <w:shd w:val="clear" w:color="000000" w:fill="auto"/>
            <w:vAlign w:val="center"/>
          </w:tcPr>
          <w:p w14:paraId="778D4972" w14:textId="0900A257" w:rsidR="0099313D" w:rsidRPr="00FF3A24" w:rsidRDefault="0099313D" w:rsidP="0099313D">
            <w:pPr>
              <w:spacing w:before="120" w:after="120"/>
              <w:jc w:val="both"/>
              <w:rPr>
                <w:rFonts w:cs="Calibri"/>
                <w:bCs/>
                <w:lang w:eastAsia="el-GR"/>
              </w:rPr>
            </w:pPr>
            <w:r w:rsidRPr="00FF3A24">
              <w:rPr>
                <w:rFonts w:cs="Calibri"/>
                <w:bCs/>
                <w:lang w:eastAsia="el-GR"/>
              </w:rPr>
              <w:t xml:space="preserve">To schedule a ICCWG side-meeting </w:t>
            </w:r>
            <w:proofErr w:type="spellStart"/>
            <w:r w:rsidRPr="00FF3A24">
              <w:rPr>
                <w:rFonts w:cs="Calibri"/>
                <w:bCs/>
                <w:lang w:eastAsia="el-GR"/>
              </w:rPr>
              <w:t>along side</w:t>
            </w:r>
            <w:proofErr w:type="spellEnd"/>
            <w:r w:rsidRPr="00FF3A24">
              <w:rPr>
                <w:rFonts w:cs="Calibri"/>
                <w:bCs/>
                <w:lang w:eastAsia="el-GR"/>
              </w:rPr>
              <w:t xml:space="preserve"> the MBSHC22 conference</w:t>
            </w:r>
          </w:p>
        </w:tc>
        <w:tc>
          <w:tcPr>
            <w:tcW w:w="1390" w:type="dxa"/>
            <w:shd w:val="clear" w:color="000000" w:fill="auto"/>
            <w:vAlign w:val="center"/>
          </w:tcPr>
          <w:p w14:paraId="024794ED" w14:textId="19FBDAE9" w:rsidR="0099313D" w:rsidRPr="00FF3A24" w:rsidRDefault="0099313D" w:rsidP="00A126CC">
            <w:pPr>
              <w:spacing w:after="0"/>
              <w:jc w:val="center"/>
              <w:rPr>
                <w:bCs/>
              </w:rPr>
            </w:pPr>
            <w:r w:rsidRPr="00FF3A24">
              <w:rPr>
                <w:bCs/>
              </w:rPr>
              <w:t>MBSHC Chair</w:t>
            </w:r>
          </w:p>
        </w:tc>
        <w:tc>
          <w:tcPr>
            <w:tcW w:w="1730" w:type="dxa"/>
            <w:shd w:val="clear" w:color="000000" w:fill="auto"/>
            <w:vAlign w:val="center"/>
          </w:tcPr>
          <w:p w14:paraId="0F28FAFA" w14:textId="6FB69E5F" w:rsidR="0099313D" w:rsidRPr="00FF3A24" w:rsidRDefault="0099313D" w:rsidP="00A126CC">
            <w:pPr>
              <w:spacing w:before="120" w:after="120" w:line="240" w:lineRule="auto"/>
              <w:jc w:val="center"/>
              <w:rPr>
                <w:bCs/>
              </w:rPr>
            </w:pPr>
            <w:r w:rsidRPr="00FF3A24">
              <w:rPr>
                <w:bCs/>
              </w:rPr>
              <w:t>MBSHC22</w:t>
            </w:r>
          </w:p>
        </w:tc>
      </w:tr>
      <w:tr w:rsidR="0099313D" w:rsidRPr="005701FE" w14:paraId="357420ED" w14:textId="77777777" w:rsidTr="0099313D">
        <w:trPr>
          <w:trHeight w:val="20"/>
          <w:jc w:val="center"/>
        </w:trPr>
        <w:tc>
          <w:tcPr>
            <w:tcW w:w="1696" w:type="dxa"/>
            <w:shd w:val="clear" w:color="000000" w:fill="auto"/>
            <w:vAlign w:val="center"/>
          </w:tcPr>
          <w:p w14:paraId="5E76056F" w14:textId="08A27DD4" w:rsidR="0099313D" w:rsidRPr="00FF3A24" w:rsidRDefault="0099313D" w:rsidP="0099313D">
            <w:pPr>
              <w:tabs>
                <w:tab w:val="left" w:pos="1275"/>
              </w:tabs>
              <w:spacing w:before="120" w:after="120" w:line="240" w:lineRule="auto"/>
              <w:jc w:val="center"/>
              <w:rPr>
                <w:b/>
                <w:bCs/>
              </w:rPr>
            </w:pPr>
            <w:r w:rsidRPr="00FF3A24">
              <w:rPr>
                <w:b/>
                <w:bCs/>
              </w:rPr>
              <w:t>MBSHC21/38</w:t>
            </w:r>
          </w:p>
        </w:tc>
        <w:tc>
          <w:tcPr>
            <w:tcW w:w="4818" w:type="dxa"/>
            <w:shd w:val="clear" w:color="000000" w:fill="auto"/>
            <w:vAlign w:val="center"/>
          </w:tcPr>
          <w:p w14:paraId="70BB6031" w14:textId="3290E8A4" w:rsidR="0099313D" w:rsidRPr="00FF3A24" w:rsidRDefault="0099313D" w:rsidP="0099313D">
            <w:pPr>
              <w:spacing w:before="120" w:after="120"/>
              <w:jc w:val="both"/>
              <w:rPr>
                <w:rFonts w:cs="Calibri"/>
                <w:bCs/>
                <w:lang w:eastAsia="el-GR"/>
              </w:rPr>
            </w:pPr>
            <w:r w:rsidRPr="00FF3A24">
              <w:rPr>
                <w:rFonts w:cs="Calibri"/>
                <w:bCs/>
                <w:lang w:eastAsia="el-GR"/>
              </w:rPr>
              <w:t>RCC to disseminate the draft minutes of the ICCWG-5</w:t>
            </w:r>
          </w:p>
        </w:tc>
        <w:tc>
          <w:tcPr>
            <w:tcW w:w="1390" w:type="dxa"/>
            <w:shd w:val="clear" w:color="000000" w:fill="auto"/>
            <w:vAlign w:val="center"/>
          </w:tcPr>
          <w:p w14:paraId="5F663514" w14:textId="6A1CE6A2" w:rsidR="0099313D" w:rsidRPr="00FF3A24" w:rsidRDefault="0099313D" w:rsidP="00A126CC">
            <w:pPr>
              <w:spacing w:after="0"/>
              <w:jc w:val="center"/>
              <w:rPr>
                <w:bCs/>
              </w:rPr>
            </w:pPr>
            <w:r w:rsidRPr="00FF3A24">
              <w:rPr>
                <w:bCs/>
              </w:rPr>
              <w:t>RCC</w:t>
            </w:r>
          </w:p>
        </w:tc>
        <w:tc>
          <w:tcPr>
            <w:tcW w:w="1730" w:type="dxa"/>
            <w:shd w:val="clear" w:color="000000" w:fill="auto"/>
            <w:vAlign w:val="center"/>
          </w:tcPr>
          <w:p w14:paraId="6F0F3514" w14:textId="28D9EA0A" w:rsidR="0099313D" w:rsidRPr="00FF3A24" w:rsidRDefault="0099313D" w:rsidP="00A126CC">
            <w:pPr>
              <w:spacing w:before="120" w:after="120" w:line="240" w:lineRule="auto"/>
              <w:jc w:val="center"/>
              <w:rPr>
                <w:bCs/>
              </w:rPr>
            </w:pPr>
            <w:r w:rsidRPr="00FF3A24">
              <w:rPr>
                <w:bCs/>
              </w:rPr>
              <w:t xml:space="preserve">Permanent </w:t>
            </w:r>
          </w:p>
        </w:tc>
      </w:tr>
      <w:tr w:rsidR="0099313D" w:rsidRPr="005701FE" w14:paraId="53486165" w14:textId="77777777" w:rsidTr="0099313D">
        <w:trPr>
          <w:trHeight w:val="20"/>
          <w:jc w:val="center"/>
        </w:trPr>
        <w:tc>
          <w:tcPr>
            <w:tcW w:w="1696" w:type="dxa"/>
            <w:shd w:val="clear" w:color="000000" w:fill="auto"/>
            <w:vAlign w:val="center"/>
          </w:tcPr>
          <w:p w14:paraId="060F26F8" w14:textId="7FCFE749" w:rsidR="0099313D" w:rsidRPr="00FF3A24" w:rsidRDefault="0099313D" w:rsidP="0099313D">
            <w:pPr>
              <w:tabs>
                <w:tab w:val="left" w:pos="1275"/>
              </w:tabs>
              <w:spacing w:before="120" w:after="120" w:line="240" w:lineRule="auto"/>
              <w:jc w:val="center"/>
              <w:rPr>
                <w:b/>
                <w:bCs/>
              </w:rPr>
            </w:pPr>
            <w:r w:rsidRPr="00FF3A24">
              <w:rPr>
                <w:b/>
                <w:bCs/>
              </w:rPr>
              <w:t>MBSHC21/39</w:t>
            </w:r>
          </w:p>
        </w:tc>
        <w:tc>
          <w:tcPr>
            <w:tcW w:w="4818" w:type="dxa"/>
            <w:shd w:val="clear" w:color="000000" w:fill="auto"/>
            <w:vAlign w:val="center"/>
          </w:tcPr>
          <w:p w14:paraId="0E56AA13" w14:textId="78721177" w:rsidR="0099313D" w:rsidRPr="00FF3A24" w:rsidRDefault="0099313D" w:rsidP="0099313D">
            <w:pPr>
              <w:spacing w:before="120" w:after="120"/>
              <w:jc w:val="both"/>
              <w:rPr>
                <w:rFonts w:cs="Calibri"/>
                <w:bCs/>
                <w:lang w:eastAsia="el-GR"/>
              </w:rPr>
            </w:pPr>
            <w:r w:rsidRPr="00FF3A24">
              <w:rPr>
                <w:rFonts w:cs="Calibri"/>
                <w:bCs/>
                <w:lang w:eastAsia="el-GR"/>
              </w:rPr>
              <w:t>Member States to provide their needs in terms of CB to the CB Coordinator (Turkey), copy to the MBSHC Chair</w:t>
            </w:r>
          </w:p>
        </w:tc>
        <w:tc>
          <w:tcPr>
            <w:tcW w:w="1390" w:type="dxa"/>
            <w:shd w:val="clear" w:color="000000" w:fill="auto"/>
            <w:vAlign w:val="center"/>
          </w:tcPr>
          <w:p w14:paraId="2DC7544D" w14:textId="5759C237" w:rsidR="0099313D" w:rsidRPr="00FF3A24" w:rsidRDefault="0099313D" w:rsidP="0099313D">
            <w:pPr>
              <w:spacing w:after="0"/>
              <w:jc w:val="center"/>
              <w:rPr>
                <w:bCs/>
              </w:rPr>
            </w:pPr>
            <w:r w:rsidRPr="00FF3A24">
              <w:rPr>
                <w:bCs/>
              </w:rPr>
              <w:t>All</w:t>
            </w:r>
          </w:p>
        </w:tc>
        <w:tc>
          <w:tcPr>
            <w:tcW w:w="1730" w:type="dxa"/>
            <w:shd w:val="clear" w:color="000000" w:fill="auto"/>
            <w:vAlign w:val="center"/>
          </w:tcPr>
          <w:p w14:paraId="52F9C6B1" w14:textId="3AE0A5B8" w:rsidR="0099313D" w:rsidRPr="00FF3A24" w:rsidRDefault="0099313D" w:rsidP="0099313D">
            <w:pPr>
              <w:spacing w:before="120" w:after="120" w:line="240" w:lineRule="auto"/>
              <w:jc w:val="center"/>
              <w:rPr>
                <w:bCs/>
              </w:rPr>
            </w:pPr>
            <w:r w:rsidRPr="00FF3A24">
              <w:rPr>
                <w:bCs/>
              </w:rPr>
              <w:t>Permanent</w:t>
            </w:r>
          </w:p>
        </w:tc>
      </w:tr>
      <w:tr w:rsidR="0099313D" w:rsidRPr="005701FE" w14:paraId="559A6B51" w14:textId="77777777" w:rsidTr="0099313D">
        <w:trPr>
          <w:trHeight w:val="20"/>
          <w:jc w:val="center"/>
        </w:trPr>
        <w:tc>
          <w:tcPr>
            <w:tcW w:w="1696" w:type="dxa"/>
            <w:shd w:val="clear" w:color="000000" w:fill="auto"/>
            <w:vAlign w:val="center"/>
          </w:tcPr>
          <w:p w14:paraId="29FC7E96" w14:textId="20F7F551" w:rsidR="0099313D" w:rsidRPr="00FF3A24" w:rsidRDefault="0099313D" w:rsidP="0099313D">
            <w:pPr>
              <w:tabs>
                <w:tab w:val="left" w:pos="1275"/>
              </w:tabs>
              <w:spacing w:before="120" w:after="120" w:line="240" w:lineRule="auto"/>
              <w:jc w:val="center"/>
              <w:rPr>
                <w:b/>
                <w:bCs/>
              </w:rPr>
            </w:pPr>
            <w:r w:rsidRPr="00FF3A24">
              <w:rPr>
                <w:b/>
                <w:bCs/>
              </w:rPr>
              <w:t>MBSHC21/40</w:t>
            </w:r>
          </w:p>
        </w:tc>
        <w:tc>
          <w:tcPr>
            <w:tcW w:w="4818" w:type="dxa"/>
            <w:shd w:val="clear" w:color="000000" w:fill="auto"/>
            <w:vAlign w:val="center"/>
          </w:tcPr>
          <w:p w14:paraId="56911BD4" w14:textId="7CBF9667" w:rsidR="0099313D" w:rsidRPr="00FF3A24" w:rsidRDefault="0099313D" w:rsidP="0069684C">
            <w:pPr>
              <w:spacing w:before="120" w:after="120"/>
              <w:jc w:val="both"/>
              <w:rPr>
                <w:rFonts w:cs="Calibri"/>
                <w:bCs/>
                <w:lang w:eastAsia="el-GR"/>
              </w:rPr>
            </w:pPr>
            <w:r w:rsidRPr="00FF3A24">
              <w:rPr>
                <w:rFonts w:cs="Calibri"/>
                <w:bCs/>
                <w:lang w:eastAsia="el-GR"/>
              </w:rPr>
              <w:t>CB Coordinator to compile the needs from Member States and to disseminate an updated version of the 3 years CB Work Plan for the 2020-2023 period</w:t>
            </w:r>
          </w:p>
        </w:tc>
        <w:tc>
          <w:tcPr>
            <w:tcW w:w="1390" w:type="dxa"/>
            <w:shd w:val="clear" w:color="000000" w:fill="auto"/>
            <w:vAlign w:val="center"/>
          </w:tcPr>
          <w:p w14:paraId="17E57DF8" w14:textId="75B0EE24" w:rsidR="0099313D" w:rsidRPr="00FF3A24" w:rsidRDefault="0099313D" w:rsidP="00A126CC">
            <w:pPr>
              <w:spacing w:after="0"/>
              <w:jc w:val="center"/>
              <w:rPr>
                <w:bCs/>
              </w:rPr>
            </w:pPr>
            <w:r w:rsidRPr="00FF3A24">
              <w:rPr>
                <w:bCs/>
              </w:rPr>
              <w:t xml:space="preserve">CB Coordinator </w:t>
            </w:r>
          </w:p>
        </w:tc>
        <w:tc>
          <w:tcPr>
            <w:tcW w:w="1730" w:type="dxa"/>
            <w:shd w:val="clear" w:color="000000" w:fill="auto"/>
            <w:vAlign w:val="center"/>
          </w:tcPr>
          <w:p w14:paraId="56920DA1" w14:textId="1F2F779D" w:rsidR="0099313D" w:rsidRPr="00FF3A24" w:rsidRDefault="0099313D" w:rsidP="0099313D">
            <w:pPr>
              <w:spacing w:before="120" w:after="120" w:line="240" w:lineRule="auto"/>
              <w:jc w:val="center"/>
              <w:rPr>
                <w:bCs/>
              </w:rPr>
            </w:pPr>
            <w:r w:rsidRPr="00FF3A24">
              <w:rPr>
                <w:bCs/>
              </w:rPr>
              <w:t>2021 CBWP: 31 March 2020</w:t>
            </w:r>
          </w:p>
          <w:p w14:paraId="5A1E406D" w14:textId="14D4616E" w:rsidR="0099313D" w:rsidRPr="00FF3A24" w:rsidRDefault="0099313D" w:rsidP="0099313D">
            <w:pPr>
              <w:spacing w:before="120" w:after="120" w:line="240" w:lineRule="auto"/>
              <w:jc w:val="center"/>
              <w:rPr>
                <w:bCs/>
              </w:rPr>
            </w:pPr>
            <w:r w:rsidRPr="00FF3A24">
              <w:rPr>
                <w:bCs/>
              </w:rPr>
              <w:t>2022 CBWP: 31 March 2021</w:t>
            </w:r>
          </w:p>
        </w:tc>
      </w:tr>
      <w:tr w:rsidR="0099313D" w:rsidRPr="005701FE" w14:paraId="275B3864" w14:textId="77777777" w:rsidTr="0099313D">
        <w:trPr>
          <w:trHeight w:val="20"/>
          <w:jc w:val="center"/>
        </w:trPr>
        <w:tc>
          <w:tcPr>
            <w:tcW w:w="1696" w:type="dxa"/>
            <w:shd w:val="clear" w:color="000000" w:fill="auto"/>
            <w:vAlign w:val="center"/>
          </w:tcPr>
          <w:p w14:paraId="05B1C2CE" w14:textId="26933F9B" w:rsidR="0099313D" w:rsidRPr="00FF3A24" w:rsidRDefault="0099313D" w:rsidP="0099313D">
            <w:pPr>
              <w:tabs>
                <w:tab w:val="left" w:pos="1275"/>
              </w:tabs>
              <w:spacing w:before="120" w:after="120" w:line="240" w:lineRule="auto"/>
              <w:jc w:val="center"/>
              <w:rPr>
                <w:b/>
                <w:bCs/>
              </w:rPr>
            </w:pPr>
            <w:r w:rsidRPr="00FF3A24">
              <w:rPr>
                <w:b/>
                <w:bCs/>
              </w:rPr>
              <w:t>MBSHC21/41</w:t>
            </w:r>
          </w:p>
        </w:tc>
        <w:tc>
          <w:tcPr>
            <w:tcW w:w="4818" w:type="dxa"/>
            <w:shd w:val="clear" w:color="000000" w:fill="auto"/>
            <w:vAlign w:val="center"/>
          </w:tcPr>
          <w:p w14:paraId="0F8B17DB" w14:textId="4B30E037" w:rsidR="0099313D" w:rsidRPr="00FF3A24" w:rsidRDefault="0099313D" w:rsidP="0099313D">
            <w:pPr>
              <w:spacing w:before="120" w:after="120"/>
              <w:jc w:val="both"/>
              <w:rPr>
                <w:rFonts w:cs="Calibri"/>
                <w:bCs/>
                <w:lang w:eastAsia="el-GR"/>
              </w:rPr>
            </w:pPr>
            <w:r w:rsidRPr="00FF3A24">
              <w:rPr>
                <w:rFonts w:cs="Calibri"/>
                <w:bCs/>
                <w:lang w:eastAsia="el-GR"/>
              </w:rPr>
              <w:t xml:space="preserve">MS to check and, if necessary, update their INT charts metadata (chart limit, title, year, format, scale, etc…) included in the region F INT Catalogue using their </w:t>
            </w:r>
            <w:proofErr w:type="spellStart"/>
            <w:r w:rsidRPr="00FF3A24">
              <w:rPr>
                <w:rFonts w:cs="Calibri"/>
                <w:bCs/>
                <w:lang w:eastAsia="el-GR"/>
              </w:rPr>
              <w:t>INToGIS</w:t>
            </w:r>
            <w:proofErr w:type="spellEnd"/>
            <w:r w:rsidRPr="00FF3A24">
              <w:rPr>
                <w:rFonts w:cs="Calibri"/>
                <w:bCs/>
                <w:lang w:eastAsia="el-GR"/>
              </w:rPr>
              <w:t xml:space="preserve"> national account </w:t>
            </w:r>
          </w:p>
        </w:tc>
        <w:tc>
          <w:tcPr>
            <w:tcW w:w="1390" w:type="dxa"/>
            <w:shd w:val="clear" w:color="000000" w:fill="auto"/>
            <w:vAlign w:val="center"/>
          </w:tcPr>
          <w:p w14:paraId="661ED6D1" w14:textId="34A1D261" w:rsidR="0099313D" w:rsidRPr="00FF3A24" w:rsidRDefault="0099313D" w:rsidP="0099313D">
            <w:pPr>
              <w:spacing w:after="0"/>
              <w:jc w:val="center"/>
              <w:rPr>
                <w:bCs/>
              </w:rPr>
            </w:pPr>
            <w:r w:rsidRPr="00FF3A24">
              <w:rPr>
                <w:bCs/>
              </w:rPr>
              <w:t xml:space="preserve">INT producers </w:t>
            </w:r>
          </w:p>
        </w:tc>
        <w:tc>
          <w:tcPr>
            <w:tcW w:w="1730" w:type="dxa"/>
            <w:shd w:val="clear" w:color="000000" w:fill="auto"/>
            <w:vAlign w:val="center"/>
          </w:tcPr>
          <w:p w14:paraId="4823FAD9" w14:textId="401189FD" w:rsidR="0099313D" w:rsidRPr="00FF3A24" w:rsidRDefault="0099313D" w:rsidP="0099313D">
            <w:pPr>
              <w:spacing w:before="120" w:after="120" w:line="240" w:lineRule="auto"/>
              <w:jc w:val="center"/>
              <w:rPr>
                <w:bCs/>
              </w:rPr>
            </w:pPr>
            <w:r w:rsidRPr="00FF3A24">
              <w:rPr>
                <w:bCs/>
              </w:rPr>
              <w:t xml:space="preserve">Permanent </w:t>
            </w:r>
          </w:p>
        </w:tc>
      </w:tr>
      <w:tr w:rsidR="0099313D" w:rsidRPr="005701FE" w14:paraId="75073D3E" w14:textId="77777777" w:rsidTr="0099313D">
        <w:trPr>
          <w:trHeight w:val="20"/>
          <w:jc w:val="center"/>
        </w:trPr>
        <w:tc>
          <w:tcPr>
            <w:tcW w:w="1696" w:type="dxa"/>
            <w:shd w:val="clear" w:color="000000" w:fill="auto"/>
            <w:vAlign w:val="center"/>
          </w:tcPr>
          <w:p w14:paraId="72159754" w14:textId="693227B6" w:rsidR="0099313D" w:rsidRPr="00FF3A24" w:rsidRDefault="0099313D" w:rsidP="0099313D">
            <w:pPr>
              <w:tabs>
                <w:tab w:val="left" w:pos="1275"/>
              </w:tabs>
              <w:spacing w:before="120" w:after="120" w:line="240" w:lineRule="auto"/>
              <w:jc w:val="center"/>
              <w:rPr>
                <w:b/>
                <w:bCs/>
              </w:rPr>
            </w:pPr>
            <w:r w:rsidRPr="00FF3A24">
              <w:rPr>
                <w:b/>
                <w:bCs/>
              </w:rPr>
              <w:t>MBSHC21/42</w:t>
            </w:r>
          </w:p>
        </w:tc>
        <w:tc>
          <w:tcPr>
            <w:tcW w:w="4818" w:type="dxa"/>
            <w:shd w:val="clear" w:color="000000" w:fill="auto"/>
            <w:vAlign w:val="center"/>
          </w:tcPr>
          <w:p w14:paraId="415B6F18" w14:textId="3489CB73" w:rsidR="0099313D" w:rsidRPr="00FF3A24" w:rsidRDefault="0099313D" w:rsidP="0099313D">
            <w:pPr>
              <w:spacing w:before="120" w:after="120"/>
              <w:jc w:val="both"/>
              <w:rPr>
                <w:rFonts w:cs="Calibri"/>
                <w:bCs/>
                <w:lang w:eastAsia="el-GR"/>
              </w:rPr>
            </w:pPr>
            <w:r w:rsidRPr="00FF3A24">
              <w:rPr>
                <w:rFonts w:cs="Calibri"/>
                <w:bCs/>
                <w:lang w:eastAsia="el-GR"/>
              </w:rPr>
              <w:t xml:space="preserve">New INT Charts producers to provide Region F ICC with the INT carts </w:t>
            </w:r>
            <w:proofErr w:type="spellStart"/>
            <w:r w:rsidRPr="00FF3A24">
              <w:rPr>
                <w:rFonts w:cs="Calibri"/>
                <w:bCs/>
                <w:lang w:eastAsia="el-GR"/>
              </w:rPr>
              <w:t>iaw</w:t>
            </w:r>
            <w:proofErr w:type="spellEnd"/>
            <w:r w:rsidRPr="00FF3A24">
              <w:rPr>
                <w:rFonts w:cs="Calibri"/>
                <w:bCs/>
                <w:lang w:eastAsia="el-GR"/>
              </w:rPr>
              <w:t xml:space="preserve"> IRCC7 Decision 3</w:t>
            </w:r>
          </w:p>
        </w:tc>
        <w:tc>
          <w:tcPr>
            <w:tcW w:w="1390" w:type="dxa"/>
            <w:shd w:val="clear" w:color="000000" w:fill="auto"/>
            <w:vAlign w:val="center"/>
          </w:tcPr>
          <w:p w14:paraId="6BC1D60A" w14:textId="1C14B607" w:rsidR="0099313D" w:rsidRPr="00FF3A24" w:rsidRDefault="0099313D" w:rsidP="0099313D">
            <w:pPr>
              <w:spacing w:after="0"/>
              <w:jc w:val="center"/>
              <w:rPr>
                <w:bCs/>
              </w:rPr>
            </w:pPr>
            <w:r w:rsidRPr="00FF3A24">
              <w:rPr>
                <w:bCs/>
              </w:rPr>
              <w:t>New INT producers</w:t>
            </w:r>
          </w:p>
        </w:tc>
        <w:tc>
          <w:tcPr>
            <w:tcW w:w="1730" w:type="dxa"/>
            <w:shd w:val="clear" w:color="000000" w:fill="auto"/>
            <w:vAlign w:val="center"/>
          </w:tcPr>
          <w:p w14:paraId="063D342C" w14:textId="2F88B4F1" w:rsidR="0099313D" w:rsidRPr="00FF3A24" w:rsidRDefault="0099313D" w:rsidP="0099313D">
            <w:pPr>
              <w:spacing w:before="120" w:after="120" w:line="240" w:lineRule="auto"/>
              <w:jc w:val="center"/>
              <w:rPr>
                <w:bCs/>
              </w:rPr>
            </w:pPr>
            <w:r w:rsidRPr="00FF3A24">
              <w:rPr>
                <w:bCs/>
              </w:rPr>
              <w:t>Permanent</w:t>
            </w:r>
          </w:p>
        </w:tc>
      </w:tr>
      <w:tr w:rsidR="0099313D" w:rsidRPr="005701FE" w14:paraId="610EE755" w14:textId="77777777" w:rsidTr="0099313D">
        <w:trPr>
          <w:trHeight w:val="20"/>
          <w:jc w:val="center"/>
        </w:trPr>
        <w:tc>
          <w:tcPr>
            <w:tcW w:w="1696" w:type="dxa"/>
            <w:shd w:val="clear" w:color="000000" w:fill="auto"/>
            <w:vAlign w:val="center"/>
          </w:tcPr>
          <w:p w14:paraId="7869B8AB" w14:textId="5BD02088" w:rsidR="0099313D" w:rsidRPr="00FF3A24" w:rsidRDefault="0099313D" w:rsidP="0099313D">
            <w:pPr>
              <w:tabs>
                <w:tab w:val="left" w:pos="1275"/>
              </w:tabs>
              <w:spacing w:before="120" w:after="120" w:line="240" w:lineRule="auto"/>
              <w:jc w:val="center"/>
              <w:rPr>
                <w:b/>
                <w:bCs/>
              </w:rPr>
            </w:pPr>
            <w:r w:rsidRPr="00FF3A24">
              <w:rPr>
                <w:b/>
                <w:bCs/>
              </w:rPr>
              <w:lastRenderedPageBreak/>
              <w:t>MBSHC21/43</w:t>
            </w:r>
          </w:p>
        </w:tc>
        <w:tc>
          <w:tcPr>
            <w:tcW w:w="4818" w:type="dxa"/>
            <w:shd w:val="clear" w:color="000000" w:fill="auto"/>
            <w:vAlign w:val="center"/>
          </w:tcPr>
          <w:p w14:paraId="0ADE7E52" w14:textId="5CF9D7BD" w:rsidR="0099313D" w:rsidRPr="00FF3A24" w:rsidRDefault="0099313D" w:rsidP="0069684C">
            <w:pPr>
              <w:spacing w:before="120" w:after="120"/>
              <w:jc w:val="both"/>
              <w:rPr>
                <w:rFonts w:cs="Calibri"/>
                <w:bCs/>
                <w:lang w:eastAsia="el-GR"/>
              </w:rPr>
            </w:pPr>
            <w:r w:rsidRPr="00FF3A24">
              <w:rPr>
                <w:rFonts w:cs="Calibri"/>
                <w:bCs/>
                <w:lang w:eastAsia="el-GR"/>
              </w:rPr>
              <w:t xml:space="preserve">Member States to send their documents (submission papers, report, presentation) to the Chair with a </w:t>
            </w:r>
            <w:proofErr w:type="spellStart"/>
            <w:r w:rsidRPr="00FF3A24">
              <w:rPr>
                <w:rFonts w:cs="Calibri"/>
                <w:bCs/>
                <w:lang w:eastAsia="el-GR"/>
              </w:rPr>
              <w:t>a</w:t>
            </w:r>
            <w:proofErr w:type="spellEnd"/>
            <w:r w:rsidRPr="00FF3A24">
              <w:rPr>
                <w:rFonts w:cs="Calibri"/>
                <w:bCs/>
                <w:lang w:eastAsia="el-GR"/>
              </w:rPr>
              <w:t xml:space="preserve"> copy to the IHO Secretariat prior to meetings of MBSHC </w:t>
            </w:r>
            <w:proofErr w:type="spellStart"/>
            <w:r w:rsidRPr="00FF3A24">
              <w:rPr>
                <w:rFonts w:cs="Calibri"/>
                <w:bCs/>
                <w:lang w:eastAsia="el-GR"/>
              </w:rPr>
              <w:t>iaw</w:t>
            </w:r>
            <w:proofErr w:type="spellEnd"/>
            <w:r w:rsidRPr="00FF3A24">
              <w:rPr>
                <w:rFonts w:cs="Calibri"/>
                <w:bCs/>
                <w:lang w:eastAsia="el-GR"/>
              </w:rPr>
              <w:t xml:space="preserve"> MBSHC Statutes</w:t>
            </w:r>
          </w:p>
        </w:tc>
        <w:tc>
          <w:tcPr>
            <w:tcW w:w="1390" w:type="dxa"/>
            <w:shd w:val="clear" w:color="000000" w:fill="auto"/>
            <w:vAlign w:val="center"/>
          </w:tcPr>
          <w:p w14:paraId="14A0CF8E" w14:textId="38E8C5FA" w:rsidR="0099313D" w:rsidRPr="00FF3A24" w:rsidRDefault="0099313D" w:rsidP="0099313D">
            <w:pPr>
              <w:spacing w:after="0"/>
              <w:jc w:val="center"/>
              <w:rPr>
                <w:bCs/>
              </w:rPr>
            </w:pPr>
            <w:r w:rsidRPr="00FF3A24">
              <w:rPr>
                <w:bCs/>
              </w:rPr>
              <w:t>All</w:t>
            </w:r>
          </w:p>
        </w:tc>
        <w:tc>
          <w:tcPr>
            <w:tcW w:w="1730" w:type="dxa"/>
            <w:shd w:val="clear" w:color="000000" w:fill="auto"/>
            <w:vAlign w:val="center"/>
          </w:tcPr>
          <w:p w14:paraId="7847442A" w14:textId="66D1E084" w:rsidR="0099313D" w:rsidRPr="00FF3A24" w:rsidRDefault="0099313D" w:rsidP="0099313D">
            <w:pPr>
              <w:spacing w:before="120" w:after="120" w:line="240" w:lineRule="auto"/>
              <w:jc w:val="center"/>
              <w:rPr>
                <w:bCs/>
              </w:rPr>
            </w:pPr>
            <w:r w:rsidRPr="00FF3A24">
              <w:rPr>
                <w:bCs/>
              </w:rPr>
              <w:t>Permanent</w:t>
            </w:r>
          </w:p>
        </w:tc>
      </w:tr>
      <w:tr w:rsidR="00C93FF9" w:rsidRPr="005701FE" w14:paraId="6C15E19E" w14:textId="77777777" w:rsidTr="0099313D">
        <w:trPr>
          <w:trHeight w:val="20"/>
          <w:jc w:val="center"/>
        </w:trPr>
        <w:tc>
          <w:tcPr>
            <w:tcW w:w="1696" w:type="dxa"/>
            <w:shd w:val="clear" w:color="000000" w:fill="auto"/>
            <w:vAlign w:val="center"/>
          </w:tcPr>
          <w:p w14:paraId="1EA3CBB6" w14:textId="2505FB3E" w:rsidR="00C93FF9" w:rsidRPr="00546761" w:rsidRDefault="00C93FF9" w:rsidP="0099313D">
            <w:pPr>
              <w:spacing w:before="120" w:after="120" w:line="240" w:lineRule="auto"/>
              <w:jc w:val="center"/>
              <w:rPr>
                <w:bCs/>
              </w:rPr>
            </w:pPr>
            <w:r w:rsidRPr="002671DF">
              <w:rPr>
                <w:b/>
                <w:bCs/>
              </w:rPr>
              <w:t>MBSHC21/</w:t>
            </w:r>
            <w:r w:rsidR="0099313D">
              <w:rPr>
                <w:b/>
                <w:bCs/>
              </w:rPr>
              <w:t>44</w:t>
            </w:r>
          </w:p>
        </w:tc>
        <w:tc>
          <w:tcPr>
            <w:tcW w:w="4818" w:type="dxa"/>
            <w:shd w:val="clear" w:color="000000" w:fill="auto"/>
            <w:vAlign w:val="center"/>
          </w:tcPr>
          <w:p w14:paraId="0CCAC3EA" w14:textId="1CB3FD58" w:rsidR="00C93FF9" w:rsidRPr="00C93FF9" w:rsidRDefault="00C93FF9" w:rsidP="0099313D">
            <w:pPr>
              <w:spacing w:before="120" w:after="120"/>
              <w:jc w:val="both"/>
            </w:pPr>
            <w:r>
              <w:rPr>
                <w:rFonts w:cs="Arial"/>
                <w:lang w:val="en-US"/>
              </w:rPr>
              <w:t>MBSHC</w:t>
            </w:r>
            <w:r>
              <w:t xml:space="preserve"> Chair to invite industry to MBSHC conference.</w:t>
            </w:r>
          </w:p>
        </w:tc>
        <w:tc>
          <w:tcPr>
            <w:tcW w:w="1390" w:type="dxa"/>
            <w:shd w:val="clear" w:color="000000" w:fill="auto"/>
            <w:vAlign w:val="center"/>
          </w:tcPr>
          <w:p w14:paraId="59CA945D" w14:textId="2C4C3AA2" w:rsidR="00C93FF9" w:rsidRDefault="00C93FF9" w:rsidP="00C93FF9">
            <w:pPr>
              <w:spacing w:after="0"/>
              <w:jc w:val="center"/>
              <w:rPr>
                <w:bCs/>
              </w:rPr>
            </w:pPr>
            <w:r>
              <w:rPr>
                <w:bCs/>
              </w:rPr>
              <w:t>MBSHC Chair</w:t>
            </w:r>
          </w:p>
        </w:tc>
        <w:tc>
          <w:tcPr>
            <w:tcW w:w="1730" w:type="dxa"/>
            <w:shd w:val="clear" w:color="000000" w:fill="auto"/>
            <w:vAlign w:val="center"/>
          </w:tcPr>
          <w:p w14:paraId="4BAAA201" w14:textId="2250A7B3" w:rsidR="00C93FF9" w:rsidRDefault="00C93FF9" w:rsidP="00C93FF9">
            <w:pPr>
              <w:spacing w:before="120" w:after="120" w:line="240" w:lineRule="auto"/>
              <w:jc w:val="center"/>
              <w:rPr>
                <w:bCs/>
              </w:rPr>
            </w:pPr>
            <w:r>
              <w:rPr>
                <w:bCs/>
              </w:rPr>
              <w:t>MBSHC22</w:t>
            </w:r>
          </w:p>
        </w:tc>
      </w:tr>
    </w:tbl>
    <w:p w14:paraId="19824137" w14:textId="350C9C65" w:rsidR="0085494D" w:rsidRDefault="0085494D" w:rsidP="00CF5FB4">
      <w:pPr>
        <w:jc w:val="center"/>
        <w:rPr>
          <w:b/>
          <w:iCs/>
        </w:rPr>
      </w:pPr>
    </w:p>
    <w:p w14:paraId="0B79B4F2" w14:textId="77777777" w:rsidR="005B355A" w:rsidRPr="007D2593" w:rsidRDefault="005B355A" w:rsidP="005B355A">
      <w:pPr>
        <w:rPr>
          <w:lang w:val="en-US"/>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2"/>
        <w:gridCol w:w="8208"/>
      </w:tblGrid>
      <w:tr w:rsidR="005B355A" w:rsidRPr="007D2593" w14:paraId="48D8EBBE" w14:textId="77777777" w:rsidTr="006F1F33">
        <w:trPr>
          <w:trHeight w:val="20"/>
          <w:jc w:val="center"/>
        </w:trPr>
        <w:tc>
          <w:tcPr>
            <w:tcW w:w="0" w:type="auto"/>
            <w:tcBorders>
              <w:bottom w:val="single" w:sz="4" w:space="0" w:color="000000"/>
            </w:tcBorders>
            <w:shd w:val="clear" w:color="auto" w:fill="C0C0C0"/>
            <w:vAlign w:val="center"/>
          </w:tcPr>
          <w:p w14:paraId="571F4E20" w14:textId="77777777" w:rsidR="005B355A" w:rsidRPr="00806138" w:rsidRDefault="005B355A" w:rsidP="006F1F33">
            <w:pPr>
              <w:spacing w:after="0"/>
              <w:jc w:val="center"/>
              <w:rPr>
                <w:b/>
                <w:bCs/>
              </w:rPr>
            </w:pPr>
            <w:r w:rsidRPr="00806138">
              <w:rPr>
                <w:b/>
                <w:bCs/>
              </w:rPr>
              <w:t>Decision No</w:t>
            </w:r>
          </w:p>
        </w:tc>
        <w:tc>
          <w:tcPr>
            <w:tcW w:w="8208" w:type="dxa"/>
            <w:tcBorders>
              <w:bottom w:val="single" w:sz="4" w:space="0" w:color="000000"/>
            </w:tcBorders>
            <w:shd w:val="clear" w:color="auto" w:fill="C0C0C0"/>
            <w:vAlign w:val="center"/>
          </w:tcPr>
          <w:p w14:paraId="670513E3" w14:textId="77777777" w:rsidR="005B355A" w:rsidRPr="007D2593" w:rsidRDefault="005B355A" w:rsidP="006F1F33">
            <w:pPr>
              <w:spacing w:after="0"/>
              <w:jc w:val="center"/>
              <w:rPr>
                <w:b/>
                <w:bCs/>
              </w:rPr>
            </w:pPr>
            <w:r w:rsidRPr="007D2593">
              <w:rPr>
                <w:b/>
                <w:bCs/>
              </w:rPr>
              <w:t>Decision</w:t>
            </w:r>
          </w:p>
        </w:tc>
      </w:tr>
      <w:tr w:rsidR="005B355A" w:rsidRPr="007C12EC" w14:paraId="3768BC1A" w14:textId="77777777" w:rsidTr="006F1F33">
        <w:trPr>
          <w:trHeight w:val="20"/>
          <w:jc w:val="center"/>
        </w:trPr>
        <w:tc>
          <w:tcPr>
            <w:tcW w:w="0" w:type="auto"/>
            <w:shd w:val="clear" w:color="000000" w:fill="auto"/>
            <w:vAlign w:val="center"/>
          </w:tcPr>
          <w:p w14:paraId="44D8B0AA" w14:textId="7BE02FD9" w:rsidR="005B355A" w:rsidRPr="00806138" w:rsidRDefault="005B355A" w:rsidP="00AF6275">
            <w:pPr>
              <w:spacing w:before="120" w:after="120"/>
              <w:jc w:val="center"/>
              <w:rPr>
                <w:b/>
                <w:bCs/>
              </w:rPr>
            </w:pPr>
            <w:r>
              <w:rPr>
                <w:b/>
                <w:bCs/>
              </w:rPr>
              <w:t>MBSHC21</w:t>
            </w:r>
            <w:r w:rsidRPr="00806138">
              <w:rPr>
                <w:b/>
                <w:bCs/>
              </w:rPr>
              <w:t>/01</w:t>
            </w:r>
          </w:p>
        </w:tc>
        <w:tc>
          <w:tcPr>
            <w:tcW w:w="8208" w:type="dxa"/>
            <w:shd w:val="clear" w:color="000000" w:fill="auto"/>
            <w:vAlign w:val="center"/>
          </w:tcPr>
          <w:p w14:paraId="7CDFF937" w14:textId="22CAD6BE" w:rsidR="005B355A" w:rsidRPr="00AF6275" w:rsidRDefault="00546761" w:rsidP="00DA6DEB">
            <w:pPr>
              <w:spacing w:before="120" w:after="120"/>
              <w:jc w:val="both"/>
              <w:rPr>
                <w:rFonts w:cs="Arial"/>
              </w:rPr>
            </w:pPr>
            <w:r>
              <w:rPr>
                <w:rFonts w:cs="Arial"/>
              </w:rPr>
              <w:t xml:space="preserve">Italy </w:t>
            </w:r>
            <w:r w:rsidR="00DA6DEB">
              <w:rPr>
                <w:rFonts w:cs="Arial"/>
              </w:rPr>
              <w:t xml:space="preserve">to be </w:t>
            </w:r>
            <w:r>
              <w:rPr>
                <w:rFonts w:cs="Arial"/>
              </w:rPr>
              <w:t xml:space="preserve">the new Region F </w:t>
            </w:r>
            <w:r w:rsidR="005B355A">
              <w:rPr>
                <w:rFonts w:cs="Arial"/>
              </w:rPr>
              <w:t xml:space="preserve"> ICC Coordinato</w:t>
            </w:r>
            <w:r w:rsidR="007C12EC">
              <w:rPr>
                <w:rFonts w:cs="Arial"/>
              </w:rPr>
              <w:t>r</w:t>
            </w:r>
            <w:r w:rsidR="005B355A">
              <w:rPr>
                <w:rFonts w:cs="Arial"/>
              </w:rPr>
              <w:t xml:space="preserve"> – represented by Lt Marta PRATELLESI</w:t>
            </w:r>
          </w:p>
        </w:tc>
      </w:tr>
      <w:tr w:rsidR="005B355A" w:rsidRPr="00DC363C" w14:paraId="7B3A3C2F" w14:textId="77777777" w:rsidTr="006F1F33">
        <w:trPr>
          <w:trHeight w:val="20"/>
          <w:jc w:val="center"/>
        </w:trPr>
        <w:tc>
          <w:tcPr>
            <w:tcW w:w="0" w:type="auto"/>
            <w:shd w:val="clear" w:color="000000" w:fill="auto"/>
            <w:vAlign w:val="center"/>
          </w:tcPr>
          <w:p w14:paraId="4804F482" w14:textId="1121F275" w:rsidR="005B355A" w:rsidRPr="00806138" w:rsidRDefault="005B355A" w:rsidP="00AF6275">
            <w:pPr>
              <w:spacing w:before="120" w:after="120"/>
              <w:jc w:val="center"/>
              <w:rPr>
                <w:b/>
                <w:bCs/>
              </w:rPr>
            </w:pPr>
            <w:r>
              <w:rPr>
                <w:b/>
                <w:bCs/>
              </w:rPr>
              <w:t>MBSHC21</w:t>
            </w:r>
            <w:r w:rsidRPr="00806138">
              <w:rPr>
                <w:b/>
                <w:bCs/>
              </w:rPr>
              <w:t>/02</w:t>
            </w:r>
          </w:p>
        </w:tc>
        <w:tc>
          <w:tcPr>
            <w:tcW w:w="8208" w:type="dxa"/>
            <w:shd w:val="clear" w:color="000000" w:fill="auto"/>
            <w:vAlign w:val="center"/>
          </w:tcPr>
          <w:p w14:paraId="7A9D2FA8" w14:textId="7A246993" w:rsidR="00CB14D1" w:rsidRPr="00CB14D1" w:rsidRDefault="00DA6DEB" w:rsidP="00DA6DEB">
            <w:pPr>
              <w:spacing w:before="120" w:after="120"/>
              <w:jc w:val="both"/>
              <w:rPr>
                <w:rFonts w:cs="Arial"/>
              </w:rPr>
            </w:pPr>
            <w:r>
              <w:rPr>
                <w:rFonts w:cs="Arial"/>
              </w:rPr>
              <w:t>Adoption of the 8°</w:t>
            </w:r>
            <w:r w:rsidR="00296C9A">
              <w:rPr>
                <w:rFonts w:cs="Arial"/>
              </w:rPr>
              <w:t xml:space="preserve"> </w:t>
            </w:r>
            <w:r w:rsidR="00CB14D1">
              <w:rPr>
                <w:rFonts w:cs="Arial"/>
              </w:rPr>
              <w:t xml:space="preserve">Edition of the </w:t>
            </w:r>
            <w:r w:rsidR="00546761">
              <w:rPr>
                <w:rFonts w:cs="Arial"/>
              </w:rPr>
              <w:t xml:space="preserve">MBSHC </w:t>
            </w:r>
            <w:r>
              <w:rPr>
                <w:rFonts w:cs="Arial"/>
              </w:rPr>
              <w:t xml:space="preserve">Statutes </w:t>
            </w:r>
            <w:r w:rsidR="00CB14D1">
              <w:rPr>
                <w:rFonts w:cs="Arial"/>
              </w:rPr>
              <w:t xml:space="preserve"> </w:t>
            </w:r>
            <w:r>
              <w:rPr>
                <w:rFonts w:cs="Arial"/>
              </w:rPr>
              <w:t>(June 2019)</w:t>
            </w:r>
          </w:p>
        </w:tc>
      </w:tr>
      <w:tr w:rsidR="00D72621" w:rsidRPr="00DC363C" w14:paraId="04EDE1F2" w14:textId="77777777" w:rsidTr="006F1F33">
        <w:trPr>
          <w:trHeight w:val="20"/>
          <w:jc w:val="center"/>
        </w:trPr>
        <w:tc>
          <w:tcPr>
            <w:tcW w:w="0" w:type="auto"/>
            <w:shd w:val="clear" w:color="000000" w:fill="auto"/>
            <w:vAlign w:val="center"/>
          </w:tcPr>
          <w:p w14:paraId="24AC64F6" w14:textId="5A6ACCE3" w:rsidR="00D72621" w:rsidRDefault="00D72621" w:rsidP="00AF6275">
            <w:pPr>
              <w:spacing w:before="120" w:after="120"/>
              <w:jc w:val="center"/>
              <w:rPr>
                <w:b/>
                <w:bCs/>
              </w:rPr>
            </w:pPr>
            <w:r w:rsidRPr="0036373D">
              <w:rPr>
                <w:b/>
                <w:bCs/>
              </w:rPr>
              <w:t>MBSHC21</w:t>
            </w:r>
            <w:r w:rsidR="00E62775" w:rsidRPr="0036373D">
              <w:rPr>
                <w:b/>
                <w:bCs/>
              </w:rPr>
              <w:t>/03</w:t>
            </w:r>
          </w:p>
        </w:tc>
        <w:tc>
          <w:tcPr>
            <w:tcW w:w="8208" w:type="dxa"/>
            <w:shd w:val="clear" w:color="000000" w:fill="auto"/>
            <w:vAlign w:val="center"/>
          </w:tcPr>
          <w:p w14:paraId="04A9E61F" w14:textId="6A144846" w:rsidR="00D72621" w:rsidRDefault="00D72621" w:rsidP="00B71E2C">
            <w:pPr>
              <w:spacing w:before="120" w:after="120"/>
              <w:jc w:val="both"/>
              <w:rPr>
                <w:rFonts w:cs="Arial"/>
              </w:rPr>
            </w:pPr>
            <w:r w:rsidRPr="0036373D">
              <w:rPr>
                <w:rFonts w:cs="Arial"/>
              </w:rPr>
              <w:t xml:space="preserve">MBSHC </w:t>
            </w:r>
            <w:r w:rsidR="00A126CC" w:rsidRPr="0036373D">
              <w:rPr>
                <w:rFonts w:cs="Arial"/>
              </w:rPr>
              <w:t xml:space="preserve">approved the </w:t>
            </w:r>
            <w:r w:rsidR="00241742">
              <w:rPr>
                <w:rFonts w:cs="Arial"/>
              </w:rPr>
              <w:t>rec</w:t>
            </w:r>
            <w:r w:rsidRPr="0036373D">
              <w:rPr>
                <w:rFonts w:cs="Arial"/>
              </w:rPr>
              <w:t>om</w:t>
            </w:r>
            <w:r w:rsidR="00241742">
              <w:rPr>
                <w:rFonts w:cs="Arial"/>
              </w:rPr>
              <w:t>me</w:t>
            </w:r>
            <w:r w:rsidRPr="0036373D">
              <w:rPr>
                <w:rFonts w:cs="Arial"/>
              </w:rPr>
              <w:t>ndation</w:t>
            </w:r>
            <w:r w:rsidR="00A126CC" w:rsidRPr="0036373D">
              <w:rPr>
                <w:rFonts w:cs="Arial"/>
              </w:rPr>
              <w:t>s</w:t>
            </w:r>
            <w:r w:rsidR="00241742">
              <w:rPr>
                <w:rFonts w:cs="Arial"/>
              </w:rPr>
              <w:t xml:space="preserve"> of the R</w:t>
            </w:r>
            <w:r w:rsidRPr="0036373D">
              <w:rPr>
                <w:rFonts w:cs="Arial"/>
              </w:rPr>
              <w:t xml:space="preserve">egion F ICC Coordinator </w:t>
            </w:r>
            <w:r w:rsidR="00B71E2C">
              <w:rPr>
                <w:rFonts w:cs="Arial"/>
              </w:rPr>
              <w:t xml:space="preserve">except for the proposal to update the </w:t>
            </w:r>
            <w:r w:rsidR="00D30FAD">
              <w:rPr>
                <w:rFonts w:cs="Arial"/>
              </w:rPr>
              <w:t>INT Scheme of the Aegean Sea</w:t>
            </w:r>
            <w:r w:rsidR="00B71E2C">
              <w:rPr>
                <w:rFonts w:cs="Arial"/>
              </w:rPr>
              <w:t xml:space="preserve">, to be revised and submitted again to the next </w:t>
            </w:r>
            <w:r w:rsidR="00A126CC" w:rsidRPr="0036373D">
              <w:rPr>
                <w:rFonts w:cs="Arial"/>
              </w:rPr>
              <w:t>Region F ICC</w:t>
            </w:r>
            <w:r w:rsidR="00B71E2C">
              <w:rPr>
                <w:rFonts w:cs="Arial"/>
              </w:rPr>
              <w:t>WG meeting</w:t>
            </w:r>
            <w:r w:rsidR="00AF3AF2">
              <w:rPr>
                <w:rFonts w:cs="Arial"/>
              </w:rPr>
              <w:t xml:space="preserve"> </w:t>
            </w:r>
            <w:r w:rsidR="00AF3AF2" w:rsidRPr="00AF3AF2">
              <w:rPr>
                <w:lang w:val="en-US"/>
              </w:rPr>
              <w:t>(see report of Region F ICC Coordinator to MBSHC in Annex)</w:t>
            </w:r>
            <w:r w:rsidR="00B71E2C">
              <w:rPr>
                <w:rFonts w:cs="Arial"/>
              </w:rPr>
              <w:t>.</w:t>
            </w:r>
          </w:p>
        </w:tc>
      </w:tr>
      <w:tr w:rsidR="00CB14D1" w:rsidRPr="00DC363C" w14:paraId="49D6AA43" w14:textId="77777777" w:rsidTr="00AF6275">
        <w:trPr>
          <w:trHeight w:val="20"/>
          <w:jc w:val="center"/>
        </w:trPr>
        <w:tc>
          <w:tcPr>
            <w:tcW w:w="0" w:type="auto"/>
            <w:shd w:val="clear" w:color="000000" w:fill="auto"/>
            <w:vAlign w:val="center"/>
          </w:tcPr>
          <w:p w14:paraId="03A4A5C6" w14:textId="7D6932E6" w:rsidR="00AF6275" w:rsidRDefault="00AF6275" w:rsidP="00AF6275">
            <w:pPr>
              <w:spacing w:before="120" w:after="120"/>
              <w:jc w:val="center"/>
              <w:rPr>
                <w:b/>
                <w:bCs/>
              </w:rPr>
            </w:pPr>
            <w:r>
              <w:rPr>
                <w:b/>
                <w:bCs/>
              </w:rPr>
              <w:t>MBSHC21</w:t>
            </w:r>
            <w:r w:rsidRPr="00806138">
              <w:rPr>
                <w:b/>
                <w:bCs/>
              </w:rPr>
              <w:t>/0</w:t>
            </w:r>
            <w:r w:rsidR="00E62775">
              <w:rPr>
                <w:b/>
                <w:bCs/>
              </w:rPr>
              <w:t>4</w:t>
            </w:r>
          </w:p>
        </w:tc>
        <w:tc>
          <w:tcPr>
            <w:tcW w:w="8208" w:type="dxa"/>
            <w:shd w:val="clear" w:color="000000" w:fill="auto"/>
            <w:vAlign w:val="center"/>
          </w:tcPr>
          <w:p w14:paraId="5E78580C" w14:textId="2D061ECA" w:rsidR="00CB14D1" w:rsidRDefault="00AF6275" w:rsidP="00DA6DEB">
            <w:pPr>
              <w:spacing w:before="120" w:after="120"/>
              <w:jc w:val="both"/>
              <w:rPr>
                <w:rFonts w:cs="Arial"/>
              </w:rPr>
            </w:pPr>
            <w:r w:rsidRPr="00AF6275">
              <w:rPr>
                <w:rFonts w:cs="Arial"/>
              </w:rPr>
              <w:t xml:space="preserve">The MBSHC commended </w:t>
            </w:r>
            <w:proofErr w:type="spellStart"/>
            <w:r w:rsidRPr="00AF6275">
              <w:rPr>
                <w:rFonts w:cs="Arial"/>
              </w:rPr>
              <w:t>Shom</w:t>
            </w:r>
            <w:proofErr w:type="spellEnd"/>
            <w:r w:rsidRPr="00AF6275">
              <w:rPr>
                <w:rFonts w:cs="Arial"/>
              </w:rPr>
              <w:t xml:space="preserve"> (France) and its staff for their commitment and achievements for more than 40 years as Region F Chart Coordinato</w:t>
            </w:r>
            <w:r>
              <w:rPr>
                <w:rFonts w:cs="Arial"/>
              </w:rPr>
              <w:t>r</w:t>
            </w:r>
          </w:p>
        </w:tc>
      </w:tr>
      <w:tr w:rsidR="00D72621" w:rsidRPr="00DC363C" w14:paraId="43491F2B" w14:textId="77777777" w:rsidTr="00AF6275">
        <w:trPr>
          <w:trHeight w:val="20"/>
          <w:jc w:val="center"/>
        </w:trPr>
        <w:tc>
          <w:tcPr>
            <w:tcW w:w="0" w:type="auto"/>
            <w:shd w:val="clear" w:color="000000" w:fill="auto"/>
            <w:vAlign w:val="center"/>
          </w:tcPr>
          <w:p w14:paraId="25695CA2" w14:textId="5ED7C114" w:rsidR="00D72621" w:rsidRDefault="00DA6DEB" w:rsidP="00D72621">
            <w:pPr>
              <w:spacing w:before="120" w:after="120"/>
              <w:rPr>
                <w:b/>
                <w:bCs/>
              </w:rPr>
            </w:pPr>
            <w:r>
              <w:rPr>
                <w:b/>
                <w:bCs/>
              </w:rPr>
              <w:t>MBSHC21</w:t>
            </w:r>
            <w:r w:rsidRPr="00806138">
              <w:rPr>
                <w:b/>
                <w:bCs/>
              </w:rPr>
              <w:t>/0</w:t>
            </w:r>
            <w:r>
              <w:rPr>
                <w:b/>
                <w:bCs/>
              </w:rPr>
              <w:t>5</w:t>
            </w:r>
          </w:p>
        </w:tc>
        <w:tc>
          <w:tcPr>
            <w:tcW w:w="8208" w:type="dxa"/>
            <w:shd w:val="clear" w:color="000000" w:fill="auto"/>
            <w:vAlign w:val="center"/>
          </w:tcPr>
          <w:p w14:paraId="561373AA" w14:textId="2DFF24EA" w:rsidR="00D72621" w:rsidRPr="00AF6275" w:rsidRDefault="00DA6DEB" w:rsidP="00DA6DEB">
            <w:pPr>
              <w:spacing w:before="120" w:after="120"/>
              <w:jc w:val="both"/>
              <w:rPr>
                <w:rFonts w:cs="Arial"/>
              </w:rPr>
            </w:pPr>
            <w:r>
              <w:rPr>
                <w:rFonts w:cs="Arial"/>
              </w:rPr>
              <w:t>MBSHC accepted the offer received by Slovenia to host the MBSHC22 conference (venue</w:t>
            </w:r>
            <w:r w:rsidR="0036373D">
              <w:rPr>
                <w:rFonts w:cs="Arial"/>
              </w:rPr>
              <w:t xml:space="preserve"> and date</w:t>
            </w:r>
            <w:r>
              <w:rPr>
                <w:rFonts w:cs="Arial"/>
              </w:rPr>
              <w:t xml:space="preserve"> TBD)</w:t>
            </w:r>
            <w:r w:rsidR="00F549E0">
              <w:rPr>
                <w:rFonts w:cs="Arial"/>
              </w:rPr>
              <w:t xml:space="preserve"> </w:t>
            </w:r>
          </w:p>
        </w:tc>
      </w:tr>
    </w:tbl>
    <w:p w14:paraId="3FD8981F" w14:textId="7350B766" w:rsidR="0085494D" w:rsidRDefault="0085494D" w:rsidP="0085494D">
      <w:pPr>
        <w:jc w:val="both"/>
        <w:rPr>
          <w:b/>
          <w:iCs/>
        </w:rPr>
      </w:pPr>
    </w:p>
    <w:p w14:paraId="7A98B199" w14:textId="77777777" w:rsidR="0085494D" w:rsidRPr="009047B8" w:rsidRDefault="0085494D" w:rsidP="00CF5FB4">
      <w:pPr>
        <w:jc w:val="center"/>
        <w:rPr>
          <w:i/>
          <w:iCs/>
          <w:color w:val="FF0000"/>
        </w:rPr>
      </w:pPr>
    </w:p>
    <w:p w14:paraId="59BC91E4" w14:textId="77777777" w:rsidR="00096E1A" w:rsidRPr="007D2593" w:rsidRDefault="00096E1A">
      <w:pPr>
        <w:rPr>
          <w:lang w:val="en-US"/>
        </w:rPr>
      </w:pPr>
      <w:bookmarkStart w:id="0" w:name="_GoBack"/>
      <w:bookmarkEnd w:id="0"/>
    </w:p>
    <w:sectPr w:rsidR="00096E1A" w:rsidRPr="007D2593" w:rsidSect="00986C0D">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E370" w14:textId="77777777" w:rsidR="005167AE" w:rsidRDefault="005167AE" w:rsidP="00692198">
      <w:pPr>
        <w:spacing w:after="0" w:line="240" w:lineRule="auto"/>
      </w:pPr>
      <w:r>
        <w:separator/>
      </w:r>
    </w:p>
  </w:endnote>
  <w:endnote w:type="continuationSeparator" w:id="0">
    <w:p w14:paraId="0F2FBF60" w14:textId="77777777" w:rsidR="005167AE" w:rsidRDefault="005167AE" w:rsidP="0069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CADD" w14:textId="77777777" w:rsidR="005167AE" w:rsidRDefault="005167AE" w:rsidP="00692198">
      <w:pPr>
        <w:spacing w:after="0" w:line="240" w:lineRule="auto"/>
      </w:pPr>
      <w:r>
        <w:separator/>
      </w:r>
    </w:p>
  </w:footnote>
  <w:footnote w:type="continuationSeparator" w:id="0">
    <w:p w14:paraId="32E9CA96" w14:textId="77777777" w:rsidR="005167AE" w:rsidRDefault="005167AE" w:rsidP="0069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A574" w14:textId="77777777" w:rsidR="006F1F33" w:rsidRPr="00692198" w:rsidRDefault="006F1F33" w:rsidP="00692198">
    <w:pPr>
      <w:pStyle w:val="Encabezad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064"/>
    <w:multiLevelType w:val="hybridMultilevel"/>
    <w:tmpl w:val="47BAF68E"/>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start w:val="1"/>
      <w:numFmt w:val="bullet"/>
      <w:lvlText w:val=""/>
      <w:lvlJc w:val="left"/>
      <w:pPr>
        <w:ind w:left="2562" w:hanging="360"/>
      </w:pPr>
      <w:rPr>
        <w:rFonts w:ascii="Wingdings" w:hAnsi="Wingdings" w:hint="default"/>
      </w:rPr>
    </w:lvl>
    <w:lvl w:ilvl="3" w:tplc="08090001">
      <w:start w:val="1"/>
      <w:numFmt w:val="bullet"/>
      <w:lvlText w:val=""/>
      <w:lvlJc w:val="left"/>
      <w:pPr>
        <w:ind w:left="3282" w:hanging="360"/>
      </w:pPr>
      <w:rPr>
        <w:rFonts w:ascii="Symbol" w:hAnsi="Symbol" w:hint="default"/>
      </w:rPr>
    </w:lvl>
    <w:lvl w:ilvl="4" w:tplc="08090003">
      <w:start w:val="1"/>
      <w:numFmt w:val="bullet"/>
      <w:lvlText w:val="o"/>
      <w:lvlJc w:val="left"/>
      <w:pPr>
        <w:ind w:left="4002" w:hanging="360"/>
      </w:pPr>
      <w:rPr>
        <w:rFonts w:ascii="Courier New" w:hAnsi="Courier New" w:cs="Courier New" w:hint="default"/>
      </w:rPr>
    </w:lvl>
    <w:lvl w:ilvl="5" w:tplc="08090005">
      <w:start w:val="1"/>
      <w:numFmt w:val="bullet"/>
      <w:lvlText w:val=""/>
      <w:lvlJc w:val="left"/>
      <w:pPr>
        <w:ind w:left="4722" w:hanging="360"/>
      </w:pPr>
      <w:rPr>
        <w:rFonts w:ascii="Wingdings" w:hAnsi="Wingdings" w:hint="default"/>
      </w:rPr>
    </w:lvl>
    <w:lvl w:ilvl="6" w:tplc="08090001">
      <w:start w:val="1"/>
      <w:numFmt w:val="bullet"/>
      <w:lvlText w:val=""/>
      <w:lvlJc w:val="left"/>
      <w:pPr>
        <w:ind w:left="5442" w:hanging="360"/>
      </w:pPr>
      <w:rPr>
        <w:rFonts w:ascii="Symbol" w:hAnsi="Symbol" w:hint="default"/>
      </w:rPr>
    </w:lvl>
    <w:lvl w:ilvl="7" w:tplc="08090003">
      <w:start w:val="1"/>
      <w:numFmt w:val="bullet"/>
      <w:lvlText w:val="o"/>
      <w:lvlJc w:val="left"/>
      <w:pPr>
        <w:ind w:left="6162" w:hanging="360"/>
      </w:pPr>
      <w:rPr>
        <w:rFonts w:ascii="Courier New" w:hAnsi="Courier New" w:cs="Courier New" w:hint="default"/>
      </w:rPr>
    </w:lvl>
    <w:lvl w:ilvl="8" w:tplc="08090005">
      <w:start w:val="1"/>
      <w:numFmt w:val="bullet"/>
      <w:lvlText w:val=""/>
      <w:lvlJc w:val="left"/>
      <w:pPr>
        <w:ind w:left="6882" w:hanging="360"/>
      </w:pPr>
      <w:rPr>
        <w:rFonts w:ascii="Wingdings" w:hAnsi="Wingdings" w:hint="default"/>
      </w:rPr>
    </w:lvl>
  </w:abstractNum>
  <w:abstractNum w:abstractNumId="1" w15:restartNumberingAfterBreak="0">
    <w:nsid w:val="1AB83849"/>
    <w:multiLevelType w:val="multilevel"/>
    <w:tmpl w:val="18B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326B8"/>
    <w:multiLevelType w:val="hybridMultilevel"/>
    <w:tmpl w:val="12E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ACD"/>
    <w:multiLevelType w:val="multilevel"/>
    <w:tmpl w:val="0C7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502B5"/>
    <w:multiLevelType w:val="hybridMultilevel"/>
    <w:tmpl w:val="08F87468"/>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start w:val="1"/>
      <w:numFmt w:val="bullet"/>
      <w:lvlText w:val=""/>
      <w:lvlJc w:val="left"/>
      <w:pPr>
        <w:ind w:left="2998" w:hanging="360"/>
      </w:pPr>
      <w:rPr>
        <w:rFonts w:ascii="Symbol" w:hAnsi="Symbol" w:hint="default"/>
      </w:rPr>
    </w:lvl>
    <w:lvl w:ilvl="4" w:tplc="08090003">
      <w:start w:val="1"/>
      <w:numFmt w:val="bullet"/>
      <w:lvlText w:val="o"/>
      <w:lvlJc w:val="left"/>
      <w:pPr>
        <w:ind w:left="3718" w:hanging="360"/>
      </w:pPr>
      <w:rPr>
        <w:rFonts w:ascii="Courier New" w:hAnsi="Courier New" w:cs="Courier New" w:hint="default"/>
      </w:rPr>
    </w:lvl>
    <w:lvl w:ilvl="5" w:tplc="08090005">
      <w:start w:val="1"/>
      <w:numFmt w:val="bullet"/>
      <w:lvlText w:val=""/>
      <w:lvlJc w:val="left"/>
      <w:pPr>
        <w:ind w:left="4438" w:hanging="360"/>
      </w:pPr>
      <w:rPr>
        <w:rFonts w:ascii="Wingdings" w:hAnsi="Wingdings" w:hint="default"/>
      </w:rPr>
    </w:lvl>
    <w:lvl w:ilvl="6" w:tplc="08090001">
      <w:start w:val="1"/>
      <w:numFmt w:val="bullet"/>
      <w:lvlText w:val=""/>
      <w:lvlJc w:val="left"/>
      <w:pPr>
        <w:ind w:left="5158" w:hanging="360"/>
      </w:pPr>
      <w:rPr>
        <w:rFonts w:ascii="Symbol" w:hAnsi="Symbol" w:hint="default"/>
      </w:rPr>
    </w:lvl>
    <w:lvl w:ilvl="7" w:tplc="08090003">
      <w:start w:val="1"/>
      <w:numFmt w:val="bullet"/>
      <w:lvlText w:val="o"/>
      <w:lvlJc w:val="left"/>
      <w:pPr>
        <w:ind w:left="5878" w:hanging="360"/>
      </w:pPr>
      <w:rPr>
        <w:rFonts w:ascii="Courier New" w:hAnsi="Courier New" w:cs="Courier New" w:hint="default"/>
      </w:rPr>
    </w:lvl>
    <w:lvl w:ilvl="8" w:tplc="08090005">
      <w:start w:val="1"/>
      <w:numFmt w:val="bullet"/>
      <w:lvlText w:val=""/>
      <w:lvlJc w:val="left"/>
      <w:pPr>
        <w:ind w:left="6598" w:hanging="360"/>
      </w:pPr>
      <w:rPr>
        <w:rFonts w:ascii="Wingdings" w:hAnsi="Wingdings" w:hint="default"/>
      </w:rPr>
    </w:lvl>
  </w:abstractNum>
  <w:abstractNum w:abstractNumId="5" w15:restartNumberingAfterBreak="0">
    <w:nsid w:val="4D311955"/>
    <w:multiLevelType w:val="hybridMultilevel"/>
    <w:tmpl w:val="1D34D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FB4ECF"/>
    <w:multiLevelType w:val="hybridMultilevel"/>
    <w:tmpl w:val="2CB2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853F3F"/>
    <w:multiLevelType w:val="hybridMultilevel"/>
    <w:tmpl w:val="4CC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FA7E66"/>
    <w:multiLevelType w:val="hybridMultilevel"/>
    <w:tmpl w:val="41DC02C2"/>
    <w:lvl w:ilvl="0" w:tplc="434E910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52"/>
    <w:rsid w:val="000026D0"/>
    <w:rsid w:val="00002CB9"/>
    <w:rsid w:val="00006AE6"/>
    <w:rsid w:val="00013CB5"/>
    <w:rsid w:val="0001419E"/>
    <w:rsid w:val="00021B5D"/>
    <w:rsid w:val="00026EA9"/>
    <w:rsid w:val="00033F6C"/>
    <w:rsid w:val="000404B6"/>
    <w:rsid w:val="000418DB"/>
    <w:rsid w:val="000473B8"/>
    <w:rsid w:val="00064802"/>
    <w:rsid w:val="00072363"/>
    <w:rsid w:val="00081BB9"/>
    <w:rsid w:val="00091962"/>
    <w:rsid w:val="00092613"/>
    <w:rsid w:val="00093B53"/>
    <w:rsid w:val="00096E1A"/>
    <w:rsid w:val="000A1D1A"/>
    <w:rsid w:val="000A7183"/>
    <w:rsid w:val="000C576F"/>
    <w:rsid w:val="000D12F9"/>
    <w:rsid w:val="000D1314"/>
    <w:rsid w:val="000D7484"/>
    <w:rsid w:val="000D7E03"/>
    <w:rsid w:val="000F67D4"/>
    <w:rsid w:val="0010497F"/>
    <w:rsid w:val="00105118"/>
    <w:rsid w:val="00132D67"/>
    <w:rsid w:val="00135F2E"/>
    <w:rsid w:val="001431C1"/>
    <w:rsid w:val="0014697E"/>
    <w:rsid w:val="00151FAE"/>
    <w:rsid w:val="0015314D"/>
    <w:rsid w:val="0015479B"/>
    <w:rsid w:val="0016394C"/>
    <w:rsid w:val="00167147"/>
    <w:rsid w:val="001A6439"/>
    <w:rsid w:val="001B0D71"/>
    <w:rsid w:val="001B247E"/>
    <w:rsid w:val="001C7142"/>
    <w:rsid w:val="001E487C"/>
    <w:rsid w:val="001F687F"/>
    <w:rsid w:val="00201F05"/>
    <w:rsid w:val="00213C53"/>
    <w:rsid w:val="00215E59"/>
    <w:rsid w:val="002166AC"/>
    <w:rsid w:val="00217E18"/>
    <w:rsid w:val="0022043E"/>
    <w:rsid w:val="00221951"/>
    <w:rsid w:val="00221DF6"/>
    <w:rsid w:val="002264C9"/>
    <w:rsid w:val="002332D4"/>
    <w:rsid w:val="00241742"/>
    <w:rsid w:val="0024424B"/>
    <w:rsid w:val="002556FF"/>
    <w:rsid w:val="00296C9A"/>
    <w:rsid w:val="002A090B"/>
    <w:rsid w:val="002A0B8B"/>
    <w:rsid w:val="002A3E2E"/>
    <w:rsid w:val="002A401C"/>
    <w:rsid w:val="002B73CB"/>
    <w:rsid w:val="002C517D"/>
    <w:rsid w:val="002C5497"/>
    <w:rsid w:val="002C5DF7"/>
    <w:rsid w:val="002E25B7"/>
    <w:rsid w:val="002E42E7"/>
    <w:rsid w:val="002E52F3"/>
    <w:rsid w:val="002F06D4"/>
    <w:rsid w:val="002F3B3D"/>
    <w:rsid w:val="002F7670"/>
    <w:rsid w:val="003229C6"/>
    <w:rsid w:val="00325AA1"/>
    <w:rsid w:val="00330EC5"/>
    <w:rsid w:val="003319BF"/>
    <w:rsid w:val="003458DB"/>
    <w:rsid w:val="00346AA5"/>
    <w:rsid w:val="00355281"/>
    <w:rsid w:val="0035734B"/>
    <w:rsid w:val="00361452"/>
    <w:rsid w:val="0036373D"/>
    <w:rsid w:val="003645AA"/>
    <w:rsid w:val="00365CF5"/>
    <w:rsid w:val="00372C3B"/>
    <w:rsid w:val="0038515C"/>
    <w:rsid w:val="00393DBA"/>
    <w:rsid w:val="003B1723"/>
    <w:rsid w:val="003B1B8F"/>
    <w:rsid w:val="003B2B1B"/>
    <w:rsid w:val="003B5915"/>
    <w:rsid w:val="003B6CF2"/>
    <w:rsid w:val="003C0C12"/>
    <w:rsid w:val="003C44CE"/>
    <w:rsid w:val="003C6B9C"/>
    <w:rsid w:val="003D1EA3"/>
    <w:rsid w:val="003D2425"/>
    <w:rsid w:val="003E77C4"/>
    <w:rsid w:val="003F4ED8"/>
    <w:rsid w:val="00400C6A"/>
    <w:rsid w:val="00400D9C"/>
    <w:rsid w:val="00430F65"/>
    <w:rsid w:val="00453444"/>
    <w:rsid w:val="00462568"/>
    <w:rsid w:val="00471E75"/>
    <w:rsid w:val="00472170"/>
    <w:rsid w:val="004914E6"/>
    <w:rsid w:val="00491AA6"/>
    <w:rsid w:val="0049590A"/>
    <w:rsid w:val="004A30DC"/>
    <w:rsid w:val="004A7416"/>
    <w:rsid w:val="004B0D1E"/>
    <w:rsid w:val="004B4E14"/>
    <w:rsid w:val="004C358F"/>
    <w:rsid w:val="004C5195"/>
    <w:rsid w:val="004C535A"/>
    <w:rsid w:val="004D4797"/>
    <w:rsid w:val="004F1A0E"/>
    <w:rsid w:val="004F2DC5"/>
    <w:rsid w:val="005167AE"/>
    <w:rsid w:val="0052207C"/>
    <w:rsid w:val="00524699"/>
    <w:rsid w:val="00533942"/>
    <w:rsid w:val="00533E30"/>
    <w:rsid w:val="005432B8"/>
    <w:rsid w:val="005443C8"/>
    <w:rsid w:val="00546761"/>
    <w:rsid w:val="0055185B"/>
    <w:rsid w:val="00557034"/>
    <w:rsid w:val="005646CE"/>
    <w:rsid w:val="005701FE"/>
    <w:rsid w:val="00577C94"/>
    <w:rsid w:val="00582E18"/>
    <w:rsid w:val="00585ADC"/>
    <w:rsid w:val="005864A0"/>
    <w:rsid w:val="00587C9A"/>
    <w:rsid w:val="005927ED"/>
    <w:rsid w:val="00596352"/>
    <w:rsid w:val="005A23D9"/>
    <w:rsid w:val="005A47D4"/>
    <w:rsid w:val="005B355A"/>
    <w:rsid w:val="005C56DD"/>
    <w:rsid w:val="005C75AE"/>
    <w:rsid w:val="005E7F84"/>
    <w:rsid w:val="00615121"/>
    <w:rsid w:val="00630501"/>
    <w:rsid w:val="006355CC"/>
    <w:rsid w:val="006404DC"/>
    <w:rsid w:val="006468E3"/>
    <w:rsid w:val="00655D48"/>
    <w:rsid w:val="00662F44"/>
    <w:rsid w:val="00683677"/>
    <w:rsid w:val="00692198"/>
    <w:rsid w:val="0069684C"/>
    <w:rsid w:val="006A7BD7"/>
    <w:rsid w:val="006B4C3B"/>
    <w:rsid w:val="006B78F1"/>
    <w:rsid w:val="006D2A19"/>
    <w:rsid w:val="006D5440"/>
    <w:rsid w:val="006D6FB6"/>
    <w:rsid w:val="006E329A"/>
    <w:rsid w:val="006F14BA"/>
    <w:rsid w:val="006F1F33"/>
    <w:rsid w:val="006F6641"/>
    <w:rsid w:val="00703310"/>
    <w:rsid w:val="0073113E"/>
    <w:rsid w:val="00744155"/>
    <w:rsid w:val="00747553"/>
    <w:rsid w:val="007712F2"/>
    <w:rsid w:val="00782F99"/>
    <w:rsid w:val="0079436D"/>
    <w:rsid w:val="007B4E5A"/>
    <w:rsid w:val="007B6AB9"/>
    <w:rsid w:val="007C12EC"/>
    <w:rsid w:val="007D2593"/>
    <w:rsid w:val="007D4D95"/>
    <w:rsid w:val="007D7C6C"/>
    <w:rsid w:val="007E00AC"/>
    <w:rsid w:val="007F63AC"/>
    <w:rsid w:val="0080383E"/>
    <w:rsid w:val="00806138"/>
    <w:rsid w:val="008247AB"/>
    <w:rsid w:val="0083764B"/>
    <w:rsid w:val="00845C20"/>
    <w:rsid w:val="0085325A"/>
    <w:rsid w:val="0085405A"/>
    <w:rsid w:val="0085494D"/>
    <w:rsid w:val="00860B33"/>
    <w:rsid w:val="00861E12"/>
    <w:rsid w:val="00881E62"/>
    <w:rsid w:val="008915F2"/>
    <w:rsid w:val="00894248"/>
    <w:rsid w:val="008A3365"/>
    <w:rsid w:val="008A3670"/>
    <w:rsid w:val="008A5A9B"/>
    <w:rsid w:val="008D7E89"/>
    <w:rsid w:val="008E560C"/>
    <w:rsid w:val="009042BD"/>
    <w:rsid w:val="009047B8"/>
    <w:rsid w:val="00912890"/>
    <w:rsid w:val="00912B34"/>
    <w:rsid w:val="009135C5"/>
    <w:rsid w:val="00916247"/>
    <w:rsid w:val="009250FC"/>
    <w:rsid w:val="009419E4"/>
    <w:rsid w:val="0096415F"/>
    <w:rsid w:val="00973EF7"/>
    <w:rsid w:val="00977420"/>
    <w:rsid w:val="00981F2E"/>
    <w:rsid w:val="00983C5E"/>
    <w:rsid w:val="00983D7C"/>
    <w:rsid w:val="00986C0D"/>
    <w:rsid w:val="009928D6"/>
    <w:rsid w:val="0099313D"/>
    <w:rsid w:val="009A16C3"/>
    <w:rsid w:val="009A1D26"/>
    <w:rsid w:val="009A66EB"/>
    <w:rsid w:val="009B336A"/>
    <w:rsid w:val="009C0E67"/>
    <w:rsid w:val="009C229A"/>
    <w:rsid w:val="009C4A44"/>
    <w:rsid w:val="009E5F1F"/>
    <w:rsid w:val="00A033F4"/>
    <w:rsid w:val="00A126CC"/>
    <w:rsid w:val="00A20862"/>
    <w:rsid w:val="00A21171"/>
    <w:rsid w:val="00A21179"/>
    <w:rsid w:val="00A23D23"/>
    <w:rsid w:val="00A279C0"/>
    <w:rsid w:val="00A27C96"/>
    <w:rsid w:val="00A322EB"/>
    <w:rsid w:val="00A353FF"/>
    <w:rsid w:val="00A4038C"/>
    <w:rsid w:val="00A4243B"/>
    <w:rsid w:val="00A50F60"/>
    <w:rsid w:val="00A51F96"/>
    <w:rsid w:val="00A7177F"/>
    <w:rsid w:val="00A914B3"/>
    <w:rsid w:val="00AA2442"/>
    <w:rsid w:val="00AA3B70"/>
    <w:rsid w:val="00AA4E28"/>
    <w:rsid w:val="00AB221B"/>
    <w:rsid w:val="00AC2A48"/>
    <w:rsid w:val="00AC709C"/>
    <w:rsid w:val="00AD63E8"/>
    <w:rsid w:val="00AE2D26"/>
    <w:rsid w:val="00AE5DF3"/>
    <w:rsid w:val="00AF35C9"/>
    <w:rsid w:val="00AF3AF2"/>
    <w:rsid w:val="00AF510F"/>
    <w:rsid w:val="00AF6275"/>
    <w:rsid w:val="00B06845"/>
    <w:rsid w:val="00B121E6"/>
    <w:rsid w:val="00B343CF"/>
    <w:rsid w:val="00B34D7F"/>
    <w:rsid w:val="00B37FE7"/>
    <w:rsid w:val="00B4594A"/>
    <w:rsid w:val="00B4617B"/>
    <w:rsid w:val="00B61FBA"/>
    <w:rsid w:val="00B70FAB"/>
    <w:rsid w:val="00B71E2C"/>
    <w:rsid w:val="00B92377"/>
    <w:rsid w:val="00BA37FE"/>
    <w:rsid w:val="00BB7A5D"/>
    <w:rsid w:val="00BC3960"/>
    <w:rsid w:val="00BC5226"/>
    <w:rsid w:val="00BD775B"/>
    <w:rsid w:val="00BE1D5E"/>
    <w:rsid w:val="00BE65AB"/>
    <w:rsid w:val="00C01825"/>
    <w:rsid w:val="00C029A6"/>
    <w:rsid w:val="00C118A9"/>
    <w:rsid w:val="00C268B1"/>
    <w:rsid w:val="00C3789D"/>
    <w:rsid w:val="00C37ECA"/>
    <w:rsid w:val="00C50396"/>
    <w:rsid w:val="00C527D3"/>
    <w:rsid w:val="00C53D7B"/>
    <w:rsid w:val="00C5472F"/>
    <w:rsid w:val="00C62F57"/>
    <w:rsid w:val="00C65D8B"/>
    <w:rsid w:val="00C802D4"/>
    <w:rsid w:val="00C84F54"/>
    <w:rsid w:val="00C915F9"/>
    <w:rsid w:val="00C93FF9"/>
    <w:rsid w:val="00CA56AB"/>
    <w:rsid w:val="00CA7355"/>
    <w:rsid w:val="00CB14D1"/>
    <w:rsid w:val="00CC0932"/>
    <w:rsid w:val="00CE1E56"/>
    <w:rsid w:val="00CE4998"/>
    <w:rsid w:val="00CE7256"/>
    <w:rsid w:val="00CF18AE"/>
    <w:rsid w:val="00CF5FB4"/>
    <w:rsid w:val="00CF7936"/>
    <w:rsid w:val="00D0045F"/>
    <w:rsid w:val="00D02752"/>
    <w:rsid w:val="00D04FA2"/>
    <w:rsid w:val="00D10C2F"/>
    <w:rsid w:val="00D12203"/>
    <w:rsid w:val="00D128A2"/>
    <w:rsid w:val="00D30BF4"/>
    <w:rsid w:val="00D30FAD"/>
    <w:rsid w:val="00D34A4B"/>
    <w:rsid w:val="00D35A0A"/>
    <w:rsid w:val="00D46293"/>
    <w:rsid w:val="00D468BD"/>
    <w:rsid w:val="00D4775E"/>
    <w:rsid w:val="00D47ACB"/>
    <w:rsid w:val="00D61E3C"/>
    <w:rsid w:val="00D72621"/>
    <w:rsid w:val="00D7335B"/>
    <w:rsid w:val="00D74A49"/>
    <w:rsid w:val="00D873B8"/>
    <w:rsid w:val="00D878A0"/>
    <w:rsid w:val="00D919E2"/>
    <w:rsid w:val="00D945C5"/>
    <w:rsid w:val="00DA26A3"/>
    <w:rsid w:val="00DA6DEB"/>
    <w:rsid w:val="00DA741B"/>
    <w:rsid w:val="00DB345B"/>
    <w:rsid w:val="00DB5280"/>
    <w:rsid w:val="00DB5B1E"/>
    <w:rsid w:val="00DC0D97"/>
    <w:rsid w:val="00DC363C"/>
    <w:rsid w:val="00DC3F78"/>
    <w:rsid w:val="00DD23BC"/>
    <w:rsid w:val="00DD466A"/>
    <w:rsid w:val="00E23851"/>
    <w:rsid w:val="00E35110"/>
    <w:rsid w:val="00E416DA"/>
    <w:rsid w:val="00E45462"/>
    <w:rsid w:val="00E6016A"/>
    <w:rsid w:val="00E62775"/>
    <w:rsid w:val="00E830BD"/>
    <w:rsid w:val="00EA4279"/>
    <w:rsid w:val="00EA7306"/>
    <w:rsid w:val="00EB056B"/>
    <w:rsid w:val="00EB0F74"/>
    <w:rsid w:val="00EB57CB"/>
    <w:rsid w:val="00EB580C"/>
    <w:rsid w:val="00EB7420"/>
    <w:rsid w:val="00EC4BA7"/>
    <w:rsid w:val="00EC67BD"/>
    <w:rsid w:val="00EC6AE9"/>
    <w:rsid w:val="00EF119D"/>
    <w:rsid w:val="00EF175B"/>
    <w:rsid w:val="00EF17FA"/>
    <w:rsid w:val="00EF34D3"/>
    <w:rsid w:val="00EF4557"/>
    <w:rsid w:val="00EF61DD"/>
    <w:rsid w:val="00EF6E8A"/>
    <w:rsid w:val="00F13473"/>
    <w:rsid w:val="00F165C9"/>
    <w:rsid w:val="00F174D6"/>
    <w:rsid w:val="00F1762B"/>
    <w:rsid w:val="00F17E3D"/>
    <w:rsid w:val="00F20EA3"/>
    <w:rsid w:val="00F27080"/>
    <w:rsid w:val="00F30E03"/>
    <w:rsid w:val="00F33456"/>
    <w:rsid w:val="00F37FB8"/>
    <w:rsid w:val="00F4214A"/>
    <w:rsid w:val="00F549E0"/>
    <w:rsid w:val="00F55588"/>
    <w:rsid w:val="00F555A5"/>
    <w:rsid w:val="00F57A8B"/>
    <w:rsid w:val="00F57EBC"/>
    <w:rsid w:val="00F62019"/>
    <w:rsid w:val="00F84369"/>
    <w:rsid w:val="00F9080A"/>
    <w:rsid w:val="00F94F37"/>
    <w:rsid w:val="00FA0D26"/>
    <w:rsid w:val="00FB29AD"/>
    <w:rsid w:val="00FC421F"/>
    <w:rsid w:val="00FC590E"/>
    <w:rsid w:val="00FC596E"/>
    <w:rsid w:val="00FD18C1"/>
    <w:rsid w:val="00FF3A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14E74"/>
  <w15:docId w15:val="{087D41EF-362E-4691-8A27-E6DFDA2C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6D"/>
  </w:style>
  <w:style w:type="paragraph" w:styleId="Ttulo1">
    <w:name w:val="heading 1"/>
    <w:basedOn w:val="Normal"/>
    <w:next w:val="Normal"/>
    <w:link w:val="Ttulo1Car"/>
    <w:qFormat/>
    <w:rsid w:val="00F13473"/>
    <w:pPr>
      <w:keepNext/>
      <w:spacing w:before="240" w:after="60" w:line="276" w:lineRule="auto"/>
      <w:outlineLvl w:val="0"/>
    </w:pPr>
    <w:rPr>
      <w:rFonts w:ascii="Arial" w:eastAsia="Calibri" w:hAnsi="Arial" w:cs="Times New Roman"/>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219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92198"/>
  </w:style>
  <w:style w:type="paragraph" w:styleId="Piedepgina">
    <w:name w:val="footer"/>
    <w:basedOn w:val="Normal"/>
    <w:link w:val="PiedepginaCar"/>
    <w:uiPriority w:val="99"/>
    <w:unhideWhenUsed/>
    <w:rsid w:val="0069219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92198"/>
  </w:style>
  <w:style w:type="character" w:customStyle="1" w:styleId="Ttulo1Car">
    <w:name w:val="Título 1 Car"/>
    <w:basedOn w:val="Fuentedeprrafopredeter"/>
    <w:link w:val="Ttulo1"/>
    <w:rsid w:val="00F13473"/>
    <w:rPr>
      <w:rFonts w:ascii="Arial" w:eastAsia="Calibri" w:hAnsi="Arial" w:cs="Times New Roman"/>
      <w:b/>
      <w:bCs/>
      <w:kern w:val="32"/>
      <w:sz w:val="32"/>
      <w:szCs w:val="32"/>
      <w:lang w:val="es-ES_tradnl"/>
    </w:rPr>
  </w:style>
  <w:style w:type="paragraph" w:styleId="Textodeglobo">
    <w:name w:val="Balloon Text"/>
    <w:basedOn w:val="Normal"/>
    <w:link w:val="TextodegloboCar"/>
    <w:uiPriority w:val="99"/>
    <w:semiHidden/>
    <w:unhideWhenUsed/>
    <w:rsid w:val="00CF5F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FB4"/>
    <w:rPr>
      <w:rFonts w:ascii="Tahoma" w:hAnsi="Tahoma" w:cs="Tahoma"/>
      <w:sz w:val="16"/>
      <w:szCs w:val="16"/>
    </w:rPr>
  </w:style>
  <w:style w:type="character" w:styleId="Refdecomentario">
    <w:name w:val="annotation reference"/>
    <w:basedOn w:val="Fuentedeprrafopredeter"/>
    <w:uiPriority w:val="99"/>
    <w:semiHidden/>
    <w:unhideWhenUsed/>
    <w:rsid w:val="00A20862"/>
    <w:rPr>
      <w:sz w:val="16"/>
      <w:szCs w:val="16"/>
    </w:rPr>
  </w:style>
  <w:style w:type="paragraph" w:styleId="Textocomentario">
    <w:name w:val="annotation text"/>
    <w:basedOn w:val="Normal"/>
    <w:link w:val="TextocomentarioCar"/>
    <w:uiPriority w:val="99"/>
    <w:semiHidden/>
    <w:unhideWhenUsed/>
    <w:rsid w:val="00A208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862"/>
    <w:rPr>
      <w:sz w:val="20"/>
      <w:szCs w:val="20"/>
    </w:rPr>
  </w:style>
  <w:style w:type="paragraph" w:styleId="Asuntodelcomentario">
    <w:name w:val="annotation subject"/>
    <w:basedOn w:val="Textocomentario"/>
    <w:next w:val="Textocomentario"/>
    <w:link w:val="AsuntodelcomentarioCar"/>
    <w:uiPriority w:val="99"/>
    <w:semiHidden/>
    <w:unhideWhenUsed/>
    <w:rsid w:val="00A20862"/>
    <w:rPr>
      <w:b/>
      <w:bCs/>
    </w:rPr>
  </w:style>
  <w:style w:type="character" w:customStyle="1" w:styleId="AsuntodelcomentarioCar">
    <w:name w:val="Asunto del comentario Car"/>
    <w:basedOn w:val="TextocomentarioCar"/>
    <w:link w:val="Asuntodelcomentario"/>
    <w:uiPriority w:val="99"/>
    <w:semiHidden/>
    <w:rsid w:val="00A20862"/>
    <w:rPr>
      <w:b/>
      <w:bCs/>
      <w:sz w:val="20"/>
      <w:szCs w:val="20"/>
    </w:rPr>
  </w:style>
  <w:style w:type="paragraph" w:styleId="Prrafodelista">
    <w:name w:val="List Paragraph"/>
    <w:basedOn w:val="Normal"/>
    <w:uiPriority w:val="34"/>
    <w:qFormat/>
    <w:rsid w:val="00A20862"/>
    <w:pPr>
      <w:ind w:left="720"/>
      <w:contextualSpacing/>
    </w:pPr>
  </w:style>
  <w:style w:type="character" w:styleId="Hipervnculo">
    <w:name w:val="Hyperlink"/>
    <w:uiPriority w:val="99"/>
    <w:unhideWhenUsed/>
    <w:rsid w:val="00983C5E"/>
    <w:rPr>
      <w:color w:val="0000FF"/>
      <w:u w:val="single"/>
    </w:rPr>
  </w:style>
  <w:style w:type="paragraph" w:styleId="NormalWeb">
    <w:name w:val="Normal (Web)"/>
    <w:basedOn w:val="Normal"/>
    <w:uiPriority w:val="99"/>
    <w:semiHidden/>
    <w:unhideWhenUsed/>
    <w:rsid w:val="005701FE"/>
    <w:rPr>
      <w:rFonts w:ascii="Times New Roman" w:hAnsi="Times New Roman" w:cs="Times New Roman"/>
      <w:sz w:val="24"/>
      <w:szCs w:val="24"/>
    </w:rPr>
  </w:style>
  <w:style w:type="character" w:customStyle="1" w:styleId="Menzionenonrisolta1">
    <w:name w:val="Menzione non risolta1"/>
    <w:basedOn w:val="Fuentedeprrafopredeter"/>
    <w:uiPriority w:val="99"/>
    <w:semiHidden/>
    <w:unhideWhenUsed/>
    <w:rsid w:val="005701FE"/>
    <w:rPr>
      <w:color w:val="605E5C"/>
      <w:shd w:val="clear" w:color="auto" w:fill="E1DFDD"/>
    </w:rPr>
  </w:style>
  <w:style w:type="character" w:styleId="Hipervnculovisitado">
    <w:name w:val="FollowedHyperlink"/>
    <w:basedOn w:val="Fuentedeprrafopredeter"/>
    <w:uiPriority w:val="99"/>
    <w:semiHidden/>
    <w:unhideWhenUsed/>
    <w:rsid w:val="00BA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763">
      <w:bodyDiv w:val="1"/>
      <w:marLeft w:val="0"/>
      <w:marRight w:val="0"/>
      <w:marTop w:val="0"/>
      <w:marBottom w:val="0"/>
      <w:divBdr>
        <w:top w:val="none" w:sz="0" w:space="0" w:color="auto"/>
        <w:left w:val="none" w:sz="0" w:space="0" w:color="auto"/>
        <w:bottom w:val="none" w:sz="0" w:space="0" w:color="auto"/>
        <w:right w:val="none" w:sz="0" w:space="0" w:color="auto"/>
      </w:divBdr>
      <w:divsChild>
        <w:div w:id="1143160516">
          <w:marLeft w:val="0"/>
          <w:marRight w:val="0"/>
          <w:marTop w:val="0"/>
          <w:marBottom w:val="0"/>
          <w:divBdr>
            <w:top w:val="none" w:sz="0" w:space="0" w:color="auto"/>
            <w:left w:val="none" w:sz="0" w:space="0" w:color="auto"/>
            <w:bottom w:val="none" w:sz="0" w:space="0" w:color="auto"/>
            <w:right w:val="none" w:sz="0" w:space="0" w:color="auto"/>
          </w:divBdr>
          <w:divsChild>
            <w:div w:id="1109813684">
              <w:marLeft w:val="0"/>
              <w:marRight w:val="0"/>
              <w:marTop w:val="0"/>
              <w:marBottom w:val="0"/>
              <w:divBdr>
                <w:top w:val="none" w:sz="0" w:space="0" w:color="auto"/>
                <w:left w:val="none" w:sz="0" w:space="0" w:color="auto"/>
                <w:bottom w:val="none" w:sz="0" w:space="0" w:color="auto"/>
                <w:right w:val="none" w:sz="0" w:space="0" w:color="auto"/>
              </w:divBdr>
              <w:divsChild>
                <w:div w:id="886524661">
                  <w:marLeft w:val="0"/>
                  <w:marRight w:val="0"/>
                  <w:marTop w:val="0"/>
                  <w:marBottom w:val="0"/>
                  <w:divBdr>
                    <w:top w:val="none" w:sz="0" w:space="0" w:color="auto"/>
                    <w:left w:val="none" w:sz="0" w:space="0" w:color="auto"/>
                    <w:bottom w:val="none" w:sz="0" w:space="0" w:color="auto"/>
                    <w:right w:val="none" w:sz="0" w:space="0" w:color="auto"/>
                  </w:divBdr>
                  <w:divsChild>
                    <w:div w:id="1099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2597">
      <w:bodyDiv w:val="1"/>
      <w:marLeft w:val="0"/>
      <w:marRight w:val="0"/>
      <w:marTop w:val="0"/>
      <w:marBottom w:val="0"/>
      <w:divBdr>
        <w:top w:val="none" w:sz="0" w:space="0" w:color="auto"/>
        <w:left w:val="none" w:sz="0" w:space="0" w:color="auto"/>
        <w:bottom w:val="none" w:sz="0" w:space="0" w:color="auto"/>
        <w:right w:val="none" w:sz="0" w:space="0" w:color="auto"/>
      </w:divBdr>
    </w:div>
    <w:div w:id="179004656">
      <w:bodyDiv w:val="1"/>
      <w:marLeft w:val="0"/>
      <w:marRight w:val="0"/>
      <w:marTop w:val="0"/>
      <w:marBottom w:val="0"/>
      <w:divBdr>
        <w:top w:val="none" w:sz="0" w:space="0" w:color="auto"/>
        <w:left w:val="none" w:sz="0" w:space="0" w:color="auto"/>
        <w:bottom w:val="none" w:sz="0" w:space="0" w:color="auto"/>
        <w:right w:val="none" w:sz="0" w:space="0" w:color="auto"/>
      </w:divBdr>
    </w:div>
    <w:div w:id="194973612">
      <w:bodyDiv w:val="1"/>
      <w:marLeft w:val="0"/>
      <w:marRight w:val="0"/>
      <w:marTop w:val="0"/>
      <w:marBottom w:val="0"/>
      <w:divBdr>
        <w:top w:val="none" w:sz="0" w:space="0" w:color="auto"/>
        <w:left w:val="none" w:sz="0" w:space="0" w:color="auto"/>
        <w:bottom w:val="none" w:sz="0" w:space="0" w:color="auto"/>
        <w:right w:val="none" w:sz="0" w:space="0" w:color="auto"/>
      </w:divBdr>
    </w:div>
    <w:div w:id="253630609">
      <w:bodyDiv w:val="1"/>
      <w:marLeft w:val="0"/>
      <w:marRight w:val="0"/>
      <w:marTop w:val="0"/>
      <w:marBottom w:val="0"/>
      <w:divBdr>
        <w:top w:val="none" w:sz="0" w:space="0" w:color="auto"/>
        <w:left w:val="none" w:sz="0" w:space="0" w:color="auto"/>
        <w:bottom w:val="none" w:sz="0" w:space="0" w:color="auto"/>
        <w:right w:val="none" w:sz="0" w:space="0" w:color="auto"/>
      </w:divBdr>
    </w:div>
    <w:div w:id="295260398">
      <w:bodyDiv w:val="1"/>
      <w:marLeft w:val="0"/>
      <w:marRight w:val="0"/>
      <w:marTop w:val="0"/>
      <w:marBottom w:val="0"/>
      <w:divBdr>
        <w:top w:val="none" w:sz="0" w:space="0" w:color="auto"/>
        <w:left w:val="none" w:sz="0" w:space="0" w:color="auto"/>
        <w:bottom w:val="none" w:sz="0" w:space="0" w:color="auto"/>
        <w:right w:val="none" w:sz="0" w:space="0" w:color="auto"/>
      </w:divBdr>
    </w:div>
    <w:div w:id="351808216">
      <w:bodyDiv w:val="1"/>
      <w:marLeft w:val="0"/>
      <w:marRight w:val="0"/>
      <w:marTop w:val="0"/>
      <w:marBottom w:val="0"/>
      <w:divBdr>
        <w:top w:val="none" w:sz="0" w:space="0" w:color="auto"/>
        <w:left w:val="none" w:sz="0" w:space="0" w:color="auto"/>
        <w:bottom w:val="none" w:sz="0" w:space="0" w:color="auto"/>
        <w:right w:val="none" w:sz="0" w:space="0" w:color="auto"/>
      </w:divBdr>
      <w:divsChild>
        <w:div w:id="1030649154">
          <w:marLeft w:val="0"/>
          <w:marRight w:val="0"/>
          <w:marTop w:val="0"/>
          <w:marBottom w:val="0"/>
          <w:divBdr>
            <w:top w:val="none" w:sz="0" w:space="0" w:color="auto"/>
            <w:left w:val="none" w:sz="0" w:space="0" w:color="auto"/>
            <w:bottom w:val="none" w:sz="0" w:space="0" w:color="auto"/>
            <w:right w:val="none" w:sz="0" w:space="0" w:color="auto"/>
          </w:divBdr>
          <w:divsChild>
            <w:div w:id="579563052">
              <w:marLeft w:val="0"/>
              <w:marRight w:val="0"/>
              <w:marTop w:val="0"/>
              <w:marBottom w:val="0"/>
              <w:divBdr>
                <w:top w:val="none" w:sz="0" w:space="0" w:color="auto"/>
                <w:left w:val="none" w:sz="0" w:space="0" w:color="auto"/>
                <w:bottom w:val="none" w:sz="0" w:space="0" w:color="auto"/>
                <w:right w:val="none" w:sz="0" w:space="0" w:color="auto"/>
              </w:divBdr>
              <w:divsChild>
                <w:div w:id="2062242723">
                  <w:marLeft w:val="0"/>
                  <w:marRight w:val="0"/>
                  <w:marTop w:val="0"/>
                  <w:marBottom w:val="0"/>
                  <w:divBdr>
                    <w:top w:val="none" w:sz="0" w:space="0" w:color="auto"/>
                    <w:left w:val="none" w:sz="0" w:space="0" w:color="auto"/>
                    <w:bottom w:val="none" w:sz="0" w:space="0" w:color="auto"/>
                    <w:right w:val="none" w:sz="0" w:space="0" w:color="auto"/>
                  </w:divBdr>
                  <w:divsChild>
                    <w:div w:id="6650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8641">
      <w:bodyDiv w:val="1"/>
      <w:marLeft w:val="0"/>
      <w:marRight w:val="0"/>
      <w:marTop w:val="0"/>
      <w:marBottom w:val="0"/>
      <w:divBdr>
        <w:top w:val="none" w:sz="0" w:space="0" w:color="auto"/>
        <w:left w:val="none" w:sz="0" w:space="0" w:color="auto"/>
        <w:bottom w:val="none" w:sz="0" w:space="0" w:color="auto"/>
        <w:right w:val="none" w:sz="0" w:space="0" w:color="auto"/>
      </w:divBdr>
    </w:div>
    <w:div w:id="913316115">
      <w:bodyDiv w:val="1"/>
      <w:marLeft w:val="0"/>
      <w:marRight w:val="0"/>
      <w:marTop w:val="0"/>
      <w:marBottom w:val="0"/>
      <w:divBdr>
        <w:top w:val="none" w:sz="0" w:space="0" w:color="auto"/>
        <w:left w:val="none" w:sz="0" w:space="0" w:color="auto"/>
        <w:bottom w:val="none" w:sz="0" w:space="0" w:color="auto"/>
        <w:right w:val="none" w:sz="0" w:space="0" w:color="auto"/>
      </w:divBdr>
    </w:div>
    <w:div w:id="977803358">
      <w:bodyDiv w:val="1"/>
      <w:marLeft w:val="0"/>
      <w:marRight w:val="0"/>
      <w:marTop w:val="0"/>
      <w:marBottom w:val="0"/>
      <w:divBdr>
        <w:top w:val="none" w:sz="0" w:space="0" w:color="auto"/>
        <w:left w:val="none" w:sz="0" w:space="0" w:color="auto"/>
        <w:bottom w:val="none" w:sz="0" w:space="0" w:color="auto"/>
        <w:right w:val="none" w:sz="0" w:space="0" w:color="auto"/>
      </w:divBdr>
    </w:div>
    <w:div w:id="1138495636">
      <w:bodyDiv w:val="1"/>
      <w:marLeft w:val="0"/>
      <w:marRight w:val="0"/>
      <w:marTop w:val="0"/>
      <w:marBottom w:val="0"/>
      <w:divBdr>
        <w:top w:val="none" w:sz="0" w:space="0" w:color="auto"/>
        <w:left w:val="none" w:sz="0" w:space="0" w:color="auto"/>
        <w:bottom w:val="none" w:sz="0" w:space="0" w:color="auto"/>
        <w:right w:val="none" w:sz="0" w:space="0" w:color="auto"/>
      </w:divBdr>
    </w:div>
    <w:div w:id="1165440762">
      <w:bodyDiv w:val="1"/>
      <w:marLeft w:val="0"/>
      <w:marRight w:val="0"/>
      <w:marTop w:val="0"/>
      <w:marBottom w:val="0"/>
      <w:divBdr>
        <w:top w:val="none" w:sz="0" w:space="0" w:color="auto"/>
        <w:left w:val="none" w:sz="0" w:space="0" w:color="auto"/>
        <w:bottom w:val="none" w:sz="0" w:space="0" w:color="auto"/>
        <w:right w:val="none" w:sz="0" w:space="0" w:color="auto"/>
      </w:divBdr>
    </w:div>
    <w:div w:id="1218514959">
      <w:bodyDiv w:val="1"/>
      <w:marLeft w:val="0"/>
      <w:marRight w:val="0"/>
      <w:marTop w:val="0"/>
      <w:marBottom w:val="0"/>
      <w:divBdr>
        <w:top w:val="none" w:sz="0" w:space="0" w:color="auto"/>
        <w:left w:val="none" w:sz="0" w:space="0" w:color="auto"/>
        <w:bottom w:val="none" w:sz="0" w:space="0" w:color="auto"/>
        <w:right w:val="none" w:sz="0" w:space="0" w:color="auto"/>
      </w:divBdr>
    </w:div>
    <w:div w:id="1340497803">
      <w:bodyDiv w:val="1"/>
      <w:marLeft w:val="0"/>
      <w:marRight w:val="0"/>
      <w:marTop w:val="0"/>
      <w:marBottom w:val="0"/>
      <w:divBdr>
        <w:top w:val="none" w:sz="0" w:space="0" w:color="auto"/>
        <w:left w:val="none" w:sz="0" w:space="0" w:color="auto"/>
        <w:bottom w:val="none" w:sz="0" w:space="0" w:color="auto"/>
        <w:right w:val="none" w:sz="0" w:space="0" w:color="auto"/>
      </w:divBdr>
    </w:div>
    <w:div w:id="1495299775">
      <w:bodyDiv w:val="1"/>
      <w:marLeft w:val="0"/>
      <w:marRight w:val="0"/>
      <w:marTop w:val="0"/>
      <w:marBottom w:val="0"/>
      <w:divBdr>
        <w:top w:val="none" w:sz="0" w:space="0" w:color="auto"/>
        <w:left w:val="none" w:sz="0" w:space="0" w:color="auto"/>
        <w:bottom w:val="none" w:sz="0" w:space="0" w:color="auto"/>
        <w:right w:val="none" w:sz="0" w:space="0" w:color="auto"/>
      </w:divBdr>
      <w:divsChild>
        <w:div w:id="1816796481">
          <w:marLeft w:val="0"/>
          <w:marRight w:val="0"/>
          <w:marTop w:val="0"/>
          <w:marBottom w:val="0"/>
          <w:divBdr>
            <w:top w:val="none" w:sz="0" w:space="0" w:color="auto"/>
            <w:left w:val="none" w:sz="0" w:space="0" w:color="auto"/>
            <w:bottom w:val="none" w:sz="0" w:space="0" w:color="auto"/>
            <w:right w:val="none" w:sz="0" w:space="0" w:color="auto"/>
          </w:divBdr>
          <w:divsChild>
            <w:div w:id="1002396217">
              <w:marLeft w:val="0"/>
              <w:marRight w:val="0"/>
              <w:marTop w:val="0"/>
              <w:marBottom w:val="0"/>
              <w:divBdr>
                <w:top w:val="none" w:sz="0" w:space="0" w:color="auto"/>
                <w:left w:val="none" w:sz="0" w:space="0" w:color="auto"/>
                <w:bottom w:val="none" w:sz="0" w:space="0" w:color="auto"/>
                <w:right w:val="none" w:sz="0" w:space="0" w:color="auto"/>
              </w:divBdr>
              <w:divsChild>
                <w:div w:id="1680306889">
                  <w:marLeft w:val="0"/>
                  <w:marRight w:val="0"/>
                  <w:marTop w:val="0"/>
                  <w:marBottom w:val="0"/>
                  <w:divBdr>
                    <w:top w:val="none" w:sz="0" w:space="0" w:color="auto"/>
                    <w:left w:val="none" w:sz="0" w:space="0" w:color="auto"/>
                    <w:bottom w:val="none" w:sz="0" w:space="0" w:color="auto"/>
                    <w:right w:val="none" w:sz="0" w:space="0" w:color="auto"/>
                  </w:divBdr>
                  <w:divsChild>
                    <w:div w:id="920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2890">
      <w:bodyDiv w:val="1"/>
      <w:marLeft w:val="0"/>
      <w:marRight w:val="0"/>
      <w:marTop w:val="0"/>
      <w:marBottom w:val="0"/>
      <w:divBdr>
        <w:top w:val="none" w:sz="0" w:space="0" w:color="auto"/>
        <w:left w:val="none" w:sz="0" w:space="0" w:color="auto"/>
        <w:bottom w:val="none" w:sz="0" w:space="0" w:color="auto"/>
        <w:right w:val="none" w:sz="0" w:space="0" w:color="auto"/>
      </w:divBdr>
      <w:divsChild>
        <w:div w:id="1053119850">
          <w:marLeft w:val="0"/>
          <w:marRight w:val="0"/>
          <w:marTop w:val="0"/>
          <w:marBottom w:val="0"/>
          <w:divBdr>
            <w:top w:val="none" w:sz="0" w:space="0" w:color="auto"/>
            <w:left w:val="none" w:sz="0" w:space="0" w:color="auto"/>
            <w:bottom w:val="none" w:sz="0" w:space="0" w:color="auto"/>
            <w:right w:val="none" w:sz="0" w:space="0" w:color="auto"/>
          </w:divBdr>
          <w:divsChild>
            <w:div w:id="809443408">
              <w:marLeft w:val="0"/>
              <w:marRight w:val="0"/>
              <w:marTop w:val="0"/>
              <w:marBottom w:val="0"/>
              <w:divBdr>
                <w:top w:val="none" w:sz="0" w:space="0" w:color="auto"/>
                <w:left w:val="none" w:sz="0" w:space="0" w:color="auto"/>
                <w:bottom w:val="none" w:sz="0" w:space="0" w:color="auto"/>
                <w:right w:val="none" w:sz="0" w:space="0" w:color="auto"/>
              </w:divBdr>
              <w:divsChild>
                <w:div w:id="273945192">
                  <w:marLeft w:val="0"/>
                  <w:marRight w:val="0"/>
                  <w:marTop w:val="0"/>
                  <w:marBottom w:val="0"/>
                  <w:divBdr>
                    <w:top w:val="none" w:sz="0" w:space="0" w:color="auto"/>
                    <w:left w:val="none" w:sz="0" w:space="0" w:color="auto"/>
                    <w:bottom w:val="none" w:sz="0" w:space="0" w:color="auto"/>
                    <w:right w:val="none" w:sz="0" w:space="0" w:color="auto"/>
                  </w:divBdr>
                  <w:divsChild>
                    <w:div w:id="6889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7673">
      <w:bodyDiv w:val="1"/>
      <w:marLeft w:val="0"/>
      <w:marRight w:val="0"/>
      <w:marTop w:val="0"/>
      <w:marBottom w:val="0"/>
      <w:divBdr>
        <w:top w:val="none" w:sz="0" w:space="0" w:color="auto"/>
        <w:left w:val="none" w:sz="0" w:space="0" w:color="auto"/>
        <w:bottom w:val="none" w:sz="0" w:space="0" w:color="auto"/>
        <w:right w:val="none" w:sz="0" w:space="0" w:color="auto"/>
      </w:divBdr>
    </w:div>
    <w:div w:id="1699575780">
      <w:bodyDiv w:val="1"/>
      <w:marLeft w:val="0"/>
      <w:marRight w:val="0"/>
      <w:marTop w:val="0"/>
      <w:marBottom w:val="0"/>
      <w:divBdr>
        <w:top w:val="none" w:sz="0" w:space="0" w:color="auto"/>
        <w:left w:val="none" w:sz="0" w:space="0" w:color="auto"/>
        <w:bottom w:val="none" w:sz="0" w:space="0" w:color="auto"/>
        <w:right w:val="none" w:sz="0" w:space="0" w:color="auto"/>
      </w:divBdr>
    </w:div>
    <w:div w:id="1791588427">
      <w:bodyDiv w:val="1"/>
      <w:marLeft w:val="0"/>
      <w:marRight w:val="0"/>
      <w:marTop w:val="0"/>
      <w:marBottom w:val="0"/>
      <w:divBdr>
        <w:top w:val="none" w:sz="0" w:space="0" w:color="auto"/>
        <w:left w:val="none" w:sz="0" w:space="0" w:color="auto"/>
        <w:bottom w:val="none" w:sz="0" w:space="0" w:color="auto"/>
        <w:right w:val="none" w:sz="0" w:space="0" w:color="auto"/>
      </w:divBdr>
      <w:divsChild>
        <w:div w:id="1916931075">
          <w:marLeft w:val="0"/>
          <w:marRight w:val="0"/>
          <w:marTop w:val="0"/>
          <w:marBottom w:val="0"/>
          <w:divBdr>
            <w:top w:val="none" w:sz="0" w:space="0" w:color="auto"/>
            <w:left w:val="none" w:sz="0" w:space="0" w:color="auto"/>
            <w:bottom w:val="none" w:sz="0" w:space="0" w:color="auto"/>
            <w:right w:val="none" w:sz="0" w:space="0" w:color="auto"/>
          </w:divBdr>
          <w:divsChild>
            <w:div w:id="1549537381">
              <w:marLeft w:val="0"/>
              <w:marRight w:val="0"/>
              <w:marTop w:val="0"/>
              <w:marBottom w:val="0"/>
              <w:divBdr>
                <w:top w:val="none" w:sz="0" w:space="0" w:color="auto"/>
                <w:left w:val="none" w:sz="0" w:space="0" w:color="auto"/>
                <w:bottom w:val="none" w:sz="0" w:space="0" w:color="auto"/>
                <w:right w:val="none" w:sz="0" w:space="0" w:color="auto"/>
              </w:divBdr>
              <w:divsChild>
                <w:div w:id="8840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40946">
      <w:bodyDiv w:val="1"/>
      <w:marLeft w:val="0"/>
      <w:marRight w:val="0"/>
      <w:marTop w:val="0"/>
      <w:marBottom w:val="0"/>
      <w:divBdr>
        <w:top w:val="none" w:sz="0" w:space="0" w:color="auto"/>
        <w:left w:val="none" w:sz="0" w:space="0" w:color="auto"/>
        <w:bottom w:val="none" w:sz="0" w:space="0" w:color="auto"/>
        <w:right w:val="none" w:sz="0" w:space="0" w:color="auto"/>
      </w:divBdr>
    </w:div>
    <w:div w:id="20446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o.frachon@sho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smith@noaa.gov" TargetMode="External"/><Relationship Id="rId5" Type="http://schemas.openxmlformats.org/officeDocument/2006/relationships/webSettings" Target="webSettings.xml"/><Relationship Id="rId10" Type="http://schemas.openxmlformats.org/officeDocument/2006/relationships/hyperlink" Target="mailto:Douglas.brunt@dfo-mpo.gc.ca" TargetMode="External"/><Relationship Id="rId4" Type="http://schemas.openxmlformats.org/officeDocument/2006/relationships/settings" Target="settings.xml"/><Relationship Id="rId9" Type="http://schemas.openxmlformats.org/officeDocument/2006/relationships/hyperlink" Target="mailto:Shigeru.nakabayashi@jodc.go.jp"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6D1D-30D3-434B-BDBB-18E051C6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1420</Words>
  <Characters>7813</Characters>
  <Application>Microsoft Office Word</Application>
  <DocSecurity>0</DocSecurity>
  <Lines>65</Lines>
  <Paragraphs>18</Paragraphs>
  <ScaleCrop>false</ScaleCrop>
  <HeadingPairs>
    <vt:vector size="10" baseType="variant">
      <vt:variant>
        <vt:lpstr>Titolo</vt:lpstr>
      </vt:variant>
      <vt:variant>
        <vt:i4>1</vt:i4>
      </vt:variant>
      <vt:variant>
        <vt:lpstr>Título</vt:lpstr>
      </vt:variant>
      <vt:variant>
        <vt:i4>1</vt:i4>
      </vt:variant>
      <vt:variant>
        <vt:lpstr>Title</vt:lpstr>
      </vt:variant>
      <vt:variant>
        <vt:i4>1</vt:i4>
      </vt:variant>
      <vt:variant>
        <vt:lpstr>Titre</vt:lpstr>
      </vt:variant>
      <vt:variant>
        <vt:i4>1</vt:i4>
      </vt:variant>
      <vt:variant>
        <vt:lpstr>Konu Başlığı</vt:lpstr>
      </vt:variant>
      <vt:variant>
        <vt:i4>1</vt:i4>
      </vt:variant>
    </vt:vector>
  </HeadingPairs>
  <TitlesOfParts>
    <vt:vector size="5" baseType="lpstr">
      <vt:lpstr/>
      <vt:lpstr/>
      <vt:lpstr/>
      <vt:lpstr/>
      <vt:lpstr/>
    </vt:vector>
  </TitlesOfParts>
  <Company>SHOM</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esref gunsay</dc:creator>
  <cp:lastModifiedBy>Salvador Moreno</cp:lastModifiedBy>
  <cp:revision>3</cp:revision>
  <cp:lastPrinted>2019-06-14T06:58:00Z</cp:lastPrinted>
  <dcterms:created xsi:type="dcterms:W3CDTF">2019-12-19T08:44:00Z</dcterms:created>
  <dcterms:modified xsi:type="dcterms:W3CDTF">2019-12-21T12:00:00Z</dcterms:modified>
</cp:coreProperties>
</file>