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450D2" w14:textId="799374D4" w:rsidR="00771802" w:rsidRDefault="00771802" w:rsidP="0098259F">
      <w:pPr>
        <w:rPr>
          <w:b/>
          <w:bCs/>
          <w:lang w:val="en-US"/>
        </w:rPr>
      </w:pPr>
    </w:p>
    <w:p w14:paraId="6352B2A0" w14:textId="7E5C9791" w:rsidR="00E837DB" w:rsidRDefault="00E837DB" w:rsidP="00025746">
      <w:pPr>
        <w:ind w:firstLine="360"/>
        <w:jc w:val="center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63813">
        <w:rPr>
          <w:lang w:val="en-GB"/>
        </w:rPr>
        <w:t>Annex A to MBSHC CL</w:t>
      </w:r>
      <w:r>
        <w:rPr>
          <w:lang w:val="en-GB"/>
        </w:rPr>
        <w:t>3</w:t>
      </w:r>
      <w:r w:rsidRPr="00F63813">
        <w:rPr>
          <w:lang w:val="en-GB"/>
        </w:rPr>
        <w:t>/2024</w:t>
      </w:r>
    </w:p>
    <w:p w14:paraId="0C09279C" w14:textId="769B9D5B" w:rsidR="003F70C5" w:rsidRPr="00702C7C" w:rsidRDefault="00E837DB" w:rsidP="00E837DB">
      <w:pPr>
        <w:ind w:firstLine="360"/>
        <w:jc w:val="center"/>
        <w:rPr>
          <w:sz w:val="24"/>
          <w:szCs w:val="24"/>
          <w:lang w:val="en-GB"/>
        </w:rPr>
      </w:pPr>
      <w:r w:rsidRPr="00702C7C">
        <w:rPr>
          <w:sz w:val="24"/>
          <w:szCs w:val="24"/>
          <w:lang w:val="en-GB"/>
        </w:rPr>
        <w:t>List of Permanent Actions as updated and approved at MBSHC23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5"/>
        <w:gridCol w:w="1561"/>
        <w:gridCol w:w="8179"/>
        <w:gridCol w:w="1272"/>
        <w:gridCol w:w="1867"/>
      </w:tblGrid>
      <w:tr w:rsidR="0059602E" w:rsidRPr="0059602E" w14:paraId="5AAEF3A2" w14:textId="77777777" w:rsidTr="0059602E">
        <w:trPr>
          <w:trHeight w:val="20"/>
          <w:tblHeader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30EC91" w14:textId="3F706DFC" w:rsidR="0059602E" w:rsidRPr="0059602E" w:rsidRDefault="0059602E" w:rsidP="0059602E">
            <w:pPr>
              <w:spacing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Number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F028F5" w14:textId="77777777" w:rsidR="0059602E" w:rsidRPr="0059602E" w:rsidRDefault="0059602E" w:rsidP="0059602E">
            <w:pPr>
              <w:spacing w:line="240" w:lineRule="auto"/>
              <w:rPr>
                <w:b/>
                <w:bCs/>
                <w:lang w:val="en-GB"/>
              </w:rPr>
            </w:pPr>
            <w:r w:rsidRPr="0059602E">
              <w:rPr>
                <w:b/>
                <w:bCs/>
                <w:lang w:val="en-GB"/>
              </w:rPr>
              <w:t>Subject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5FEDEA" w14:textId="77777777" w:rsidR="0059602E" w:rsidRPr="0059602E" w:rsidRDefault="0059602E" w:rsidP="0059602E">
            <w:pPr>
              <w:spacing w:line="240" w:lineRule="auto"/>
              <w:rPr>
                <w:lang w:val="en-GB"/>
              </w:rPr>
            </w:pPr>
            <w:r w:rsidRPr="0059602E">
              <w:rPr>
                <w:b/>
                <w:bCs/>
                <w:lang w:val="en-GB"/>
              </w:rPr>
              <w:t xml:space="preserve">Action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36D23E" w14:textId="77777777" w:rsidR="0059602E" w:rsidRPr="0059602E" w:rsidRDefault="0059602E" w:rsidP="0059602E">
            <w:pPr>
              <w:spacing w:line="240" w:lineRule="auto"/>
              <w:rPr>
                <w:b/>
                <w:bCs/>
                <w:lang w:val="en-GB"/>
              </w:rPr>
            </w:pPr>
            <w:r w:rsidRPr="0059602E">
              <w:rPr>
                <w:b/>
                <w:bCs/>
                <w:lang w:val="en-GB"/>
              </w:rPr>
              <w:t>Who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C831F" w14:textId="77777777" w:rsidR="0059602E" w:rsidRPr="0059602E" w:rsidRDefault="0059602E" w:rsidP="0059602E">
            <w:pPr>
              <w:spacing w:line="240" w:lineRule="auto"/>
              <w:rPr>
                <w:b/>
                <w:bCs/>
                <w:lang w:val="en-GB"/>
              </w:rPr>
            </w:pPr>
            <w:r w:rsidRPr="0059602E">
              <w:rPr>
                <w:b/>
                <w:bCs/>
                <w:lang w:val="en-GB"/>
              </w:rPr>
              <w:t>Status/Comments</w:t>
            </w:r>
          </w:p>
        </w:tc>
      </w:tr>
      <w:tr w:rsidR="00E837DB" w:rsidRPr="005427F7" w14:paraId="531A09E2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709C" w14:textId="77777777" w:rsidR="0059602E" w:rsidRPr="005427F7" w:rsidRDefault="0059602E" w:rsidP="00A14E7B">
            <w:pPr>
              <w:pStyle w:val="NoSpacing"/>
            </w:pPr>
            <w:r w:rsidRPr="005427F7">
              <w:t>MBSHC PA/01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257DD396" w14:textId="27C3C70C" w:rsidR="0059602E" w:rsidRPr="005427F7" w:rsidRDefault="0059602E" w:rsidP="00A14E7B">
            <w:pPr>
              <w:pStyle w:val="NoSpacing"/>
            </w:pPr>
            <w:r>
              <w:t>INToGIS</w:t>
            </w:r>
            <w:r w:rsidR="00381F6E">
              <w:t xml:space="preserve"> II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DCD5" w14:textId="77777777" w:rsidR="0059602E" w:rsidRPr="005427F7" w:rsidRDefault="0059602E" w:rsidP="00A14E7B">
            <w:pPr>
              <w:pStyle w:val="NoSpacing"/>
            </w:pPr>
            <w:r w:rsidRPr="005427F7">
              <w:t>Member States are invited to take acknowledgement of the new</w:t>
            </w:r>
            <w:r>
              <w:t xml:space="preserve"> </w:t>
            </w:r>
            <w:r w:rsidRPr="005427F7">
              <w:t>IHO-GIS services progresses and to use INToGIS II. Login and</w:t>
            </w:r>
            <w:r>
              <w:t xml:space="preserve"> </w:t>
            </w:r>
            <w:r w:rsidRPr="005427F7">
              <w:t>password can be asked to IHO Secretariat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266D22F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4A1C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60449606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0ABB" w14:textId="77777777" w:rsidR="0059602E" w:rsidRPr="005427F7" w:rsidRDefault="0059602E" w:rsidP="00A14E7B">
            <w:pPr>
              <w:pStyle w:val="NoSpacing"/>
            </w:pPr>
            <w:r w:rsidRPr="005427F7">
              <w:t>MBSHC PA/02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1B7A636E" w14:textId="77777777" w:rsidR="0059602E" w:rsidRDefault="0059602E" w:rsidP="00A14E7B">
            <w:pPr>
              <w:pStyle w:val="NoSpacing"/>
            </w:pPr>
            <w:r>
              <w:t>IHO Pubs</w:t>
            </w:r>
          </w:p>
          <w:p w14:paraId="41452EFB" w14:textId="77777777" w:rsidR="0059602E" w:rsidRDefault="0059602E" w:rsidP="00A14E7B">
            <w:pPr>
              <w:pStyle w:val="NoSpacing"/>
            </w:pPr>
            <w:r>
              <w:t>C-55 and P-5</w:t>
            </w:r>
          </w:p>
          <w:p w14:paraId="1628199E" w14:textId="77777777" w:rsidR="0059602E" w:rsidRPr="005427F7" w:rsidRDefault="0059602E" w:rsidP="00A14E7B">
            <w:pPr>
              <w:pStyle w:val="NoSpacing"/>
            </w:pPr>
            <w:r>
              <w:t>“Yearbook”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9259" w14:textId="77777777" w:rsidR="0059602E" w:rsidRPr="005427F7" w:rsidRDefault="0059602E" w:rsidP="00A14E7B">
            <w:pPr>
              <w:pStyle w:val="NoSpacing"/>
            </w:pPr>
            <w:r w:rsidRPr="005427F7">
              <w:t>Member States are invited to submit information for updating C-</w:t>
            </w:r>
            <w:r>
              <w:t xml:space="preserve"> </w:t>
            </w:r>
            <w:r w:rsidRPr="005427F7">
              <w:t>55 and P-5 “Yearbook” annually (including reports of “no</w:t>
            </w:r>
            <w:r>
              <w:t xml:space="preserve"> </w:t>
            </w:r>
            <w:r w:rsidRPr="005427F7">
              <w:t>changes”) using the digital form stack for modifying/update (see</w:t>
            </w:r>
            <w:r>
              <w:t xml:space="preserve"> </w:t>
            </w:r>
            <w:r w:rsidRPr="005427F7">
              <w:t>IHO CL 20/2019)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8DA32E8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A834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727767C7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5ACB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2073E5D4" w14:textId="6633E0EE" w:rsidR="0059602E" w:rsidRPr="005427F7" w:rsidRDefault="0059602E" w:rsidP="00A14E7B">
            <w:pPr>
              <w:pStyle w:val="NoSpacing"/>
            </w:pPr>
            <w:r>
              <w:t xml:space="preserve">IHO </w:t>
            </w:r>
            <w:r w:rsidR="00381F6E">
              <w:t>O</w:t>
            </w:r>
            <w:r w:rsidRPr="0068396F">
              <w:t xml:space="preserve">nline </w:t>
            </w:r>
            <w:r w:rsidR="00381F6E">
              <w:t>F</w:t>
            </w:r>
            <w:r w:rsidRPr="0068396F">
              <w:t xml:space="preserve">orm </w:t>
            </w:r>
            <w:r w:rsidR="00381F6E">
              <w:t>S</w:t>
            </w:r>
            <w:r w:rsidRPr="0068396F">
              <w:t>ystem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C5D1" w14:textId="77777777" w:rsidR="0059602E" w:rsidRPr="005427F7" w:rsidRDefault="0059602E" w:rsidP="00A14E7B">
            <w:pPr>
              <w:pStyle w:val="NoSpacing"/>
            </w:pPr>
            <w:r w:rsidRPr="005427F7">
              <w:t>Member States are invited to respond to IHO CL using the digital</w:t>
            </w:r>
            <w:r>
              <w:t xml:space="preserve"> </w:t>
            </w:r>
            <w:r w:rsidRPr="005427F7">
              <w:t xml:space="preserve">form stack (see IHO CL 20/2019)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65A78E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017A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391441CC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41EA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354E9B54" w14:textId="6D6A90DE" w:rsidR="0059602E" w:rsidRPr="005427F7" w:rsidRDefault="0059602E" w:rsidP="00A14E7B">
            <w:pPr>
              <w:pStyle w:val="NoSpacing"/>
            </w:pPr>
            <w:r>
              <w:t xml:space="preserve">IALA RM </w:t>
            </w:r>
            <w:r w:rsidR="00381F6E">
              <w:t>T</w:t>
            </w:r>
            <w:r>
              <w:t>oolbox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BFE2" w14:textId="77777777" w:rsidR="0059602E" w:rsidRPr="005427F7" w:rsidRDefault="0059602E" w:rsidP="00A14E7B">
            <w:pPr>
              <w:pStyle w:val="NoSpacing"/>
            </w:pPr>
            <w:r w:rsidRPr="005427F7">
              <w:t xml:space="preserve">Member States </w:t>
            </w:r>
            <w:proofErr w:type="gramStart"/>
            <w:r w:rsidRPr="005427F7">
              <w:t>have to</w:t>
            </w:r>
            <w:proofErr w:type="gramEnd"/>
            <w:r w:rsidRPr="005427F7">
              <w:t xml:space="preserve"> be aware of IALA risk management</w:t>
            </w:r>
            <w:r>
              <w:t xml:space="preserve"> </w:t>
            </w:r>
            <w:r w:rsidRPr="005427F7">
              <w:t xml:space="preserve">toolbox endorsed by IMO in SN 1/Circ. 296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32F6D3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DF8F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5CCA6396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0893" w14:textId="77777777" w:rsidR="0059602E" w:rsidRPr="005427F7" w:rsidRDefault="0059602E" w:rsidP="00A14E7B">
            <w:pPr>
              <w:pStyle w:val="NoSpacing"/>
            </w:pPr>
            <w:r w:rsidRPr="005427F7">
              <w:t>MBSHC PA/05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2FAEC499" w14:textId="77777777" w:rsidR="0059602E" w:rsidRPr="005427F7" w:rsidRDefault="0059602E" w:rsidP="00A14E7B">
            <w:pPr>
              <w:pStyle w:val="NoSpacing"/>
            </w:pPr>
            <w:r>
              <w:t>Tidal Data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E936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densify sea level networks</w:t>
            </w:r>
            <w:r>
              <w:t xml:space="preserve"> </w:t>
            </w:r>
            <w:r w:rsidRPr="005427F7">
              <w:t>and share real-time sea-level data relevant to tsunami detection</w:t>
            </w:r>
            <w:r>
              <w:t xml:space="preserve"> </w:t>
            </w:r>
            <w:r w:rsidRPr="005427F7">
              <w:t>and alerts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6D7AF54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2D3D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29ABCB7E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56F2" w14:textId="77777777" w:rsidR="0059602E" w:rsidRPr="005427F7" w:rsidRDefault="0059602E" w:rsidP="00A14E7B">
            <w:pPr>
              <w:pStyle w:val="NoSpacing"/>
            </w:pPr>
            <w:r w:rsidRPr="005427F7">
              <w:t>MBSHC PA/06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5A235981" w14:textId="77777777" w:rsidR="0059602E" w:rsidRDefault="0059602E" w:rsidP="00A14E7B">
            <w:pPr>
              <w:pStyle w:val="NoSpacing"/>
            </w:pPr>
            <w:r>
              <w:t>Maritime Related Projects</w:t>
            </w:r>
          </w:p>
          <w:p w14:paraId="192D90AB" w14:textId="77777777" w:rsidR="0059602E" w:rsidRPr="005427F7" w:rsidRDefault="0059602E" w:rsidP="00A14E7B">
            <w:pPr>
              <w:pStyle w:val="NoSpacing"/>
            </w:pPr>
            <w:r>
              <w:t>IENWG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ABB1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check and update, on a</w:t>
            </w:r>
            <w:r>
              <w:t xml:space="preserve"> </w:t>
            </w:r>
            <w:r w:rsidRPr="005427F7">
              <w:t>regular basis, the list of maritime related events, projects, and</w:t>
            </w:r>
            <w:r>
              <w:t xml:space="preserve"> </w:t>
            </w:r>
            <w:r w:rsidRPr="005427F7">
              <w:t>tenders of interest for MBSHC</w:t>
            </w:r>
            <w:r>
              <w:t xml:space="preserve">. </w:t>
            </w:r>
            <w:r w:rsidRPr="005427F7">
              <w:t>Member States to inform IENWG focal point for MBSHC</w:t>
            </w:r>
            <w:r>
              <w:t xml:space="preserve"> </w:t>
            </w:r>
            <w:r w:rsidRPr="005427F7">
              <w:t>(Greece) and the MBSHC Chair of their intention to eventually</w:t>
            </w:r>
            <w:r>
              <w:t xml:space="preserve"> </w:t>
            </w:r>
            <w:r w:rsidRPr="005427F7">
              <w:t>participate to an event or project (see ac</w:t>
            </w:r>
            <w:r>
              <w:t>t.</w:t>
            </w:r>
            <w:r w:rsidRPr="005427F7">
              <w:t xml:space="preserve"> MBSHC20/11-12).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1AE684A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A132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13878E02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6077" w14:textId="77777777" w:rsidR="0059602E" w:rsidRPr="005427F7" w:rsidRDefault="0059602E" w:rsidP="00A14E7B">
            <w:pPr>
              <w:pStyle w:val="NoSpacing"/>
            </w:pPr>
            <w:r w:rsidRPr="005427F7">
              <w:t>MBSHC PA/07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587E7EC6" w14:textId="77777777" w:rsidR="0059602E" w:rsidRDefault="0059602E" w:rsidP="00A14E7B">
            <w:pPr>
              <w:pStyle w:val="NoSpacing"/>
            </w:pPr>
            <w:r>
              <w:t>CIESM</w:t>
            </w:r>
          </w:p>
          <w:p w14:paraId="294377D8" w14:textId="38C327E4" w:rsidR="00065DD8" w:rsidRPr="005427F7" w:rsidRDefault="00065DD8" w:rsidP="00A14E7B">
            <w:pPr>
              <w:pStyle w:val="NoSpacing"/>
            </w:pPr>
            <w:r>
              <w:t>Oceanography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5F4E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liaise with CIESM under the</w:t>
            </w:r>
            <w:r>
              <w:t xml:space="preserve"> </w:t>
            </w:r>
            <w:r w:rsidRPr="005427F7">
              <w:t>IHO-CIESM MoU umbrella, for the benefit of the oceanography</w:t>
            </w:r>
            <w:r>
              <w:t xml:space="preserve"> </w:t>
            </w:r>
            <w:r w:rsidRPr="005427F7">
              <w:t>in the Mediterranean Sea and participate to CIESM events.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BA9F1E7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F818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42A94751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9BAC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38E3F11F" w14:textId="77777777" w:rsidR="0059602E" w:rsidRPr="005427F7" w:rsidRDefault="0059602E" w:rsidP="00A14E7B">
            <w:pPr>
              <w:pStyle w:val="NoSpacing"/>
            </w:pPr>
            <w:r>
              <w:t>MSDI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1B9" w14:textId="77777777" w:rsidR="0059602E" w:rsidRPr="005427F7" w:rsidRDefault="0059602E" w:rsidP="00A14E7B">
            <w:pPr>
              <w:pStyle w:val="NoSpacing"/>
            </w:pPr>
            <w:r w:rsidRPr="005427F7">
              <w:t xml:space="preserve">Member States are encouraged to inform MSDI Ambassador </w:t>
            </w:r>
            <w:r>
              <w:t>(</w:t>
            </w:r>
            <w:r w:rsidRPr="005427F7">
              <w:t xml:space="preserve">Italy) about National MSDI initiatives.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D02A96B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4516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66A9E23A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BEAC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709CBAED" w14:textId="77777777" w:rsidR="0059602E" w:rsidRPr="005427F7" w:rsidRDefault="0059602E" w:rsidP="00A14E7B">
            <w:pPr>
              <w:pStyle w:val="NoSpacing"/>
            </w:pPr>
            <w:r>
              <w:t>ENC Overlaps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0C69" w14:textId="77777777" w:rsidR="0059602E" w:rsidRPr="005427F7" w:rsidRDefault="0059602E" w:rsidP="00A14E7B">
            <w:pPr>
              <w:pStyle w:val="NoSpacing"/>
            </w:pPr>
            <w:r w:rsidRPr="005427F7">
              <w:t>Concerned Member States to liaise bilaterally to resolve ENC</w:t>
            </w:r>
            <w:r>
              <w:t xml:space="preserve"> </w:t>
            </w:r>
            <w:r w:rsidRPr="005427F7">
              <w:t xml:space="preserve">overlapping, keeping the MBSHC Chair informed.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434EACB" w14:textId="77777777" w:rsidR="0059602E" w:rsidRPr="005427F7" w:rsidRDefault="0059602E" w:rsidP="00A14E7B">
            <w:pPr>
              <w:pStyle w:val="NoSpacing"/>
            </w:pPr>
            <w:r w:rsidRPr="005427F7">
              <w:t>All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2EA2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51496751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C20F" w14:textId="77777777" w:rsidR="0059602E" w:rsidRPr="005427F7" w:rsidRDefault="0059602E" w:rsidP="00A14E7B">
            <w:pPr>
              <w:pStyle w:val="NoSpacing"/>
            </w:pPr>
            <w:r>
              <w:t>MB</w:t>
            </w:r>
            <w:r w:rsidRPr="005427F7">
              <w:t xml:space="preserve">SHC PA/10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4E197E02" w14:textId="77777777" w:rsidR="0059602E" w:rsidRPr="005427F7" w:rsidRDefault="0059602E" w:rsidP="00A14E7B">
            <w:pPr>
              <w:pStyle w:val="NoSpacing"/>
            </w:pPr>
            <w:r w:rsidRPr="00DC226E">
              <w:t>ENC Overlaps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F449" w14:textId="77777777" w:rsidR="0059602E" w:rsidRPr="005427F7" w:rsidRDefault="0059602E" w:rsidP="00A14E7B">
            <w:pPr>
              <w:pStyle w:val="NoSpacing"/>
            </w:pPr>
            <w:r w:rsidRPr="005427F7">
              <w:t>MBSHC Chair to inform IRCC on the results achieved at regional</w:t>
            </w:r>
            <w:r>
              <w:t xml:space="preserve"> </w:t>
            </w:r>
            <w:r w:rsidRPr="005427F7">
              <w:t>level on ENC overlapping issues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9BF5B08" w14:textId="77777777" w:rsidR="0059602E" w:rsidRPr="005427F7" w:rsidRDefault="0059602E" w:rsidP="00A14E7B">
            <w:pPr>
              <w:pStyle w:val="NoSpacing"/>
            </w:pPr>
            <w:r w:rsidRPr="005427F7">
              <w:t>MBSHC</w:t>
            </w:r>
            <w:r>
              <w:t xml:space="preserve"> </w:t>
            </w:r>
            <w:r w:rsidRPr="005427F7">
              <w:t>Chair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F277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08E93473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6F16" w14:textId="77777777" w:rsidR="0059602E" w:rsidRPr="005427F7" w:rsidRDefault="0059602E" w:rsidP="00A14E7B">
            <w:pPr>
              <w:pStyle w:val="NoSpacing"/>
            </w:pPr>
            <w:r w:rsidRPr="005427F7">
              <w:t>MBSHC PA/11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066B5E9C" w14:textId="77777777" w:rsidR="0059602E" w:rsidRPr="005427F7" w:rsidRDefault="0059602E" w:rsidP="00A14E7B">
            <w:pPr>
              <w:pStyle w:val="NoSpacing"/>
            </w:pPr>
            <w:r>
              <w:t>Port Priority List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4250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use the IHO online port</w:t>
            </w:r>
            <w:r>
              <w:t xml:space="preserve"> </w:t>
            </w:r>
            <w:r w:rsidRPr="005427F7">
              <w:t>database to update their port priority list and report to the</w:t>
            </w:r>
            <w:r>
              <w:t xml:space="preserve"> </w:t>
            </w:r>
            <w:r w:rsidRPr="005427F7">
              <w:t>Regional Charting Coordinator (RCC)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411E761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58CA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34149BF5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C504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5ACC0EDB" w14:textId="77777777" w:rsidR="0059602E" w:rsidRPr="005427F7" w:rsidRDefault="0059602E" w:rsidP="00A14E7B">
            <w:pPr>
              <w:pStyle w:val="NoSpacing"/>
              <w:rPr>
                <w:i/>
                <w:iCs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D0AE" w14:textId="77777777" w:rsidR="0059602E" w:rsidRPr="005427F7" w:rsidRDefault="0059602E" w:rsidP="00A14E7B">
            <w:pPr>
              <w:pStyle w:val="NoSpacing"/>
            </w:pPr>
            <w:r w:rsidRPr="005427F7">
              <w:rPr>
                <w:i/>
                <w:iCs/>
              </w:rPr>
              <w:t>Left blank intentionally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  <w:hideMark/>
          </w:tcPr>
          <w:p w14:paraId="26EC9D59" w14:textId="77777777" w:rsidR="0059602E" w:rsidRPr="005427F7" w:rsidRDefault="0059602E" w:rsidP="00A14E7B">
            <w:pPr>
              <w:pStyle w:val="NoSpacing"/>
            </w:pPr>
          </w:p>
        </w:tc>
        <w:tc>
          <w:tcPr>
            <w:tcW w:w="1430" w:type="dxa"/>
            <w:vAlign w:val="center"/>
          </w:tcPr>
          <w:p w14:paraId="5E5D15A7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03344478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DC40" w14:textId="77777777" w:rsidR="0059602E" w:rsidRPr="005427F7" w:rsidRDefault="0059602E" w:rsidP="00A14E7B">
            <w:pPr>
              <w:pStyle w:val="NoSpacing"/>
            </w:pPr>
            <w:r w:rsidRPr="005427F7">
              <w:t>MBSHC PA/13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16A1395A" w14:textId="77777777" w:rsidR="0059602E" w:rsidRPr="005427F7" w:rsidRDefault="0059602E" w:rsidP="00A14E7B">
            <w:pPr>
              <w:pStyle w:val="NoSpacing"/>
            </w:pPr>
            <w:r>
              <w:t>RENCs ENC Overlaps Support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EAB7" w14:textId="77777777" w:rsidR="0059602E" w:rsidRPr="005427F7" w:rsidRDefault="0059602E" w:rsidP="00A14E7B">
            <w:pPr>
              <w:pStyle w:val="NoSpacing"/>
            </w:pPr>
            <w:r w:rsidRPr="005427F7">
              <w:t xml:space="preserve">RENCs are kindly invited to provide periodically a report </w:t>
            </w:r>
            <w:proofErr w:type="gramStart"/>
            <w:r w:rsidRPr="005427F7">
              <w:t>in order</w:t>
            </w:r>
            <w:r>
              <w:t xml:space="preserve"> </w:t>
            </w:r>
            <w:r w:rsidRPr="005427F7">
              <w:t>to</w:t>
            </w:r>
            <w:proofErr w:type="gramEnd"/>
            <w:r w:rsidRPr="005427F7">
              <w:t xml:space="preserve"> collect the evaluation of risk level on ENC overlaps from the</w:t>
            </w:r>
            <w:r>
              <w:t xml:space="preserve"> </w:t>
            </w:r>
            <w:r w:rsidRPr="005427F7">
              <w:t>MS in the frame of the WENDWG risk assessment.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365116" w14:textId="77777777" w:rsidR="0059602E" w:rsidRPr="005427F7" w:rsidRDefault="0059602E" w:rsidP="00A14E7B">
            <w:pPr>
              <w:pStyle w:val="NoSpacing"/>
            </w:pPr>
            <w:r w:rsidRPr="005427F7">
              <w:t>RENCs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9455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6F3C210F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5CEE" w14:textId="77777777" w:rsidR="0059602E" w:rsidRPr="005427F7" w:rsidRDefault="0059602E" w:rsidP="00A14E7B">
            <w:pPr>
              <w:pStyle w:val="NoSpacing"/>
            </w:pPr>
            <w:r w:rsidRPr="005427F7">
              <w:lastRenderedPageBreak/>
              <w:t>MBSHC PA/14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5880D150" w14:textId="77777777" w:rsidR="0059602E" w:rsidRPr="005427F7" w:rsidRDefault="0059602E" w:rsidP="00A14E7B">
            <w:pPr>
              <w:pStyle w:val="NoSpacing"/>
            </w:pPr>
            <w:r>
              <w:t>MS ENC Overlaps Risk Assessment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DA20" w14:textId="77777777" w:rsidR="0059602E" w:rsidRDefault="0059602E" w:rsidP="00A14E7B">
            <w:pPr>
              <w:pStyle w:val="NoSpacing"/>
            </w:pPr>
            <w:r w:rsidRPr="005427F7">
              <w:t>Member States to use the RENCs’ template report to provide the</w:t>
            </w:r>
            <w:r>
              <w:t xml:space="preserve"> </w:t>
            </w:r>
            <w:r w:rsidRPr="005427F7">
              <w:t>RCC with:</w:t>
            </w:r>
            <w:r>
              <w:t xml:space="preserve"> </w:t>
            </w:r>
          </w:p>
          <w:p w14:paraId="2CBEEC38" w14:textId="7A0E6760" w:rsidR="0059602E" w:rsidRDefault="0059602E" w:rsidP="00A14E7B">
            <w:pPr>
              <w:pStyle w:val="NoSpacing"/>
            </w:pPr>
            <w:r w:rsidRPr="005427F7">
              <w:t>- Evaluation of risk level on the most critical ENC overlaps</w:t>
            </w:r>
            <w:r>
              <w:t xml:space="preserve"> </w:t>
            </w:r>
            <w:r w:rsidRPr="005427F7">
              <w:t>based on the IC-ENC risk assessment regional database (level beyond or equal to MEDIUM).</w:t>
            </w:r>
          </w:p>
          <w:p w14:paraId="3378FE15" w14:textId="77777777" w:rsidR="0059602E" w:rsidRPr="005427F7" w:rsidRDefault="0059602E" w:rsidP="00A14E7B">
            <w:pPr>
              <w:pStyle w:val="NoSpacing"/>
            </w:pPr>
            <w:r w:rsidRPr="005427F7">
              <w:t>- Their technical views and comments, in compliance with</w:t>
            </w:r>
            <w:r>
              <w:t xml:space="preserve"> </w:t>
            </w:r>
            <w:r w:rsidRPr="005427F7">
              <w:t>IHO Publication S-11 PartA.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B82805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3118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5199D5A9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3741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0BCDADBB" w14:textId="77777777" w:rsidR="0059602E" w:rsidRPr="005427F7" w:rsidRDefault="0059602E" w:rsidP="00A14E7B">
            <w:pPr>
              <w:pStyle w:val="NoSpacing"/>
            </w:pPr>
            <w:r>
              <w:t>ICCWG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8ECF" w14:textId="77777777" w:rsidR="0059602E" w:rsidRPr="005427F7" w:rsidRDefault="0059602E" w:rsidP="00A14E7B">
            <w:pPr>
              <w:pStyle w:val="NoSpacing"/>
            </w:pPr>
            <w:r w:rsidRPr="005427F7">
              <w:t xml:space="preserve">RCC to disseminate the draft minutes of the ICCWG.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099E06" w14:textId="77777777" w:rsidR="0059602E" w:rsidRPr="005427F7" w:rsidRDefault="0059602E" w:rsidP="00A14E7B">
            <w:pPr>
              <w:pStyle w:val="NoSpacing"/>
            </w:pPr>
            <w:r w:rsidRPr="005427F7">
              <w:t>RCC</w:t>
            </w: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2BB6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3EA2B2C9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87A5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30AE70DA" w14:textId="77777777" w:rsidR="0059602E" w:rsidRPr="005427F7" w:rsidRDefault="0059602E" w:rsidP="00A14E7B">
            <w:pPr>
              <w:pStyle w:val="NoSpacing"/>
            </w:pPr>
            <w:r>
              <w:t>Capacity Building Needs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1F9B" w14:textId="77777777" w:rsidR="0059602E" w:rsidRPr="005427F7" w:rsidRDefault="0059602E" w:rsidP="00A14E7B">
            <w:pPr>
              <w:pStyle w:val="NoSpacing"/>
            </w:pPr>
            <w:r w:rsidRPr="005427F7">
              <w:t xml:space="preserve">Member States </w:t>
            </w:r>
            <w:proofErr w:type="gramStart"/>
            <w:r w:rsidRPr="005427F7">
              <w:t>have to</w:t>
            </w:r>
            <w:proofErr w:type="gramEnd"/>
            <w:r w:rsidRPr="005427F7">
              <w:t xml:space="preserve"> provide their needs in terms of CB to the</w:t>
            </w:r>
            <w:r>
              <w:t xml:space="preserve"> </w:t>
            </w:r>
            <w:r w:rsidRPr="005427F7">
              <w:t xml:space="preserve">CB Coordinator (Turkey), copy to the MBSHC Chair.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C550EE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8937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34371E8A" w14:textId="77777777" w:rsidTr="00702C7C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9E84" w14:textId="77777777" w:rsidR="0059602E" w:rsidRPr="005427F7" w:rsidRDefault="0059602E" w:rsidP="00A14E7B">
            <w:pPr>
              <w:pStyle w:val="NoSpacing"/>
            </w:pPr>
            <w:r w:rsidRPr="005427F7">
              <w:t>MBSHC PA/17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731AEB18" w14:textId="77777777" w:rsidR="0059602E" w:rsidRPr="005427F7" w:rsidRDefault="0059602E" w:rsidP="00A14E7B">
            <w:pPr>
              <w:pStyle w:val="NoSpacing"/>
            </w:pPr>
            <w:r>
              <w:t>MS Check of INToGIS Metadata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D9F3" w14:textId="77777777" w:rsidR="0059602E" w:rsidRPr="005427F7" w:rsidRDefault="0059602E" w:rsidP="00A14E7B">
            <w:pPr>
              <w:pStyle w:val="NoSpacing"/>
            </w:pPr>
            <w:r w:rsidRPr="005427F7">
              <w:t>Member States to check and, if necessary, update their INT</w:t>
            </w:r>
            <w:r>
              <w:t xml:space="preserve"> </w:t>
            </w:r>
            <w:r w:rsidRPr="005427F7">
              <w:t>charts metadata (chart limit, title, year, format, scale, etc…)</w:t>
            </w:r>
            <w:r>
              <w:t xml:space="preserve"> </w:t>
            </w:r>
            <w:r w:rsidRPr="005427F7">
              <w:t>included in the region F INT Catalogue, using their INToGIS</w:t>
            </w:r>
            <w:r>
              <w:t xml:space="preserve"> </w:t>
            </w:r>
            <w:r w:rsidRPr="005427F7">
              <w:t>national account.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EB3523" w14:textId="17F5C113" w:rsidR="0059602E" w:rsidRPr="005427F7" w:rsidRDefault="0059602E" w:rsidP="00A14E7B">
            <w:pPr>
              <w:pStyle w:val="NoSpacing"/>
            </w:pPr>
            <w:r w:rsidRPr="005427F7">
              <w:t>INT</w:t>
            </w:r>
            <w:r>
              <w:t xml:space="preserve"> </w:t>
            </w:r>
            <w:r w:rsidR="00381F6E">
              <w:t xml:space="preserve">Chart </w:t>
            </w:r>
            <w:r w:rsidRPr="005427F7">
              <w:t>producers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7534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0A3C98AF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5505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7F198631" w14:textId="77777777" w:rsidR="0059602E" w:rsidRPr="005427F7" w:rsidRDefault="0059602E" w:rsidP="00A14E7B">
            <w:pPr>
              <w:pStyle w:val="NoSpacing"/>
            </w:pPr>
            <w:r>
              <w:t>ICCWG, New INT Charts Producers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FCCA" w14:textId="77777777" w:rsidR="0059602E" w:rsidRPr="005427F7" w:rsidRDefault="0059602E" w:rsidP="00A14E7B">
            <w:pPr>
              <w:pStyle w:val="NoSpacing"/>
            </w:pPr>
            <w:r w:rsidRPr="005427F7">
              <w:t>New INT Charts producers to provide RCC with the INT charts for</w:t>
            </w:r>
            <w:r>
              <w:t xml:space="preserve"> </w:t>
            </w:r>
            <w:r w:rsidRPr="005427F7">
              <w:t>technical review by ICCWG.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1795F2" w14:textId="77777777" w:rsidR="0059602E" w:rsidRPr="005427F7" w:rsidRDefault="0059602E" w:rsidP="00A14E7B">
            <w:pPr>
              <w:pStyle w:val="NoSpacing"/>
            </w:pPr>
            <w:r w:rsidRPr="005427F7">
              <w:t>New INT</w:t>
            </w:r>
            <w:r>
              <w:t xml:space="preserve"> </w:t>
            </w:r>
            <w:r w:rsidRPr="005427F7">
              <w:t>producers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201C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0AB4707A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2221" w14:textId="77777777" w:rsidR="0059602E" w:rsidRPr="005427F7" w:rsidRDefault="0059602E" w:rsidP="00A14E7B">
            <w:pPr>
              <w:pStyle w:val="NoSpacing"/>
            </w:pPr>
            <w:r w:rsidRPr="005427F7">
              <w:t>MBSHC PA/19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6CBC1A70" w14:textId="77777777" w:rsidR="0059602E" w:rsidRPr="005427F7" w:rsidRDefault="0059602E" w:rsidP="00A14E7B">
            <w:pPr>
              <w:pStyle w:val="NoSpacing"/>
            </w:pPr>
            <w:r>
              <w:t xml:space="preserve">MBSHC24 Submissions 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1B59" w14:textId="77777777" w:rsidR="0059602E" w:rsidRPr="005427F7" w:rsidRDefault="0059602E" w:rsidP="00A14E7B">
            <w:pPr>
              <w:pStyle w:val="NoSpacing"/>
            </w:pPr>
            <w:r w:rsidRPr="005427F7">
              <w:t>Member States to send their documents (submission papers,</w:t>
            </w:r>
            <w:r>
              <w:t xml:space="preserve"> </w:t>
            </w:r>
            <w:r w:rsidRPr="005427F7">
              <w:t>report, presentation) to the Chair, with a copy to the IHO</w:t>
            </w:r>
            <w:r>
              <w:t xml:space="preserve"> </w:t>
            </w:r>
            <w:r w:rsidRPr="005427F7">
              <w:t>Secretariat, prior to meetings of MBSHC (iaw MBSHC Statutes).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D8E51A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B9AA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24CB43B2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9C66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3ABBCD5C" w14:textId="77777777" w:rsidR="0059602E" w:rsidRPr="005427F7" w:rsidRDefault="0059602E" w:rsidP="00A14E7B">
            <w:pPr>
              <w:pStyle w:val="NoSpacing"/>
            </w:pPr>
            <w:r>
              <w:t>CATZOC MS to Populate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0B8D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populate the CATZOC values</w:t>
            </w:r>
            <w:r>
              <w:t xml:space="preserve"> </w:t>
            </w:r>
            <w:r w:rsidRPr="005427F7">
              <w:t xml:space="preserve">(1 to 5) of their ENCs cells.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4204DB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F6DD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7257CB5F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BB1D" w14:textId="77777777" w:rsidR="0059602E" w:rsidRPr="005427F7" w:rsidRDefault="0059602E" w:rsidP="00A14E7B">
            <w:pPr>
              <w:pStyle w:val="NoSpacing"/>
            </w:pPr>
            <w:r w:rsidRPr="005427F7">
              <w:t>MBSHC PA/21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42470AE5" w14:textId="77777777" w:rsidR="0059602E" w:rsidRPr="005427F7" w:rsidRDefault="0059602E" w:rsidP="00A14E7B">
            <w:pPr>
              <w:pStyle w:val="NoSpacing"/>
            </w:pPr>
            <w:r>
              <w:t>IH Review Contribution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D858" w14:textId="77777777" w:rsidR="0059602E" w:rsidRPr="005427F7" w:rsidRDefault="0059602E" w:rsidP="00A14E7B">
            <w:pPr>
              <w:pStyle w:val="NoSpacing"/>
            </w:pPr>
            <w:r w:rsidRPr="005427F7">
              <w:t>Member States are invited to contribute to the International</w:t>
            </w:r>
            <w:r>
              <w:t xml:space="preserve"> </w:t>
            </w:r>
            <w:r w:rsidRPr="005427F7">
              <w:t>Hydrographic Review as an important means of sharing</w:t>
            </w:r>
            <w:r>
              <w:t xml:space="preserve"> </w:t>
            </w:r>
            <w:r w:rsidRPr="005427F7">
              <w:t>information on their activities and developments.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6D8A0C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E5A5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1B0D00DC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F2F3" w14:textId="77777777" w:rsidR="0059602E" w:rsidRPr="005427F7" w:rsidRDefault="0059602E" w:rsidP="00A14E7B">
            <w:pPr>
              <w:pStyle w:val="NoSpacing"/>
            </w:pPr>
            <w:r w:rsidRPr="005427F7">
              <w:t>MBSHC PA/22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0A721C70" w14:textId="4888838B" w:rsidR="0059602E" w:rsidRDefault="0059602E" w:rsidP="00A14E7B">
            <w:pPr>
              <w:pStyle w:val="NoSpacing"/>
            </w:pPr>
            <w:r>
              <w:t xml:space="preserve">CB </w:t>
            </w:r>
            <w:r w:rsidR="00065DD8">
              <w:t>P</w:t>
            </w:r>
            <w:r>
              <w:t>rogramme</w:t>
            </w:r>
          </w:p>
          <w:p w14:paraId="56B9A517" w14:textId="77777777" w:rsidR="0059602E" w:rsidRPr="005427F7" w:rsidRDefault="0059602E" w:rsidP="00A14E7B">
            <w:pPr>
              <w:pStyle w:val="NoSpacing"/>
            </w:pPr>
            <w:r>
              <w:t>e-Learning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4A3C" w14:textId="77777777" w:rsidR="0059602E" w:rsidRPr="005427F7" w:rsidRDefault="0059602E" w:rsidP="00A14E7B">
            <w:pPr>
              <w:pStyle w:val="NoSpacing"/>
            </w:pPr>
            <w:r w:rsidRPr="005427F7">
              <w:t>Member States are invited to follow and evaluate the possibility</w:t>
            </w:r>
            <w:r>
              <w:t xml:space="preserve"> </w:t>
            </w:r>
            <w:r w:rsidRPr="005427F7">
              <w:t>to contribute to the CB Programme and providing e-learning</w:t>
            </w:r>
            <w:r>
              <w:t xml:space="preserve"> </w:t>
            </w:r>
            <w:r w:rsidRPr="005427F7">
              <w:t>contents to share their resources and experiences to the e</w:t>
            </w:r>
            <w:r>
              <w:t xml:space="preserve"> </w:t>
            </w:r>
            <w:r w:rsidRPr="005427F7">
              <w:t>Learning PT.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CFA256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7C1C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411FE0D0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C4B9" w14:textId="77777777" w:rsidR="0059602E" w:rsidRPr="005427F7" w:rsidRDefault="0059602E" w:rsidP="00A14E7B">
            <w:pPr>
              <w:pStyle w:val="NoSpacing"/>
            </w:pPr>
            <w:r w:rsidRPr="005427F7">
              <w:t>MBSHC PA/23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1C15CE04" w14:textId="77777777" w:rsidR="0059602E" w:rsidRPr="005427F7" w:rsidRDefault="0059602E" w:rsidP="00A14E7B">
            <w:pPr>
              <w:pStyle w:val="NoSpacing"/>
            </w:pPr>
            <w:r>
              <w:t xml:space="preserve">Nipon Found GEBCO-Seabed2030 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3D02" w14:textId="49FCB9F0" w:rsidR="0059602E" w:rsidRPr="005427F7" w:rsidRDefault="0059602E" w:rsidP="00A14E7B">
            <w:pPr>
              <w:pStyle w:val="NoSpacing"/>
            </w:pPr>
            <w:r w:rsidRPr="005427F7">
              <w:t>Members States are invited to deepe</w:t>
            </w:r>
            <w:r>
              <w:t>r</w:t>
            </w:r>
            <w:r w:rsidRPr="005427F7">
              <w:t xml:space="preserve"> cooperation and support</w:t>
            </w:r>
            <w:r>
              <w:t xml:space="preserve"> </w:t>
            </w:r>
            <w:r w:rsidRPr="005427F7">
              <w:t xml:space="preserve">to the Nippon Foundation GEBCO-Sabed2030 </w:t>
            </w:r>
            <w:proofErr w:type="gramStart"/>
            <w:r w:rsidRPr="005427F7">
              <w:t>project, and</w:t>
            </w:r>
            <w:proofErr w:type="gramEnd"/>
            <w:r>
              <w:t xml:space="preserve"> </w:t>
            </w:r>
            <w:r w:rsidRPr="005427F7">
              <w:t>encourage to make more detailed and comprehensive seabed</w:t>
            </w:r>
            <w:r>
              <w:t xml:space="preserve"> </w:t>
            </w:r>
            <w:r w:rsidRPr="005427F7">
              <w:t>data available to GEBCO grids (vital need to map the entire</w:t>
            </w:r>
            <w:r>
              <w:t xml:space="preserve"> </w:t>
            </w:r>
            <w:r w:rsidRPr="005427F7">
              <w:t>seabed)</w:t>
            </w:r>
            <w:r w:rsidR="00381F6E"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6A2921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A1B1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48101533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5969" w14:textId="77777777" w:rsidR="0059602E" w:rsidRPr="005427F7" w:rsidRDefault="0059602E" w:rsidP="00A14E7B">
            <w:pPr>
              <w:pStyle w:val="NoSpacing"/>
            </w:pPr>
            <w:r w:rsidRPr="005427F7">
              <w:t>MBSHC PA/24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4B7306C8" w14:textId="77777777" w:rsidR="0059602E" w:rsidRDefault="0059602E" w:rsidP="00A14E7B">
            <w:pPr>
              <w:pStyle w:val="NoSpacing"/>
            </w:pPr>
            <w:r>
              <w:t>IHO-CIESM Agreement,</w:t>
            </w:r>
          </w:p>
          <w:p w14:paraId="16D80764" w14:textId="77777777" w:rsidR="0059602E" w:rsidRPr="005427F7" w:rsidRDefault="0059602E" w:rsidP="00A14E7B">
            <w:pPr>
              <w:pStyle w:val="NoSpacing"/>
            </w:pPr>
            <w:r>
              <w:t>MS active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4DE8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have an active role under the</w:t>
            </w:r>
            <w:r>
              <w:t xml:space="preserve"> </w:t>
            </w:r>
            <w:r w:rsidRPr="005427F7">
              <w:t>umbrella of the renewed IHO-CIESM (International commission</w:t>
            </w:r>
            <w:r>
              <w:t xml:space="preserve"> </w:t>
            </w:r>
            <w:r w:rsidRPr="005427F7">
              <w:t>for the scientific exploration of the Mediterranean Sea)</w:t>
            </w:r>
            <w:r>
              <w:t xml:space="preserve"> </w:t>
            </w:r>
            <w:r w:rsidRPr="005427F7">
              <w:t>Agreement.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8D9C188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48D0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399FB56A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23DD" w14:textId="77777777" w:rsidR="0059602E" w:rsidRPr="005427F7" w:rsidRDefault="0059602E" w:rsidP="00A14E7B">
            <w:pPr>
              <w:pStyle w:val="NoSpacing"/>
            </w:pPr>
            <w:r w:rsidRPr="005427F7">
              <w:t>MBSHC PA/25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1C0EA310" w14:textId="77777777" w:rsidR="0059602E" w:rsidRPr="005427F7" w:rsidRDefault="0059602E" w:rsidP="00A14E7B">
            <w:pPr>
              <w:pStyle w:val="NoSpacing"/>
            </w:pPr>
            <w:r>
              <w:t>ICC, INToGIS MS Updates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651D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continue to support the RCC</w:t>
            </w:r>
            <w:r>
              <w:t xml:space="preserve"> </w:t>
            </w:r>
            <w:r w:rsidRPr="005427F7">
              <w:t>and provide the IHO Secretariat with regular updates of the INT</w:t>
            </w:r>
            <w:r>
              <w:t xml:space="preserve"> </w:t>
            </w:r>
            <w:r w:rsidRPr="005427F7">
              <w:t>chart and ENC schemes through INToGIS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33E149B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3695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70DFEEDC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81B1" w14:textId="77777777" w:rsidR="0059602E" w:rsidRPr="005427F7" w:rsidRDefault="0059602E" w:rsidP="00A14E7B">
            <w:pPr>
              <w:pStyle w:val="NoSpacing"/>
            </w:pPr>
            <w:r w:rsidRPr="005427F7">
              <w:t>MBSHC PA/26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6B1F4980" w14:textId="77777777" w:rsidR="0059602E" w:rsidRPr="005427F7" w:rsidRDefault="0059602E" w:rsidP="00A14E7B">
            <w:pPr>
              <w:pStyle w:val="NoSpacing"/>
            </w:pPr>
            <w:r>
              <w:t>Crowdsourced Bathymetry MS to Support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AA6A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support the CSB initiative with</w:t>
            </w:r>
            <w:r>
              <w:t xml:space="preserve"> </w:t>
            </w:r>
            <w:r w:rsidRPr="005427F7">
              <w:t>positive actions, such as requiring all research vessels to collect</w:t>
            </w:r>
            <w:r>
              <w:t xml:space="preserve"> </w:t>
            </w:r>
            <w:r w:rsidRPr="005427F7">
              <w:t>bathymetric data for later uploading, when on passage or when it</w:t>
            </w:r>
            <w:r>
              <w:t xml:space="preserve"> </w:t>
            </w:r>
            <w:r w:rsidRPr="005427F7">
              <w:t>does not interfere with other research activities or national</w:t>
            </w:r>
            <w:r>
              <w:t xml:space="preserve"> </w:t>
            </w:r>
            <w:r w:rsidRPr="005427F7">
              <w:t>policies (for instance regulated areas).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6BD622C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1EA2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5951CE6A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6F19" w14:textId="77777777" w:rsidR="0059602E" w:rsidRPr="005427F7" w:rsidRDefault="0059602E" w:rsidP="00A14E7B">
            <w:pPr>
              <w:pStyle w:val="NoSpacing"/>
            </w:pPr>
            <w:r w:rsidRPr="005427F7">
              <w:lastRenderedPageBreak/>
              <w:t xml:space="preserve">MBSHC PA/27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5241F19D" w14:textId="77777777" w:rsidR="0059602E" w:rsidRPr="005427F7" w:rsidRDefault="0059602E" w:rsidP="00A14E7B">
            <w:pPr>
              <w:pStyle w:val="NoSpacing"/>
            </w:pPr>
            <w:r>
              <w:t xml:space="preserve">DCDB, MS Data Release 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0494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release datasets or subsets into</w:t>
            </w:r>
            <w:r>
              <w:t xml:space="preserve"> </w:t>
            </w:r>
            <w:r w:rsidRPr="005427F7">
              <w:t xml:space="preserve">the public domain via the IHO DCDB.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4BF74DC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069E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4EA92BE6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8B74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6FBABDE6" w14:textId="77777777" w:rsidR="0059602E" w:rsidRPr="005427F7" w:rsidRDefault="0059602E" w:rsidP="00A14E7B">
            <w:pPr>
              <w:pStyle w:val="NoSpacing"/>
            </w:pPr>
            <w:r>
              <w:t>UN Ocean Decade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1BCF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participate in actions of the UN</w:t>
            </w:r>
            <w:r>
              <w:t xml:space="preserve"> </w:t>
            </w:r>
            <w:r w:rsidRPr="005427F7">
              <w:t xml:space="preserve">Ocean Decade, matching with IHO.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07BCCC3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1248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72EDB1D2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E4EE" w14:textId="77777777" w:rsidR="0059602E" w:rsidRPr="005427F7" w:rsidRDefault="0059602E" w:rsidP="00A14E7B">
            <w:pPr>
              <w:pStyle w:val="NoSpacing"/>
            </w:pPr>
            <w:r w:rsidRPr="005427F7">
              <w:t>MBSHC PA/29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3C2C5827" w14:textId="77777777" w:rsidR="0059602E" w:rsidRPr="005427F7" w:rsidRDefault="0059602E" w:rsidP="00A14E7B">
            <w:pPr>
              <w:pStyle w:val="NoSpacing"/>
            </w:pPr>
            <w:r>
              <w:t>WEND, ENCs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93E8" w14:textId="0D4AB846" w:rsidR="0059602E" w:rsidRPr="005427F7" w:rsidRDefault="0059602E" w:rsidP="00A14E7B">
            <w:pPr>
              <w:pStyle w:val="NoSpacing"/>
            </w:pPr>
            <w:r w:rsidRPr="005427F7">
              <w:t>Member States are encouraged to follow WEND principles and</w:t>
            </w:r>
            <w:r>
              <w:t xml:space="preserve"> </w:t>
            </w:r>
            <w:r w:rsidRPr="005427F7">
              <w:t>guidelines with specific regards to the ENC charts production and</w:t>
            </w:r>
            <w:r>
              <w:t xml:space="preserve"> </w:t>
            </w:r>
            <w:r w:rsidRPr="005427F7">
              <w:t>maintenance responsibilities</w:t>
            </w:r>
            <w:r>
              <w:t xml:space="preserve"> </w:t>
            </w:r>
            <w:r w:rsidRPr="005427F7">
              <w:t>(</w:t>
            </w:r>
            <w:hyperlink r:id="rId8" w:history="1">
              <w:r w:rsidR="00AC0EDD" w:rsidRPr="00D2238E">
                <w:rPr>
                  <w:rStyle w:val="Hyperlink"/>
                </w:rPr>
                <w:t>https://iho.int/en/basic-wg-documents-1</w:t>
              </w:r>
            </w:hyperlink>
            <w:r>
              <w:t xml:space="preserve"> </w:t>
            </w:r>
            <w:r w:rsidRPr="005427F7"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7BCE68C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7CB4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4CF5E768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BA7B" w14:textId="77777777" w:rsidR="0059602E" w:rsidRPr="005427F7" w:rsidRDefault="0059602E" w:rsidP="00A14E7B">
            <w:pPr>
              <w:pStyle w:val="NoSpacing"/>
            </w:pPr>
            <w:r w:rsidRPr="005427F7">
              <w:t>MBSHC PA/30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59BDB774" w14:textId="77777777" w:rsidR="0059602E" w:rsidRPr="005427F7" w:rsidRDefault="0059602E" w:rsidP="00A14E7B">
            <w:pPr>
              <w:pStyle w:val="NoSpacing"/>
            </w:pPr>
            <w:r>
              <w:t>MS, Reuse of Data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D4E0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allow the reuse of data, related</w:t>
            </w:r>
            <w:r>
              <w:t xml:space="preserve"> </w:t>
            </w:r>
            <w:r w:rsidRPr="005427F7">
              <w:t>to goal 2 of the IHO strategic plan 2021-2026 “Increasing the use</w:t>
            </w:r>
            <w:r>
              <w:t xml:space="preserve"> </w:t>
            </w:r>
            <w:r w:rsidRPr="005427F7">
              <w:t>of hydrographic data for the benefit of society.”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57A7942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9153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41A066EC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5AD9" w14:textId="77777777" w:rsidR="0059602E" w:rsidRPr="005427F7" w:rsidRDefault="0059602E" w:rsidP="00A14E7B">
            <w:pPr>
              <w:pStyle w:val="NoSpacing"/>
            </w:pPr>
            <w:r w:rsidRPr="005427F7">
              <w:t>MBSHC PA/31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7E98F70B" w14:textId="77777777" w:rsidR="0059602E" w:rsidRPr="005427F7" w:rsidRDefault="0059602E" w:rsidP="00A14E7B">
            <w:pPr>
              <w:pStyle w:val="NoSpacing"/>
            </w:pPr>
            <w:r>
              <w:t>Industry, Stakeholders, RENCs News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5463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browse</w:t>
            </w:r>
            <w:r>
              <w:t xml:space="preserve"> </w:t>
            </w:r>
            <w:r w:rsidRPr="005427F7">
              <w:t>industry/stakeholders/RENCs webpages to be updated in the</w:t>
            </w:r>
            <w:r>
              <w:t xml:space="preserve"> </w:t>
            </w:r>
            <w:r w:rsidRPr="005427F7">
              <w:t>challenges we have in this decade (S-1XX, S-2XX, S-4XX and S-5XX</w:t>
            </w:r>
            <w:r>
              <w:t xml:space="preserve"> </w:t>
            </w:r>
            <w:r w:rsidRPr="005427F7">
              <w:t>new products and services).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7942951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C99D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0FC57D49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523D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31F4B438" w14:textId="77777777" w:rsidR="0059602E" w:rsidRPr="005427F7" w:rsidRDefault="0059602E" w:rsidP="00A14E7B">
            <w:pPr>
              <w:pStyle w:val="NoSpacing"/>
            </w:pPr>
            <w:r>
              <w:t>NAVAREA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9BD1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use only NAVAREA warning for</w:t>
            </w:r>
            <w:r>
              <w:t xml:space="preserve"> </w:t>
            </w:r>
            <w:r w:rsidRPr="005427F7">
              <w:t xml:space="preserve">safety of navigation purposes as stated on IMO Res A. 706 (17).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61061BD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6E11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4F53E320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1DC8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69D74756" w14:textId="77777777" w:rsidR="0059602E" w:rsidRPr="005427F7" w:rsidRDefault="0059602E" w:rsidP="00A14E7B">
            <w:pPr>
              <w:pStyle w:val="NoSpacing"/>
            </w:pPr>
            <w:r w:rsidRPr="00825720">
              <w:t>SDI/MSDI/MSP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AB9A" w14:textId="77777777" w:rsidR="0059602E" w:rsidRPr="005427F7" w:rsidRDefault="0059602E" w:rsidP="00A14E7B">
            <w:pPr>
              <w:pStyle w:val="NoSpacing"/>
            </w:pPr>
            <w:r w:rsidRPr="005427F7">
              <w:t>Promote the discussion of any item with relevance to</w:t>
            </w:r>
            <w:r>
              <w:t xml:space="preserve"> </w:t>
            </w:r>
            <w:r w:rsidRPr="005427F7">
              <w:t xml:space="preserve">SDI/MSDI/MSP and to take appropriate actions.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D3BE200" w14:textId="77777777" w:rsidR="0059602E" w:rsidRPr="005427F7" w:rsidRDefault="0059602E" w:rsidP="00A14E7B">
            <w:pPr>
              <w:pStyle w:val="NoSpacing"/>
            </w:pPr>
            <w:r>
              <w:t>All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F68B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372747B2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180B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22D03A89" w14:textId="77777777" w:rsidR="0059602E" w:rsidRPr="005427F7" w:rsidRDefault="0059602E" w:rsidP="00A14E7B">
            <w:pPr>
              <w:pStyle w:val="NoSpacing"/>
            </w:pPr>
            <w:r>
              <w:t>ENC Scheme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59C3" w14:textId="77777777" w:rsidR="0059602E" w:rsidRPr="005427F7" w:rsidRDefault="0059602E" w:rsidP="00A14E7B">
            <w:pPr>
              <w:pStyle w:val="NoSpacing"/>
            </w:pPr>
            <w:r w:rsidRPr="005427F7">
              <w:t>Member States are encouraged to lia</w:t>
            </w:r>
            <w:r>
              <w:t>i</w:t>
            </w:r>
            <w:r w:rsidRPr="005427F7">
              <w:t>se with the RCC to</w:t>
            </w:r>
            <w:r>
              <w:t xml:space="preserve"> </w:t>
            </w:r>
            <w:r w:rsidRPr="005427F7">
              <w:t xml:space="preserve">coordinate the development and maintenance of ENC scheme.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D1A45F6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CA15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709F2808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36C0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189F61B5" w14:textId="77777777" w:rsidR="0059602E" w:rsidRPr="005427F7" w:rsidRDefault="0059602E" w:rsidP="00A14E7B">
            <w:pPr>
              <w:pStyle w:val="NoSpacing"/>
            </w:pPr>
            <w:r>
              <w:t>MS ENC Production Plan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1D45" w14:textId="77777777" w:rsidR="0059602E" w:rsidRPr="005427F7" w:rsidRDefault="0059602E" w:rsidP="00A14E7B">
            <w:pPr>
              <w:pStyle w:val="NoSpacing"/>
            </w:pPr>
            <w:r w:rsidRPr="005427F7">
              <w:t>Member States to complete the ENC scheme and provide RCC</w:t>
            </w:r>
            <w:r>
              <w:t xml:space="preserve"> </w:t>
            </w:r>
            <w:r w:rsidRPr="005427F7">
              <w:t xml:space="preserve">with their ENC production plan, especially for UB 4-5-6.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93A29A" w14:textId="77777777" w:rsidR="0059602E" w:rsidRPr="005427F7" w:rsidRDefault="0059602E" w:rsidP="00A14E7B">
            <w:pPr>
              <w:pStyle w:val="NoSpacing"/>
            </w:pPr>
            <w:r>
              <w:t>MS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D32D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31FAB603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AE13" w14:textId="77777777" w:rsidR="0059602E" w:rsidRDefault="0059602E" w:rsidP="00A14E7B">
            <w:pPr>
              <w:pStyle w:val="NoSpacing"/>
            </w:pPr>
            <w:r w:rsidRPr="005427F7">
              <w:t>MBSHC</w:t>
            </w:r>
          </w:p>
          <w:p w14:paraId="4E55C96C" w14:textId="77777777" w:rsidR="0059602E" w:rsidRPr="005427F7" w:rsidRDefault="0059602E" w:rsidP="00A14E7B">
            <w:pPr>
              <w:pStyle w:val="NoSpacing"/>
            </w:pPr>
            <w:r w:rsidRPr="005427F7">
              <w:t xml:space="preserve">PA/36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4C1D08C1" w14:textId="77777777" w:rsidR="0059602E" w:rsidRPr="005427F7" w:rsidRDefault="0059602E" w:rsidP="00A14E7B">
            <w:pPr>
              <w:pStyle w:val="NoSpacing"/>
            </w:pPr>
            <w:r>
              <w:t>ICCWG Meeting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A9C2" w14:textId="77777777" w:rsidR="0059602E" w:rsidRPr="005427F7" w:rsidRDefault="0059602E" w:rsidP="00A14E7B">
            <w:pPr>
              <w:pStyle w:val="NoSpacing"/>
            </w:pPr>
            <w:r w:rsidRPr="005427F7">
              <w:t>To schedule an ICCWG side-meeting alongside the next MBSHC</w:t>
            </w:r>
            <w:r>
              <w:t xml:space="preserve"> </w:t>
            </w:r>
            <w:r w:rsidRPr="005427F7">
              <w:t>conference.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AE428E" w14:textId="77777777" w:rsidR="0059602E" w:rsidRPr="005427F7" w:rsidRDefault="0059602E" w:rsidP="00A14E7B">
            <w:pPr>
              <w:pStyle w:val="NoSpacing"/>
            </w:pPr>
            <w:r>
              <w:t>MBSHC Chair, ICC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1B94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7DDC764E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623C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07368D23" w14:textId="77777777" w:rsidR="0059602E" w:rsidRPr="005427F7" w:rsidRDefault="0059602E" w:rsidP="00A14E7B">
            <w:pPr>
              <w:pStyle w:val="NoSpacing"/>
            </w:pPr>
            <w:r>
              <w:t>Industry MBSHC Participation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3C93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Chair to invite industry to MBSHC conferences.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0DAA78" w14:textId="77777777" w:rsidR="0059602E" w:rsidRDefault="0059602E" w:rsidP="00A14E7B">
            <w:pPr>
              <w:pStyle w:val="NoSpacing"/>
            </w:pPr>
            <w:r>
              <w:t>MBSHC</w:t>
            </w:r>
          </w:p>
          <w:p w14:paraId="675199FA" w14:textId="77777777" w:rsidR="0059602E" w:rsidRPr="005427F7" w:rsidRDefault="0059602E" w:rsidP="00A14E7B">
            <w:pPr>
              <w:pStyle w:val="NoSpacing"/>
            </w:pPr>
            <w:r>
              <w:t>Chair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0A99" w14:textId="77777777" w:rsidR="0059602E" w:rsidRPr="005427F7" w:rsidRDefault="0059602E" w:rsidP="00A14E7B">
            <w:pPr>
              <w:pStyle w:val="NoSpacing"/>
            </w:pPr>
          </w:p>
        </w:tc>
      </w:tr>
      <w:tr w:rsidR="00E837DB" w:rsidRPr="005427F7" w14:paraId="204FDD19" w14:textId="77777777" w:rsidTr="00E837DB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FAA" w14:textId="77777777" w:rsidR="0059602E" w:rsidRPr="005427F7" w:rsidRDefault="0059602E" w:rsidP="00A14E7B">
            <w:pPr>
              <w:pStyle w:val="NoSpacing"/>
            </w:pPr>
            <w:r w:rsidRPr="005427F7">
              <w:t xml:space="preserve">MBSHC PA/38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E4"/>
          </w:tcPr>
          <w:p w14:paraId="3C9B3404" w14:textId="2583A65A" w:rsidR="0059602E" w:rsidRPr="005427F7" w:rsidRDefault="0059602E" w:rsidP="00A14E7B">
            <w:pPr>
              <w:pStyle w:val="NoSpacing"/>
            </w:pPr>
            <w:r>
              <w:t>Disaster Response Framework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4D54" w14:textId="77777777" w:rsidR="0059602E" w:rsidRPr="005427F7" w:rsidRDefault="0059602E" w:rsidP="00A14E7B">
            <w:pPr>
              <w:pStyle w:val="NoSpacing"/>
            </w:pPr>
            <w:r w:rsidRPr="005427F7">
              <w:t>MS will update annually tables 1 &amp; 2 of Disaster Response</w:t>
            </w:r>
            <w:r>
              <w:t xml:space="preserve"> </w:t>
            </w:r>
            <w:r w:rsidRPr="005427F7">
              <w:t xml:space="preserve">Framework.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CE5B1E" w14:textId="77777777" w:rsidR="0059602E" w:rsidRPr="005427F7" w:rsidRDefault="0059602E" w:rsidP="00A14E7B">
            <w:pPr>
              <w:pStyle w:val="NoSpacing"/>
            </w:pPr>
            <w:r>
              <w:t>MS, MBSHC Chair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724D" w14:textId="77777777" w:rsidR="0059602E" w:rsidRPr="005427F7" w:rsidRDefault="0059602E" w:rsidP="00A14E7B">
            <w:pPr>
              <w:pStyle w:val="NoSpacing"/>
            </w:pPr>
            <w:r>
              <w:t>Updated for 2023</w:t>
            </w:r>
          </w:p>
        </w:tc>
      </w:tr>
    </w:tbl>
    <w:p w14:paraId="7E4D467B" w14:textId="77777777" w:rsidR="003F70C5" w:rsidRPr="003F70C5" w:rsidRDefault="003F70C5" w:rsidP="003F70C5">
      <w:pPr>
        <w:ind w:firstLine="360"/>
        <w:jc w:val="both"/>
        <w:rPr>
          <w:lang w:val="en-US"/>
        </w:rPr>
      </w:pPr>
    </w:p>
    <w:sectPr w:rsidR="003F70C5" w:rsidRPr="003F70C5" w:rsidSect="00D75464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19592" w14:textId="77777777" w:rsidR="00D75464" w:rsidRDefault="00D75464" w:rsidP="00743CD5">
      <w:pPr>
        <w:spacing w:after="0" w:line="240" w:lineRule="auto"/>
      </w:pPr>
      <w:r>
        <w:separator/>
      </w:r>
    </w:p>
  </w:endnote>
  <w:endnote w:type="continuationSeparator" w:id="0">
    <w:p w14:paraId="343DC242" w14:textId="77777777" w:rsidR="00D75464" w:rsidRDefault="00D75464" w:rsidP="0074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09F79" w14:textId="77777777" w:rsidR="00D75464" w:rsidRDefault="00D75464" w:rsidP="00743CD5">
      <w:pPr>
        <w:spacing w:after="0" w:line="240" w:lineRule="auto"/>
      </w:pPr>
      <w:r>
        <w:separator/>
      </w:r>
    </w:p>
  </w:footnote>
  <w:footnote w:type="continuationSeparator" w:id="0">
    <w:p w14:paraId="469B53FF" w14:textId="77777777" w:rsidR="00D75464" w:rsidRDefault="00D75464" w:rsidP="00743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91637"/>
    <w:multiLevelType w:val="hybridMultilevel"/>
    <w:tmpl w:val="9FBEAC7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065AF"/>
    <w:multiLevelType w:val="hybridMultilevel"/>
    <w:tmpl w:val="9178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41D"/>
    <w:multiLevelType w:val="hybridMultilevel"/>
    <w:tmpl w:val="01D6CC8C"/>
    <w:lvl w:ilvl="0" w:tplc="E0B64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11C9F"/>
    <w:multiLevelType w:val="hybridMultilevel"/>
    <w:tmpl w:val="918E7D4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9DE3F7E"/>
    <w:multiLevelType w:val="hybridMultilevel"/>
    <w:tmpl w:val="C932FA28"/>
    <w:lvl w:ilvl="0" w:tplc="0762B394">
      <w:start w:val="1"/>
      <w:numFmt w:val="lowerLetter"/>
      <w:lvlText w:val="%1-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D14745D"/>
    <w:multiLevelType w:val="hybridMultilevel"/>
    <w:tmpl w:val="9FBEAC7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090C79"/>
    <w:multiLevelType w:val="hybridMultilevel"/>
    <w:tmpl w:val="B3A0A1CA"/>
    <w:lvl w:ilvl="0" w:tplc="35ECF3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42A23"/>
    <w:multiLevelType w:val="hybridMultilevel"/>
    <w:tmpl w:val="6FD84E00"/>
    <w:lvl w:ilvl="0" w:tplc="C514176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06CA"/>
    <w:multiLevelType w:val="hybridMultilevel"/>
    <w:tmpl w:val="EF088A4E"/>
    <w:lvl w:ilvl="0" w:tplc="C1AA3D8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085AB3"/>
    <w:multiLevelType w:val="hybridMultilevel"/>
    <w:tmpl w:val="BB3EF03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200942"/>
    <w:multiLevelType w:val="hybridMultilevel"/>
    <w:tmpl w:val="9FBEAC7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865CE3"/>
    <w:multiLevelType w:val="hybridMultilevel"/>
    <w:tmpl w:val="53FC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B0BD1"/>
    <w:multiLevelType w:val="hybridMultilevel"/>
    <w:tmpl w:val="F526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92"/>
    <w:rsid w:val="000161DD"/>
    <w:rsid w:val="00025746"/>
    <w:rsid w:val="00026D25"/>
    <w:rsid w:val="000312F7"/>
    <w:rsid w:val="0003516B"/>
    <w:rsid w:val="000430C5"/>
    <w:rsid w:val="00065DD8"/>
    <w:rsid w:val="00071D1D"/>
    <w:rsid w:val="000909EC"/>
    <w:rsid w:val="000A2262"/>
    <w:rsid w:val="000D412B"/>
    <w:rsid w:val="000D47CB"/>
    <w:rsid w:val="000E3438"/>
    <w:rsid w:val="000E4AB6"/>
    <w:rsid w:val="001005FC"/>
    <w:rsid w:val="001033BF"/>
    <w:rsid w:val="00112792"/>
    <w:rsid w:val="0012108C"/>
    <w:rsid w:val="00124BAA"/>
    <w:rsid w:val="00140ECE"/>
    <w:rsid w:val="00147BA2"/>
    <w:rsid w:val="0015099F"/>
    <w:rsid w:val="00154EF9"/>
    <w:rsid w:val="0015792D"/>
    <w:rsid w:val="001668AF"/>
    <w:rsid w:val="00174B64"/>
    <w:rsid w:val="00184447"/>
    <w:rsid w:val="00194606"/>
    <w:rsid w:val="001A5361"/>
    <w:rsid w:val="001B1ABE"/>
    <w:rsid w:val="001C3A2C"/>
    <w:rsid w:val="001C45CE"/>
    <w:rsid w:val="001D3CC1"/>
    <w:rsid w:val="001E3347"/>
    <w:rsid w:val="00203307"/>
    <w:rsid w:val="0022058C"/>
    <w:rsid w:val="00224541"/>
    <w:rsid w:val="0022681C"/>
    <w:rsid w:val="002304CF"/>
    <w:rsid w:val="00242BD9"/>
    <w:rsid w:val="002470E1"/>
    <w:rsid w:val="00250554"/>
    <w:rsid w:val="0027219E"/>
    <w:rsid w:val="0028163C"/>
    <w:rsid w:val="002A45CC"/>
    <w:rsid w:val="002A6FD8"/>
    <w:rsid w:val="002B5AE3"/>
    <w:rsid w:val="002B5DFE"/>
    <w:rsid w:val="002B7F35"/>
    <w:rsid w:val="002C7253"/>
    <w:rsid w:val="002D38AF"/>
    <w:rsid w:val="002E4ACF"/>
    <w:rsid w:val="003332EB"/>
    <w:rsid w:val="003339F8"/>
    <w:rsid w:val="003424D7"/>
    <w:rsid w:val="00342564"/>
    <w:rsid w:val="00344DCD"/>
    <w:rsid w:val="0035388E"/>
    <w:rsid w:val="003558DC"/>
    <w:rsid w:val="00373F56"/>
    <w:rsid w:val="00376982"/>
    <w:rsid w:val="00381F6E"/>
    <w:rsid w:val="003856D6"/>
    <w:rsid w:val="00396E25"/>
    <w:rsid w:val="003A5AB4"/>
    <w:rsid w:val="003C5007"/>
    <w:rsid w:val="003E26BF"/>
    <w:rsid w:val="003F70C5"/>
    <w:rsid w:val="00403515"/>
    <w:rsid w:val="00407966"/>
    <w:rsid w:val="00425535"/>
    <w:rsid w:val="00435D84"/>
    <w:rsid w:val="004522DE"/>
    <w:rsid w:val="004774EC"/>
    <w:rsid w:val="00484468"/>
    <w:rsid w:val="00492446"/>
    <w:rsid w:val="00497A1C"/>
    <w:rsid w:val="004A2C61"/>
    <w:rsid w:val="004A48EC"/>
    <w:rsid w:val="004A7B0D"/>
    <w:rsid w:val="004C2449"/>
    <w:rsid w:val="004C45A9"/>
    <w:rsid w:val="004C699E"/>
    <w:rsid w:val="004F5D74"/>
    <w:rsid w:val="00503C7D"/>
    <w:rsid w:val="00517436"/>
    <w:rsid w:val="00523724"/>
    <w:rsid w:val="0052617B"/>
    <w:rsid w:val="005363AB"/>
    <w:rsid w:val="00551B0B"/>
    <w:rsid w:val="00560B31"/>
    <w:rsid w:val="00577633"/>
    <w:rsid w:val="0059602E"/>
    <w:rsid w:val="005A1A63"/>
    <w:rsid w:val="005A5EE4"/>
    <w:rsid w:val="005A7CB2"/>
    <w:rsid w:val="005C24BD"/>
    <w:rsid w:val="005C3057"/>
    <w:rsid w:val="005C4BAA"/>
    <w:rsid w:val="005C5B0A"/>
    <w:rsid w:val="005D2608"/>
    <w:rsid w:val="005D7D0D"/>
    <w:rsid w:val="0060667E"/>
    <w:rsid w:val="00617005"/>
    <w:rsid w:val="00620EAB"/>
    <w:rsid w:val="00627D39"/>
    <w:rsid w:val="00635019"/>
    <w:rsid w:val="006363D5"/>
    <w:rsid w:val="0063718A"/>
    <w:rsid w:val="006466E5"/>
    <w:rsid w:val="006536F4"/>
    <w:rsid w:val="00663803"/>
    <w:rsid w:val="0067361A"/>
    <w:rsid w:val="00675A70"/>
    <w:rsid w:val="006826E8"/>
    <w:rsid w:val="006C12CE"/>
    <w:rsid w:val="006C186F"/>
    <w:rsid w:val="006C6FA4"/>
    <w:rsid w:val="006C7009"/>
    <w:rsid w:val="006D60A1"/>
    <w:rsid w:val="006D6B94"/>
    <w:rsid w:val="00702C55"/>
    <w:rsid w:val="00702C7C"/>
    <w:rsid w:val="00710292"/>
    <w:rsid w:val="0072687A"/>
    <w:rsid w:val="007324CE"/>
    <w:rsid w:val="00733671"/>
    <w:rsid w:val="00743CD5"/>
    <w:rsid w:val="00750638"/>
    <w:rsid w:val="0075311D"/>
    <w:rsid w:val="00756157"/>
    <w:rsid w:val="007611B6"/>
    <w:rsid w:val="007707F2"/>
    <w:rsid w:val="00771802"/>
    <w:rsid w:val="007756FB"/>
    <w:rsid w:val="00786401"/>
    <w:rsid w:val="0079266C"/>
    <w:rsid w:val="00793A1F"/>
    <w:rsid w:val="00794E94"/>
    <w:rsid w:val="0079762B"/>
    <w:rsid w:val="007A0247"/>
    <w:rsid w:val="007A5061"/>
    <w:rsid w:val="007B15C1"/>
    <w:rsid w:val="007B48D1"/>
    <w:rsid w:val="007C3AC3"/>
    <w:rsid w:val="007C3EBC"/>
    <w:rsid w:val="007E6D15"/>
    <w:rsid w:val="007F035C"/>
    <w:rsid w:val="00830733"/>
    <w:rsid w:val="008357BF"/>
    <w:rsid w:val="00877703"/>
    <w:rsid w:val="0088033E"/>
    <w:rsid w:val="008823A0"/>
    <w:rsid w:val="00883087"/>
    <w:rsid w:val="0088777D"/>
    <w:rsid w:val="008B4DA5"/>
    <w:rsid w:val="008C06AA"/>
    <w:rsid w:val="008C2BFD"/>
    <w:rsid w:val="008D08A5"/>
    <w:rsid w:val="008D0F03"/>
    <w:rsid w:val="00900046"/>
    <w:rsid w:val="00907121"/>
    <w:rsid w:val="00910446"/>
    <w:rsid w:val="0091114C"/>
    <w:rsid w:val="009206A8"/>
    <w:rsid w:val="00947FBA"/>
    <w:rsid w:val="00964B3C"/>
    <w:rsid w:val="009753AF"/>
    <w:rsid w:val="0098259F"/>
    <w:rsid w:val="00985364"/>
    <w:rsid w:val="009B2783"/>
    <w:rsid w:val="009C09F0"/>
    <w:rsid w:val="009E59A2"/>
    <w:rsid w:val="009E5F2A"/>
    <w:rsid w:val="009F521D"/>
    <w:rsid w:val="00A027E3"/>
    <w:rsid w:val="00A07493"/>
    <w:rsid w:val="00A207CC"/>
    <w:rsid w:val="00A27991"/>
    <w:rsid w:val="00A339CB"/>
    <w:rsid w:val="00A35246"/>
    <w:rsid w:val="00A65FBE"/>
    <w:rsid w:val="00A66514"/>
    <w:rsid w:val="00A855A0"/>
    <w:rsid w:val="00A90EDC"/>
    <w:rsid w:val="00AC0EDD"/>
    <w:rsid w:val="00AC3B56"/>
    <w:rsid w:val="00AC5545"/>
    <w:rsid w:val="00AF6165"/>
    <w:rsid w:val="00AF6A6D"/>
    <w:rsid w:val="00B01D11"/>
    <w:rsid w:val="00B045F0"/>
    <w:rsid w:val="00B101F0"/>
    <w:rsid w:val="00B109F3"/>
    <w:rsid w:val="00B11FB0"/>
    <w:rsid w:val="00B17966"/>
    <w:rsid w:val="00B3184C"/>
    <w:rsid w:val="00B416CD"/>
    <w:rsid w:val="00B562CE"/>
    <w:rsid w:val="00B647F8"/>
    <w:rsid w:val="00B8516F"/>
    <w:rsid w:val="00B97BFE"/>
    <w:rsid w:val="00BA4AB8"/>
    <w:rsid w:val="00BB5B20"/>
    <w:rsid w:val="00BC4BF0"/>
    <w:rsid w:val="00BE3F50"/>
    <w:rsid w:val="00BF4C0D"/>
    <w:rsid w:val="00C221AA"/>
    <w:rsid w:val="00C4461E"/>
    <w:rsid w:val="00C455DB"/>
    <w:rsid w:val="00C63CDD"/>
    <w:rsid w:val="00C74780"/>
    <w:rsid w:val="00C7738E"/>
    <w:rsid w:val="00C954A7"/>
    <w:rsid w:val="00CA0F64"/>
    <w:rsid w:val="00CA36D8"/>
    <w:rsid w:val="00CC5940"/>
    <w:rsid w:val="00CC67F2"/>
    <w:rsid w:val="00CD3721"/>
    <w:rsid w:val="00CD79A0"/>
    <w:rsid w:val="00CE6981"/>
    <w:rsid w:val="00CF30BA"/>
    <w:rsid w:val="00D13F84"/>
    <w:rsid w:val="00D16EF5"/>
    <w:rsid w:val="00D20845"/>
    <w:rsid w:val="00D214CF"/>
    <w:rsid w:val="00D40D99"/>
    <w:rsid w:val="00D53948"/>
    <w:rsid w:val="00D670C6"/>
    <w:rsid w:val="00D71D35"/>
    <w:rsid w:val="00D75464"/>
    <w:rsid w:val="00D82080"/>
    <w:rsid w:val="00D93B2C"/>
    <w:rsid w:val="00DA2D87"/>
    <w:rsid w:val="00DB332C"/>
    <w:rsid w:val="00DD5102"/>
    <w:rsid w:val="00DE5AB1"/>
    <w:rsid w:val="00DF41A3"/>
    <w:rsid w:val="00E038B4"/>
    <w:rsid w:val="00E30A77"/>
    <w:rsid w:val="00E31D01"/>
    <w:rsid w:val="00E334D4"/>
    <w:rsid w:val="00E373B3"/>
    <w:rsid w:val="00E463A0"/>
    <w:rsid w:val="00E46427"/>
    <w:rsid w:val="00E645B8"/>
    <w:rsid w:val="00E66C2D"/>
    <w:rsid w:val="00E76F66"/>
    <w:rsid w:val="00E837DB"/>
    <w:rsid w:val="00E911D0"/>
    <w:rsid w:val="00EA32E0"/>
    <w:rsid w:val="00EA5059"/>
    <w:rsid w:val="00EA754F"/>
    <w:rsid w:val="00EC7482"/>
    <w:rsid w:val="00EE1117"/>
    <w:rsid w:val="00EE3EA9"/>
    <w:rsid w:val="00EF38CB"/>
    <w:rsid w:val="00EF55AE"/>
    <w:rsid w:val="00F02165"/>
    <w:rsid w:val="00F0755E"/>
    <w:rsid w:val="00F40B78"/>
    <w:rsid w:val="00F50628"/>
    <w:rsid w:val="00F51907"/>
    <w:rsid w:val="00F52F8D"/>
    <w:rsid w:val="00F63813"/>
    <w:rsid w:val="00F9587B"/>
    <w:rsid w:val="00FA2C71"/>
    <w:rsid w:val="00FA590D"/>
    <w:rsid w:val="00FA730B"/>
    <w:rsid w:val="00FC20D0"/>
    <w:rsid w:val="00FD69D9"/>
    <w:rsid w:val="00FE1F5A"/>
    <w:rsid w:val="00FE787D"/>
    <w:rsid w:val="00FF2FB7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A9BA3"/>
  <w15:docId w15:val="{B441426E-B064-4056-8328-DF5BC95C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30BA"/>
    <w:pPr>
      <w:keepNext/>
      <w:tabs>
        <w:tab w:val="right" w:pos="9458"/>
      </w:tabs>
      <w:spacing w:after="0" w:line="240" w:lineRule="auto"/>
      <w:ind w:right="-10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E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D5"/>
  </w:style>
  <w:style w:type="paragraph" w:styleId="Footer">
    <w:name w:val="footer"/>
    <w:basedOn w:val="Normal"/>
    <w:link w:val="FooterChar"/>
    <w:uiPriority w:val="99"/>
    <w:unhideWhenUsed/>
    <w:rsid w:val="007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D5"/>
  </w:style>
  <w:style w:type="paragraph" w:styleId="BalloonText">
    <w:name w:val="Balloon Text"/>
    <w:basedOn w:val="Normal"/>
    <w:link w:val="BalloonTextChar"/>
    <w:uiPriority w:val="99"/>
    <w:semiHidden/>
    <w:unhideWhenUsed/>
    <w:rsid w:val="0074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A77"/>
    <w:pPr>
      <w:ind w:left="720"/>
      <w:contextualSpacing/>
    </w:pPr>
  </w:style>
  <w:style w:type="table" w:styleId="TableGrid">
    <w:name w:val="Table Grid"/>
    <w:basedOn w:val="TableNormal"/>
    <w:uiPriority w:val="39"/>
    <w:rsid w:val="00702C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7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2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78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E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F30BA"/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character" w:customStyle="1" w:styleId="markedcontent">
    <w:name w:val="markedcontent"/>
    <w:basedOn w:val="DefaultParagraphFont"/>
    <w:rsid w:val="00CF30BA"/>
  </w:style>
  <w:style w:type="paragraph" w:customStyle="1" w:styleId="Body">
    <w:name w:val="Body"/>
    <w:rsid w:val="00D40D9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38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38E"/>
    <w:rPr>
      <w:rFonts w:ascii="Times New Roman" w:eastAsia="Arial Unicode MS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7738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668A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E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25746"/>
  </w:style>
  <w:style w:type="paragraph" w:styleId="NoSpacing">
    <w:name w:val="No Spacing"/>
    <w:uiPriority w:val="1"/>
    <w:qFormat/>
    <w:rsid w:val="0059602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en/basic-wg-documents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CB34-BEBD-4333-B9A9-78C3580D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Bradaric</dc:creator>
  <cp:lastModifiedBy>Branka Muratović</cp:lastModifiedBy>
  <cp:revision>14</cp:revision>
  <cp:lastPrinted>2022-11-24T13:06:00Z</cp:lastPrinted>
  <dcterms:created xsi:type="dcterms:W3CDTF">2024-01-09T17:50:00Z</dcterms:created>
  <dcterms:modified xsi:type="dcterms:W3CDTF">2024-01-11T09:06:00Z</dcterms:modified>
</cp:coreProperties>
</file>