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A4" w:rsidRPr="00293609" w:rsidRDefault="00FD4A23" w:rsidP="00B96BA0">
      <w:pPr>
        <w:rPr>
          <w:rFonts w:ascii="Open Sans" w:hAnsi="Open Sans" w:cs="Open Sans"/>
          <w:lang w:val="en-US"/>
        </w:rPr>
      </w:pPr>
      <w:bookmarkStart w:id="0" w:name="_GoBack"/>
      <w:bookmarkEnd w:id="0"/>
      <w:r w:rsidRPr="00293609">
        <w:rPr>
          <w:rFonts w:ascii="Open Sans" w:hAnsi="Open Sans" w:cs="Open Sans"/>
          <w:lang w:val="en-US"/>
        </w:rPr>
        <w:t>5</w:t>
      </w:r>
      <w:r w:rsidR="003B21CF" w:rsidRPr="00293609">
        <w:rPr>
          <w:rFonts w:ascii="Open Sans" w:hAnsi="Open Sans" w:cs="Open Sans"/>
          <w:lang w:val="en-US"/>
        </w:rPr>
        <w:t>th</w:t>
      </w:r>
      <w:r w:rsidR="009C4911" w:rsidRPr="00293609">
        <w:rPr>
          <w:rFonts w:ascii="Open Sans" w:hAnsi="Open Sans" w:cs="Open Sans"/>
          <w:lang w:val="en-US"/>
        </w:rPr>
        <w:t xml:space="preserve"> REGION F ICCWG meeting</w:t>
      </w:r>
    </w:p>
    <w:p w:rsidR="00E0142A" w:rsidRPr="004924A4" w:rsidRDefault="00E0142A" w:rsidP="00B96BA0">
      <w:pPr>
        <w:rPr>
          <w:lang w:val="en-US"/>
        </w:rPr>
      </w:pPr>
    </w:p>
    <w:p w:rsidR="009C4911" w:rsidRPr="004924A4" w:rsidRDefault="00AF479D" w:rsidP="001E2A50">
      <w:pPr>
        <w:jc w:val="center"/>
        <w:rPr>
          <w:rFonts w:ascii="Open Sans" w:hAnsi="Open Sans" w:cs="Open Sans"/>
          <w:lang w:val="en-US"/>
        </w:rPr>
      </w:pPr>
      <w:r w:rsidRPr="004924A4">
        <w:rPr>
          <w:rFonts w:ascii="Open Sans" w:hAnsi="Open Sans" w:cs="Open Sans"/>
          <w:lang w:val="en-US"/>
        </w:rPr>
        <w:t xml:space="preserve">Wednesday </w:t>
      </w:r>
      <w:r w:rsidR="004945FD">
        <w:rPr>
          <w:rFonts w:ascii="Open Sans" w:hAnsi="Open Sans" w:cs="Open Sans"/>
          <w:lang w:val="en-US"/>
        </w:rPr>
        <w:t>12</w:t>
      </w:r>
      <w:r w:rsidRPr="004924A4">
        <w:rPr>
          <w:rFonts w:ascii="Open Sans" w:hAnsi="Open Sans" w:cs="Open Sans"/>
          <w:vertAlign w:val="superscript"/>
          <w:lang w:val="en-US"/>
        </w:rPr>
        <w:t>th</w:t>
      </w:r>
      <w:r w:rsidRPr="004924A4">
        <w:rPr>
          <w:rFonts w:ascii="Open Sans" w:hAnsi="Open Sans" w:cs="Open Sans"/>
          <w:lang w:val="en-US"/>
        </w:rPr>
        <w:t xml:space="preserve"> Ju</w:t>
      </w:r>
      <w:r w:rsidR="00FD4A23">
        <w:rPr>
          <w:rFonts w:ascii="Open Sans" w:hAnsi="Open Sans" w:cs="Open Sans"/>
          <w:lang w:val="en-US"/>
        </w:rPr>
        <w:t>ne</w:t>
      </w:r>
      <w:r w:rsidR="009C4911" w:rsidRPr="004924A4">
        <w:rPr>
          <w:rFonts w:ascii="Open Sans" w:hAnsi="Open Sans" w:cs="Open Sans"/>
          <w:lang w:val="en-US"/>
        </w:rPr>
        <w:t xml:space="preserve"> 201</w:t>
      </w:r>
      <w:r w:rsidR="00FD4A23">
        <w:rPr>
          <w:rFonts w:ascii="Open Sans" w:hAnsi="Open Sans" w:cs="Open Sans"/>
          <w:lang w:val="en-US"/>
        </w:rPr>
        <w:t>9</w:t>
      </w:r>
    </w:p>
    <w:p w:rsidR="001E2A50" w:rsidRPr="004924A4" w:rsidRDefault="00FD4A23" w:rsidP="003915C1">
      <w:pPr>
        <w:spacing w:before="240"/>
        <w:jc w:val="center"/>
        <w:rPr>
          <w:rFonts w:ascii="Open Sans" w:hAnsi="Open Sans" w:cs="Open Sans"/>
          <w:i/>
          <w:lang w:val="en-US"/>
        </w:rPr>
      </w:pPr>
      <w:r w:rsidRPr="003E477A">
        <w:rPr>
          <w:rFonts w:ascii="Open Sans" w:hAnsi="Open Sans" w:cs="Open Sans"/>
          <w:i/>
        </w:rPr>
        <w:t xml:space="preserve">Cádiz, </w:t>
      </w:r>
      <w:proofErr w:type="spellStart"/>
      <w:r w:rsidRPr="003E477A">
        <w:rPr>
          <w:rFonts w:ascii="Open Sans" w:hAnsi="Open Sans" w:cs="Open Sans"/>
          <w:i/>
        </w:rPr>
        <w:t>España</w:t>
      </w:r>
      <w:proofErr w:type="spellEnd"/>
      <w:r w:rsidRPr="003E477A">
        <w:rPr>
          <w:rFonts w:ascii="Open Sans" w:hAnsi="Open Sans" w:cs="Open Sans"/>
          <w:i/>
        </w:rPr>
        <w:t xml:space="preserve"> (Spain)</w:t>
      </w:r>
    </w:p>
    <w:p w:rsidR="001E2A50" w:rsidRPr="004924A4" w:rsidRDefault="00D22294" w:rsidP="001E2A50">
      <w:pPr>
        <w:jc w:val="center"/>
        <w:rPr>
          <w:rFonts w:ascii="Open Sans" w:hAnsi="Open Sans" w:cs="Open Sans"/>
          <w:i/>
          <w:lang w:val="en-US"/>
        </w:rPr>
      </w:pPr>
      <w:r w:rsidRPr="004924A4">
        <w:rPr>
          <w:rFonts w:ascii="Open Sans" w:hAnsi="Open Sans" w:cs="Open Sans"/>
          <w:i/>
          <w:lang w:val="en-US"/>
        </w:rPr>
        <w:t>1</w:t>
      </w:r>
      <w:r w:rsidR="005F1BE9" w:rsidRPr="004924A4">
        <w:rPr>
          <w:rFonts w:ascii="Open Sans" w:hAnsi="Open Sans" w:cs="Open Sans"/>
          <w:i/>
          <w:lang w:val="en-US"/>
        </w:rPr>
        <w:t>4:</w:t>
      </w:r>
      <w:r w:rsidR="00FD4A23">
        <w:rPr>
          <w:rFonts w:ascii="Open Sans" w:hAnsi="Open Sans" w:cs="Open Sans"/>
          <w:i/>
          <w:lang w:val="en-US"/>
        </w:rPr>
        <w:t>30</w:t>
      </w:r>
      <w:r w:rsidR="005F1BE9" w:rsidRPr="004924A4">
        <w:rPr>
          <w:rFonts w:ascii="Open Sans" w:hAnsi="Open Sans" w:cs="Open Sans"/>
          <w:i/>
          <w:lang w:val="en-US"/>
        </w:rPr>
        <w:t xml:space="preserve"> – 1</w:t>
      </w:r>
      <w:r w:rsidR="00FD4A23">
        <w:rPr>
          <w:rFonts w:ascii="Open Sans" w:hAnsi="Open Sans" w:cs="Open Sans"/>
          <w:i/>
          <w:lang w:val="en-US"/>
        </w:rPr>
        <w:t>6</w:t>
      </w:r>
      <w:r w:rsidR="003B21CF" w:rsidRPr="004924A4">
        <w:rPr>
          <w:rFonts w:ascii="Open Sans" w:hAnsi="Open Sans" w:cs="Open Sans"/>
          <w:i/>
          <w:lang w:val="en-US"/>
        </w:rPr>
        <w:t>:</w:t>
      </w:r>
      <w:r w:rsidR="00FD4A23">
        <w:rPr>
          <w:rFonts w:ascii="Open Sans" w:hAnsi="Open Sans" w:cs="Open Sans"/>
          <w:i/>
          <w:lang w:val="en-US"/>
        </w:rPr>
        <w:t>15</w:t>
      </w:r>
    </w:p>
    <w:p w:rsidR="009C4911" w:rsidRPr="004924A4" w:rsidRDefault="009C4911">
      <w:pPr>
        <w:rPr>
          <w:rFonts w:ascii="Open Sans" w:hAnsi="Open Sans" w:cs="Open Sans"/>
          <w:lang w:val="en-US"/>
        </w:rPr>
      </w:pPr>
    </w:p>
    <w:p w:rsidR="006169F6" w:rsidRPr="004924A4" w:rsidRDefault="005F1BE9" w:rsidP="0015045C">
      <w:pPr>
        <w:jc w:val="center"/>
        <w:rPr>
          <w:rFonts w:ascii="Open Sans" w:hAnsi="Open Sans" w:cs="Open Sans"/>
          <w:b/>
          <w:sz w:val="28"/>
          <w:lang w:val="en-US"/>
        </w:rPr>
      </w:pPr>
      <w:r w:rsidRPr="004924A4">
        <w:rPr>
          <w:rFonts w:ascii="Open Sans" w:hAnsi="Open Sans" w:cs="Open Sans"/>
          <w:b/>
          <w:sz w:val="28"/>
          <w:lang w:val="en-US"/>
        </w:rPr>
        <w:t>Draft Summary Report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205F1F" w:rsidRPr="004924A4" w:rsidTr="00205F1F">
        <w:tc>
          <w:tcPr>
            <w:tcW w:w="1101" w:type="dxa"/>
            <w:vMerge w:val="restart"/>
            <w:tcBorders>
              <w:top w:val="single" w:sz="4" w:space="0" w:color="auto"/>
              <w:left w:val="nil"/>
              <w:bottom w:val="nil"/>
              <w:right w:val="nil"/>
            </w:tcBorders>
            <w:shd w:val="clear" w:color="auto" w:fill="auto"/>
          </w:tcPr>
          <w:p w:rsidR="00205F1F" w:rsidRPr="004924A4" w:rsidRDefault="00205F1F" w:rsidP="00BB2354">
            <w:pPr>
              <w:spacing w:before="240" w:after="240" w:line="360" w:lineRule="auto"/>
              <w:jc w:val="both"/>
              <w:rPr>
                <w:rFonts w:ascii="Open Sans" w:hAnsi="Open Sans" w:cs="Open Sans"/>
                <w:b/>
                <w:lang w:val="en-US"/>
              </w:rPr>
            </w:pPr>
            <w:r w:rsidRPr="004924A4">
              <w:rPr>
                <w:rFonts w:ascii="Open Sans" w:hAnsi="Open Sans" w:cs="Open Sans"/>
                <w:b/>
                <w:lang w:val="en-US"/>
              </w:rPr>
              <w:t>ICC</w:t>
            </w:r>
            <w:r w:rsidR="00293609">
              <w:rPr>
                <w:rFonts w:ascii="Open Sans" w:hAnsi="Open Sans" w:cs="Open Sans"/>
                <w:b/>
                <w:lang w:val="en-US"/>
              </w:rPr>
              <w:t>5</w:t>
            </w:r>
            <w:r w:rsidRPr="004924A4">
              <w:rPr>
                <w:rFonts w:ascii="Open Sans" w:hAnsi="Open Sans" w:cs="Open Sans"/>
                <w:b/>
                <w:lang w:val="en-US"/>
              </w:rPr>
              <w:t>-1</w:t>
            </w:r>
          </w:p>
        </w:tc>
        <w:tc>
          <w:tcPr>
            <w:tcW w:w="8363" w:type="dxa"/>
            <w:tcBorders>
              <w:top w:val="single" w:sz="4" w:space="0" w:color="auto"/>
              <w:left w:val="nil"/>
              <w:bottom w:val="nil"/>
              <w:right w:val="nil"/>
            </w:tcBorders>
            <w:shd w:val="clear" w:color="auto" w:fill="auto"/>
          </w:tcPr>
          <w:p w:rsidR="00205F1F" w:rsidRPr="004924A4" w:rsidRDefault="00205F1F" w:rsidP="00BB2354">
            <w:pPr>
              <w:spacing w:before="240" w:after="240" w:line="360" w:lineRule="auto"/>
              <w:jc w:val="both"/>
              <w:rPr>
                <w:rFonts w:ascii="Open Sans" w:hAnsi="Open Sans" w:cs="Open Sans"/>
                <w:b/>
                <w:lang w:val="en-US"/>
              </w:rPr>
            </w:pPr>
            <w:r w:rsidRPr="004924A4">
              <w:rPr>
                <w:rFonts w:ascii="Open Sans" w:hAnsi="Open Sans" w:cs="Open Sans"/>
                <w:b/>
                <w:lang w:val="en-US"/>
              </w:rPr>
              <w:t>Opening of ICCWG-</w:t>
            </w:r>
            <w:r w:rsidR="00293609">
              <w:rPr>
                <w:rFonts w:ascii="Open Sans" w:hAnsi="Open Sans" w:cs="Open Sans"/>
                <w:b/>
                <w:lang w:val="en-US"/>
              </w:rPr>
              <w:t>5</w:t>
            </w:r>
            <w:r w:rsidRPr="004924A4">
              <w:rPr>
                <w:rFonts w:ascii="Open Sans" w:hAnsi="Open Sans" w:cs="Open Sans"/>
                <w:b/>
                <w:lang w:val="en-US"/>
              </w:rPr>
              <w:t xml:space="preserve"> meeting</w:t>
            </w:r>
          </w:p>
        </w:tc>
      </w:tr>
      <w:tr w:rsidR="00205F1F" w:rsidRPr="004924A4" w:rsidTr="00205F1F">
        <w:tc>
          <w:tcPr>
            <w:tcW w:w="1101" w:type="dxa"/>
            <w:vMerge/>
            <w:tcBorders>
              <w:top w:val="nil"/>
              <w:left w:val="nil"/>
              <w:bottom w:val="nil"/>
              <w:right w:val="nil"/>
            </w:tcBorders>
            <w:shd w:val="clear" w:color="auto" w:fill="auto"/>
          </w:tcPr>
          <w:p w:rsidR="00205F1F" w:rsidRPr="004924A4" w:rsidRDefault="00205F1F" w:rsidP="00BB2354">
            <w:pPr>
              <w:spacing w:line="360" w:lineRule="auto"/>
              <w:jc w:val="both"/>
              <w:rPr>
                <w:rFonts w:ascii="Open Sans" w:hAnsi="Open Sans" w:cs="Open Sans"/>
                <w:lang w:val="en-US"/>
              </w:rPr>
            </w:pPr>
          </w:p>
        </w:tc>
        <w:tc>
          <w:tcPr>
            <w:tcW w:w="8363" w:type="dxa"/>
            <w:tcBorders>
              <w:top w:val="nil"/>
              <w:left w:val="nil"/>
              <w:bottom w:val="nil"/>
              <w:right w:val="nil"/>
            </w:tcBorders>
            <w:shd w:val="clear" w:color="auto" w:fill="auto"/>
          </w:tcPr>
          <w:p w:rsidR="00205F1F" w:rsidRPr="004924A4" w:rsidRDefault="00205F1F" w:rsidP="00BB2354">
            <w:pPr>
              <w:jc w:val="both"/>
              <w:rPr>
                <w:rFonts w:ascii="Open Sans" w:hAnsi="Open Sans" w:cs="Open Sans"/>
                <w:i/>
                <w:lang w:val="en-US"/>
              </w:rPr>
            </w:pPr>
            <w:r w:rsidRPr="004924A4">
              <w:rPr>
                <w:rFonts w:ascii="Open Sans" w:hAnsi="Open Sans" w:cs="Open Sans"/>
                <w:i/>
                <w:lang w:val="en-US"/>
              </w:rPr>
              <w:t>The region F ICCWG Chair welcomed the participants of this ICCWG-</w:t>
            </w:r>
            <w:r w:rsidR="00293609">
              <w:rPr>
                <w:rFonts w:ascii="Open Sans" w:hAnsi="Open Sans" w:cs="Open Sans"/>
                <w:i/>
                <w:lang w:val="en-US"/>
              </w:rPr>
              <w:t>5</w:t>
            </w:r>
            <w:r w:rsidRPr="004924A4">
              <w:rPr>
                <w:rFonts w:ascii="Open Sans" w:hAnsi="Open Sans" w:cs="Open Sans"/>
                <w:i/>
                <w:lang w:val="en-US"/>
              </w:rPr>
              <w:t xml:space="preserve"> meeting which takes place alongside the 2</w:t>
            </w:r>
            <w:r w:rsidR="00293609">
              <w:rPr>
                <w:rFonts w:ascii="Open Sans" w:hAnsi="Open Sans" w:cs="Open Sans"/>
                <w:i/>
                <w:lang w:val="en-US"/>
              </w:rPr>
              <w:t>1st</w:t>
            </w:r>
            <w:r w:rsidRPr="004924A4">
              <w:rPr>
                <w:rFonts w:ascii="Open Sans" w:hAnsi="Open Sans" w:cs="Open Sans"/>
                <w:i/>
                <w:lang w:val="en-US"/>
              </w:rPr>
              <w:t xml:space="preserve"> MBSHC Conference in </w:t>
            </w:r>
            <w:r w:rsidR="00293609">
              <w:rPr>
                <w:rFonts w:ascii="Open Sans" w:hAnsi="Open Sans" w:cs="Open Sans"/>
                <w:i/>
                <w:lang w:val="en-US"/>
              </w:rPr>
              <w:t>Spain</w:t>
            </w:r>
            <w:r w:rsidRPr="004924A4">
              <w:rPr>
                <w:rFonts w:ascii="Open Sans" w:hAnsi="Open Sans" w:cs="Open Sans"/>
                <w:i/>
                <w:lang w:val="en-US"/>
              </w:rPr>
              <w:t>.</w:t>
            </w:r>
          </w:p>
          <w:p w:rsidR="00205F1F" w:rsidRDefault="00205F1F" w:rsidP="00BB2354">
            <w:pPr>
              <w:jc w:val="both"/>
              <w:rPr>
                <w:rFonts w:ascii="Open Sans" w:hAnsi="Open Sans" w:cs="Open Sans"/>
                <w:i/>
                <w:lang w:val="en-US"/>
              </w:rPr>
            </w:pPr>
            <w:r w:rsidRPr="004924A4">
              <w:rPr>
                <w:rFonts w:ascii="Open Sans" w:hAnsi="Open Sans" w:cs="Open Sans"/>
                <w:i/>
                <w:lang w:val="en-US"/>
              </w:rPr>
              <w:t xml:space="preserve">The Chair </w:t>
            </w:r>
            <w:r w:rsidR="00293609">
              <w:rPr>
                <w:rFonts w:ascii="Open Sans" w:hAnsi="Open Sans" w:cs="Open Sans"/>
                <w:i/>
                <w:lang w:val="en-US"/>
              </w:rPr>
              <w:t xml:space="preserve">made a few reminders on </w:t>
            </w:r>
            <w:r w:rsidR="00104250">
              <w:rPr>
                <w:rFonts w:ascii="Open Sans" w:hAnsi="Open Sans" w:cs="Open Sans"/>
                <w:i/>
                <w:lang w:val="en-US"/>
              </w:rPr>
              <w:t xml:space="preserve">the </w:t>
            </w:r>
            <w:r w:rsidR="00293609">
              <w:rPr>
                <w:rFonts w:ascii="Open Sans" w:hAnsi="Open Sans" w:cs="Open Sans"/>
                <w:i/>
                <w:lang w:val="en-US"/>
              </w:rPr>
              <w:t>ICCWG, emphasizing the technical nature of the discussions held in this instance</w:t>
            </w:r>
            <w:r w:rsidRPr="004924A4">
              <w:rPr>
                <w:rFonts w:ascii="Open Sans" w:hAnsi="Open Sans" w:cs="Open Sans"/>
                <w:i/>
                <w:lang w:val="en-US"/>
              </w:rPr>
              <w:t>.</w:t>
            </w:r>
            <w:r w:rsidR="00293609">
              <w:rPr>
                <w:rFonts w:ascii="Open Sans" w:hAnsi="Open Sans" w:cs="Open Sans"/>
                <w:i/>
                <w:lang w:val="en-US"/>
              </w:rPr>
              <w:t xml:space="preserve"> It is a permanent working group and its meetings are meant to sum up and reach agreements on topics already d</w:t>
            </w:r>
            <w:r w:rsidR="00104250">
              <w:rPr>
                <w:rFonts w:ascii="Open Sans" w:hAnsi="Open Sans" w:cs="Open Sans"/>
                <w:i/>
                <w:lang w:val="en-US"/>
              </w:rPr>
              <w:t>iscussed by correspondence.</w:t>
            </w:r>
            <w:r w:rsidR="003C7E81">
              <w:rPr>
                <w:rFonts w:ascii="Open Sans" w:hAnsi="Open Sans" w:cs="Open Sans"/>
                <w:i/>
                <w:lang w:val="en-US"/>
              </w:rPr>
              <w:t xml:space="preserve"> Late submissions such as Spain’s report cannot be properly analyzed and must be addressed bilaterally before being submitted to the ICCWG.</w:t>
            </w:r>
          </w:p>
          <w:p w:rsidR="00DC45F7" w:rsidRDefault="00DC45F7" w:rsidP="00BB2354">
            <w:pPr>
              <w:jc w:val="both"/>
              <w:rPr>
                <w:rFonts w:ascii="Open Sans" w:hAnsi="Open Sans" w:cs="Open Sans"/>
                <w:i/>
                <w:lang w:val="en-US"/>
              </w:rPr>
            </w:pPr>
          </w:p>
          <w:p w:rsidR="003C7E81" w:rsidRDefault="003C7E81" w:rsidP="00BB2354">
            <w:pPr>
              <w:jc w:val="both"/>
              <w:rPr>
                <w:rFonts w:ascii="Open Sans" w:hAnsi="Open Sans" w:cs="Open Sans"/>
                <w:i/>
                <w:lang w:val="en-US"/>
              </w:rPr>
            </w:pPr>
            <w:r>
              <w:rPr>
                <w:rFonts w:ascii="Open Sans" w:hAnsi="Open Sans" w:cs="Open Sans"/>
                <w:i/>
                <w:lang w:val="en-US"/>
              </w:rPr>
              <w:t xml:space="preserve">France explained to the members why the decision to resign from the role of Coordinator </w:t>
            </w:r>
            <w:r w:rsidR="00C64D2A">
              <w:rPr>
                <w:rFonts w:ascii="Open Sans" w:hAnsi="Open Sans" w:cs="Open Sans"/>
                <w:i/>
                <w:lang w:val="en-US"/>
              </w:rPr>
              <w:t xml:space="preserve">was made </w:t>
            </w:r>
            <w:r>
              <w:rPr>
                <w:rFonts w:ascii="Open Sans" w:hAnsi="Open Sans" w:cs="Open Sans"/>
                <w:i/>
                <w:lang w:val="en-US"/>
              </w:rPr>
              <w:t>after more than 40 years of duty. The INT scheme</w:t>
            </w:r>
            <w:r w:rsidR="00C64D2A">
              <w:rPr>
                <w:rFonts w:ascii="Open Sans" w:hAnsi="Open Sans" w:cs="Open Sans"/>
                <w:i/>
                <w:lang w:val="en-US"/>
              </w:rPr>
              <w:t xml:space="preserve"> </w:t>
            </w:r>
            <w:r w:rsidR="00846CCB">
              <w:rPr>
                <w:rFonts w:ascii="Open Sans" w:hAnsi="Open Sans" w:cs="Open Sans"/>
                <w:i/>
                <w:lang w:val="en-US"/>
              </w:rPr>
              <w:t xml:space="preserve">is </w:t>
            </w:r>
            <w:r w:rsidR="00C64D2A">
              <w:rPr>
                <w:rFonts w:ascii="Open Sans" w:hAnsi="Open Sans" w:cs="Open Sans"/>
                <w:i/>
                <w:lang w:val="en-US"/>
              </w:rPr>
              <w:t xml:space="preserve">now </w:t>
            </w:r>
            <w:r w:rsidR="00846CCB">
              <w:rPr>
                <w:rFonts w:ascii="Open Sans" w:hAnsi="Open Sans" w:cs="Open Sans"/>
                <w:i/>
                <w:lang w:val="en-US"/>
              </w:rPr>
              <w:t>considered mature and is not likely to undergo major evolutions</w:t>
            </w:r>
            <w:r w:rsidR="00C64D2A">
              <w:rPr>
                <w:rFonts w:ascii="Open Sans" w:hAnsi="Open Sans" w:cs="Open Sans"/>
                <w:i/>
                <w:lang w:val="en-US"/>
              </w:rPr>
              <w:t>.</w:t>
            </w:r>
            <w:r w:rsidR="00846CCB">
              <w:rPr>
                <w:rFonts w:ascii="Open Sans" w:hAnsi="Open Sans" w:cs="Open Sans"/>
                <w:i/>
                <w:lang w:val="en-US"/>
              </w:rPr>
              <w:t xml:space="preserve"> </w:t>
            </w:r>
            <w:r w:rsidR="00C64D2A">
              <w:rPr>
                <w:rFonts w:ascii="Open Sans" w:hAnsi="Open Sans" w:cs="Open Sans"/>
                <w:i/>
                <w:lang w:val="en-US"/>
              </w:rPr>
              <w:t>R</w:t>
            </w:r>
            <w:r w:rsidR="00846CCB">
              <w:rPr>
                <w:rFonts w:ascii="Open Sans" w:hAnsi="Open Sans" w:cs="Open Sans"/>
                <w:i/>
                <w:lang w:val="en-US"/>
              </w:rPr>
              <w:t>esolving the ENC overlaps is now the main challenge for the Coordinator. Then the newly elected Coordinator,</w:t>
            </w:r>
            <w:r>
              <w:rPr>
                <w:rFonts w:ascii="Open Sans" w:hAnsi="Open Sans" w:cs="Open Sans"/>
                <w:i/>
                <w:lang w:val="en-US"/>
              </w:rPr>
              <w:t xml:space="preserve"> Marta </w:t>
            </w:r>
            <w:proofErr w:type="spellStart"/>
            <w:r>
              <w:rPr>
                <w:rFonts w:ascii="Open Sans" w:hAnsi="Open Sans" w:cs="Open Sans"/>
                <w:i/>
                <w:lang w:val="en-US"/>
              </w:rPr>
              <w:t>Pratellesi</w:t>
            </w:r>
            <w:proofErr w:type="spellEnd"/>
            <w:r>
              <w:rPr>
                <w:rFonts w:ascii="Open Sans" w:hAnsi="Open Sans" w:cs="Open Sans"/>
                <w:i/>
                <w:lang w:val="en-US"/>
              </w:rPr>
              <w:t xml:space="preserve"> from </w:t>
            </w:r>
            <w:r w:rsidR="00846CCB">
              <w:rPr>
                <w:rFonts w:ascii="Open Sans" w:hAnsi="Open Sans" w:cs="Open Sans"/>
                <w:i/>
                <w:lang w:val="en-US"/>
              </w:rPr>
              <w:t xml:space="preserve">the </w:t>
            </w:r>
            <w:r>
              <w:rPr>
                <w:rFonts w:ascii="Open Sans" w:hAnsi="Open Sans" w:cs="Open Sans"/>
                <w:i/>
                <w:lang w:val="en-US"/>
              </w:rPr>
              <w:t>Ital</w:t>
            </w:r>
            <w:r w:rsidR="00846CCB">
              <w:rPr>
                <w:rFonts w:ascii="Open Sans" w:hAnsi="Open Sans" w:cs="Open Sans"/>
                <w:i/>
                <w:lang w:val="en-US"/>
              </w:rPr>
              <w:t xml:space="preserve">ian </w:t>
            </w:r>
            <w:proofErr w:type="spellStart"/>
            <w:r w:rsidR="00846CCB">
              <w:rPr>
                <w:rFonts w:ascii="Open Sans" w:hAnsi="Open Sans" w:cs="Open Sans"/>
                <w:i/>
                <w:lang w:val="en-US"/>
              </w:rPr>
              <w:t>Istituto</w:t>
            </w:r>
            <w:proofErr w:type="spellEnd"/>
            <w:r w:rsidR="00846CCB">
              <w:rPr>
                <w:rFonts w:ascii="Open Sans" w:hAnsi="Open Sans" w:cs="Open Sans"/>
                <w:i/>
                <w:lang w:val="en-US"/>
              </w:rPr>
              <w:t xml:space="preserve"> </w:t>
            </w:r>
            <w:proofErr w:type="spellStart"/>
            <w:r w:rsidR="00846CCB">
              <w:rPr>
                <w:rFonts w:ascii="Open Sans" w:hAnsi="Open Sans" w:cs="Open Sans"/>
                <w:i/>
                <w:lang w:val="en-US"/>
              </w:rPr>
              <w:t>Idrografico</w:t>
            </w:r>
            <w:proofErr w:type="spellEnd"/>
            <w:r w:rsidR="00846CCB">
              <w:rPr>
                <w:rFonts w:ascii="Open Sans" w:hAnsi="Open Sans" w:cs="Open Sans"/>
                <w:i/>
                <w:lang w:val="en-US"/>
              </w:rPr>
              <w:t xml:space="preserve"> </w:t>
            </w:r>
            <w:proofErr w:type="spellStart"/>
            <w:r w:rsidR="00846CCB">
              <w:rPr>
                <w:rFonts w:ascii="Open Sans" w:hAnsi="Open Sans" w:cs="Open Sans"/>
                <w:i/>
                <w:lang w:val="en-US"/>
              </w:rPr>
              <w:t>della</w:t>
            </w:r>
            <w:proofErr w:type="spellEnd"/>
            <w:r w:rsidR="00846CCB">
              <w:rPr>
                <w:rFonts w:ascii="Open Sans" w:hAnsi="Open Sans" w:cs="Open Sans"/>
                <w:i/>
                <w:lang w:val="en-US"/>
              </w:rPr>
              <w:t xml:space="preserve"> Marina</w:t>
            </w:r>
            <w:r>
              <w:rPr>
                <w:rFonts w:ascii="Open Sans" w:hAnsi="Open Sans" w:cs="Open Sans"/>
                <w:i/>
                <w:lang w:val="en-US"/>
              </w:rPr>
              <w:t xml:space="preserve"> briefly introduced herself.</w:t>
            </w:r>
          </w:p>
          <w:p w:rsidR="00DC45F7" w:rsidRPr="004924A4" w:rsidRDefault="00DC45F7" w:rsidP="00BB2354">
            <w:pPr>
              <w:jc w:val="both"/>
              <w:rPr>
                <w:rFonts w:ascii="Open Sans" w:hAnsi="Open Sans" w:cs="Open Sans"/>
                <w:i/>
                <w:lang w:val="en-US"/>
              </w:rPr>
            </w:pPr>
          </w:p>
          <w:p w:rsidR="00205F1F" w:rsidRPr="004924A4" w:rsidRDefault="003C7E81" w:rsidP="00BB2354">
            <w:pPr>
              <w:jc w:val="both"/>
              <w:rPr>
                <w:rFonts w:ascii="Open Sans" w:hAnsi="Open Sans" w:cs="Open Sans"/>
                <w:i/>
                <w:lang w:val="en-US"/>
              </w:rPr>
            </w:pPr>
            <w:r>
              <w:rPr>
                <w:rFonts w:ascii="Open Sans" w:hAnsi="Open Sans" w:cs="Open Sans"/>
                <w:i/>
                <w:lang w:val="en-US"/>
              </w:rPr>
              <w:t xml:space="preserve">After these introductory </w:t>
            </w:r>
            <w:r w:rsidR="00846CCB">
              <w:rPr>
                <w:rFonts w:ascii="Open Sans" w:hAnsi="Open Sans" w:cs="Open Sans"/>
                <w:i/>
                <w:lang w:val="en-US"/>
              </w:rPr>
              <w:t>matters</w:t>
            </w:r>
            <w:r w:rsidR="00205F1F" w:rsidRPr="004924A4">
              <w:rPr>
                <w:rFonts w:ascii="Open Sans" w:hAnsi="Open Sans" w:cs="Open Sans"/>
                <w:i/>
                <w:lang w:val="en-US"/>
              </w:rPr>
              <w:t xml:space="preserve">, </w:t>
            </w:r>
            <w:r w:rsidR="00205F1F" w:rsidRPr="00BE200E">
              <w:rPr>
                <w:rFonts w:ascii="Open Sans" w:hAnsi="Open Sans" w:cs="Open Sans"/>
                <w:b/>
                <w:i/>
                <w:lang w:val="en-US"/>
              </w:rPr>
              <w:t>ICCWG-</w:t>
            </w:r>
            <w:r w:rsidR="00BF58DA">
              <w:rPr>
                <w:rFonts w:ascii="Open Sans" w:hAnsi="Open Sans" w:cs="Open Sans"/>
                <w:b/>
                <w:i/>
                <w:lang w:val="en-US"/>
              </w:rPr>
              <w:t>5</w:t>
            </w:r>
            <w:r w:rsidR="00205F1F" w:rsidRPr="00BE200E">
              <w:rPr>
                <w:rFonts w:ascii="Open Sans" w:hAnsi="Open Sans" w:cs="Open Sans"/>
                <w:b/>
                <w:i/>
                <w:lang w:val="en-US"/>
              </w:rPr>
              <w:t xml:space="preserve"> Members approved the draft agenda submitted by the ICCWG Chair.</w:t>
            </w:r>
          </w:p>
        </w:tc>
      </w:tr>
      <w:tr w:rsidR="00205F1F" w:rsidRPr="004924A4" w:rsidTr="00205F1F">
        <w:tc>
          <w:tcPr>
            <w:tcW w:w="1101" w:type="dxa"/>
            <w:tcBorders>
              <w:top w:val="nil"/>
              <w:left w:val="nil"/>
              <w:bottom w:val="nil"/>
              <w:right w:val="nil"/>
            </w:tcBorders>
            <w:shd w:val="clear" w:color="auto" w:fill="auto"/>
          </w:tcPr>
          <w:p w:rsidR="00205F1F" w:rsidRPr="004924A4" w:rsidRDefault="00205F1F" w:rsidP="00BB2354">
            <w:pPr>
              <w:spacing w:before="240" w:after="240" w:line="360" w:lineRule="auto"/>
              <w:jc w:val="both"/>
              <w:rPr>
                <w:rFonts w:ascii="Open Sans" w:hAnsi="Open Sans" w:cs="Open Sans"/>
                <w:b/>
                <w:lang w:val="en-US"/>
              </w:rPr>
            </w:pPr>
            <w:r w:rsidRPr="004924A4">
              <w:rPr>
                <w:rFonts w:ascii="Open Sans" w:hAnsi="Open Sans" w:cs="Open Sans"/>
                <w:b/>
                <w:lang w:val="en-US"/>
              </w:rPr>
              <w:t>ICC</w:t>
            </w:r>
            <w:r w:rsidR="00061838">
              <w:rPr>
                <w:rFonts w:ascii="Open Sans" w:hAnsi="Open Sans" w:cs="Open Sans"/>
                <w:b/>
                <w:lang w:val="en-US"/>
              </w:rPr>
              <w:t>5</w:t>
            </w:r>
            <w:r w:rsidRPr="004924A4">
              <w:rPr>
                <w:rFonts w:ascii="Open Sans" w:hAnsi="Open Sans" w:cs="Open Sans"/>
                <w:b/>
                <w:lang w:val="en-US"/>
              </w:rPr>
              <w:t>-2</w:t>
            </w:r>
          </w:p>
        </w:tc>
        <w:tc>
          <w:tcPr>
            <w:tcW w:w="8363" w:type="dxa"/>
            <w:tcBorders>
              <w:top w:val="nil"/>
              <w:left w:val="nil"/>
              <w:bottom w:val="nil"/>
              <w:right w:val="nil"/>
            </w:tcBorders>
            <w:shd w:val="clear" w:color="auto" w:fill="auto"/>
          </w:tcPr>
          <w:p w:rsidR="00205F1F" w:rsidRPr="004924A4" w:rsidRDefault="00205F1F" w:rsidP="00BB2354">
            <w:pPr>
              <w:spacing w:before="240" w:after="240" w:line="360" w:lineRule="auto"/>
              <w:jc w:val="both"/>
              <w:rPr>
                <w:rFonts w:ascii="Open Sans" w:hAnsi="Open Sans" w:cs="Open Sans"/>
                <w:b/>
                <w:lang w:val="en-US"/>
              </w:rPr>
            </w:pPr>
            <w:r w:rsidRPr="004924A4">
              <w:rPr>
                <w:rFonts w:ascii="Open Sans" w:hAnsi="Open Sans" w:cs="Open Sans"/>
                <w:b/>
                <w:lang w:val="en-US"/>
              </w:rPr>
              <w:t>Minutes of ICCWG-</w:t>
            </w:r>
            <w:r w:rsidR="00061838">
              <w:rPr>
                <w:rFonts w:ascii="Open Sans" w:hAnsi="Open Sans" w:cs="Open Sans"/>
                <w:b/>
                <w:lang w:val="en-US"/>
              </w:rPr>
              <w:t>4</w:t>
            </w:r>
            <w:r w:rsidRPr="004924A4">
              <w:rPr>
                <w:rFonts w:ascii="Open Sans" w:hAnsi="Open Sans" w:cs="Open Sans"/>
                <w:b/>
                <w:lang w:val="en-US"/>
              </w:rPr>
              <w:t xml:space="preserve"> Meeting</w:t>
            </w:r>
          </w:p>
        </w:tc>
      </w:tr>
      <w:tr w:rsidR="00205F1F" w:rsidRPr="004924A4" w:rsidTr="00205F1F">
        <w:tc>
          <w:tcPr>
            <w:tcW w:w="1101" w:type="dxa"/>
            <w:tcBorders>
              <w:top w:val="nil"/>
              <w:left w:val="nil"/>
              <w:bottom w:val="nil"/>
              <w:right w:val="nil"/>
            </w:tcBorders>
            <w:shd w:val="clear" w:color="auto" w:fill="auto"/>
          </w:tcPr>
          <w:p w:rsidR="00205F1F" w:rsidRPr="004924A4" w:rsidRDefault="00205F1F" w:rsidP="00BB2354">
            <w:pPr>
              <w:spacing w:line="360" w:lineRule="auto"/>
              <w:jc w:val="both"/>
              <w:rPr>
                <w:rFonts w:ascii="Open Sans" w:hAnsi="Open Sans" w:cs="Open Sans"/>
                <w:lang w:val="en-US"/>
              </w:rPr>
            </w:pPr>
          </w:p>
        </w:tc>
        <w:tc>
          <w:tcPr>
            <w:tcW w:w="8363" w:type="dxa"/>
            <w:tcBorders>
              <w:top w:val="nil"/>
              <w:left w:val="nil"/>
              <w:bottom w:val="nil"/>
              <w:right w:val="nil"/>
            </w:tcBorders>
            <w:shd w:val="clear" w:color="auto" w:fill="auto"/>
          </w:tcPr>
          <w:p w:rsidR="00205F1F" w:rsidRDefault="00061838" w:rsidP="00BB2354">
            <w:pPr>
              <w:jc w:val="both"/>
              <w:rPr>
                <w:rFonts w:ascii="Open Sans" w:hAnsi="Open Sans" w:cs="Open Sans"/>
                <w:b/>
                <w:i/>
                <w:lang w:val="en-US"/>
              </w:rPr>
            </w:pPr>
            <w:r>
              <w:rPr>
                <w:rFonts w:ascii="Open Sans" w:hAnsi="Open Sans" w:cs="Open Sans"/>
                <w:i/>
                <w:lang w:val="en-US"/>
              </w:rPr>
              <w:t>T</w:t>
            </w:r>
            <w:r w:rsidR="00205F1F" w:rsidRPr="004924A4">
              <w:rPr>
                <w:rFonts w:ascii="Open Sans" w:hAnsi="Open Sans" w:cs="Open Sans"/>
                <w:i/>
                <w:lang w:val="en-US"/>
              </w:rPr>
              <w:t>he Chair invited the ICCWG Members to comment on the draft minutes of the last ICCWG-</w:t>
            </w:r>
            <w:r>
              <w:rPr>
                <w:rFonts w:ascii="Open Sans" w:hAnsi="Open Sans" w:cs="Open Sans"/>
                <w:i/>
                <w:lang w:val="en-US"/>
              </w:rPr>
              <w:t>4</w:t>
            </w:r>
            <w:r w:rsidR="00205F1F" w:rsidRPr="004924A4">
              <w:rPr>
                <w:rFonts w:ascii="Open Sans" w:hAnsi="Open Sans" w:cs="Open Sans"/>
                <w:i/>
                <w:lang w:val="en-US"/>
              </w:rPr>
              <w:t xml:space="preserve"> meeting. Without any comments from the floor, </w:t>
            </w:r>
            <w:r w:rsidR="00205F1F" w:rsidRPr="00BE200E">
              <w:rPr>
                <w:rFonts w:ascii="Open Sans" w:hAnsi="Open Sans" w:cs="Open Sans"/>
                <w:b/>
                <w:i/>
                <w:lang w:val="en-US"/>
              </w:rPr>
              <w:t>the ICCWG-</w:t>
            </w:r>
            <w:r>
              <w:rPr>
                <w:rFonts w:ascii="Open Sans" w:hAnsi="Open Sans" w:cs="Open Sans"/>
                <w:b/>
                <w:i/>
                <w:lang w:val="en-US"/>
              </w:rPr>
              <w:t>4</w:t>
            </w:r>
            <w:r w:rsidR="00205F1F" w:rsidRPr="00BE200E">
              <w:rPr>
                <w:rFonts w:ascii="Open Sans" w:hAnsi="Open Sans" w:cs="Open Sans"/>
                <w:b/>
                <w:i/>
                <w:lang w:val="en-US"/>
              </w:rPr>
              <w:t xml:space="preserve"> Minutes</w:t>
            </w:r>
            <w:r>
              <w:rPr>
                <w:rFonts w:ascii="Open Sans" w:hAnsi="Open Sans" w:cs="Open Sans"/>
                <w:b/>
                <w:i/>
                <w:lang w:val="en-US"/>
              </w:rPr>
              <w:t xml:space="preserve"> are approved</w:t>
            </w:r>
            <w:r w:rsidR="00205F1F" w:rsidRPr="00BE200E">
              <w:rPr>
                <w:rFonts w:ascii="Open Sans" w:hAnsi="Open Sans" w:cs="Open Sans"/>
                <w:b/>
                <w:i/>
                <w:lang w:val="en-US"/>
              </w:rPr>
              <w:t>.</w:t>
            </w:r>
          </w:p>
          <w:p w:rsidR="00DC45F7" w:rsidRPr="004924A4" w:rsidRDefault="00DC45F7" w:rsidP="00BB2354">
            <w:pPr>
              <w:jc w:val="both"/>
              <w:rPr>
                <w:rFonts w:ascii="Open Sans" w:hAnsi="Open Sans" w:cs="Open Sans"/>
                <w:i/>
                <w:lang w:val="en-US"/>
              </w:rPr>
            </w:pPr>
          </w:p>
          <w:p w:rsidR="00205F1F" w:rsidRDefault="00205F1F" w:rsidP="00BB2354">
            <w:pPr>
              <w:jc w:val="both"/>
              <w:rPr>
                <w:rFonts w:ascii="Open Sans" w:hAnsi="Open Sans" w:cs="Open Sans"/>
                <w:i/>
                <w:lang w:val="en-US"/>
              </w:rPr>
            </w:pPr>
            <w:r w:rsidRPr="004924A4">
              <w:rPr>
                <w:rFonts w:ascii="Open Sans" w:hAnsi="Open Sans" w:cs="Open Sans"/>
                <w:i/>
                <w:lang w:val="en-US"/>
              </w:rPr>
              <w:t>The Chair reviewed the MBSHC</w:t>
            </w:r>
            <w:r w:rsidR="00061838">
              <w:rPr>
                <w:rFonts w:ascii="Open Sans" w:hAnsi="Open Sans" w:cs="Open Sans"/>
                <w:i/>
                <w:lang w:val="en-US"/>
              </w:rPr>
              <w:t>20</w:t>
            </w:r>
            <w:r w:rsidR="004B6448">
              <w:rPr>
                <w:rFonts w:ascii="Open Sans" w:hAnsi="Open Sans" w:cs="Open Sans"/>
                <w:i/>
                <w:lang w:val="en-US"/>
              </w:rPr>
              <w:t xml:space="preserve"> actions affecting the ICCWG</w:t>
            </w:r>
            <w:r w:rsidRPr="004924A4">
              <w:rPr>
                <w:rFonts w:ascii="Open Sans" w:hAnsi="Open Sans" w:cs="Open Sans"/>
                <w:i/>
                <w:lang w:val="en-US"/>
              </w:rPr>
              <w:t xml:space="preserve"> </w:t>
            </w:r>
            <w:r w:rsidR="004B6448">
              <w:rPr>
                <w:rFonts w:ascii="Open Sans" w:hAnsi="Open Sans" w:cs="Open Sans"/>
                <w:i/>
                <w:lang w:val="en-US"/>
              </w:rPr>
              <w:t>not covered in a</w:t>
            </w:r>
            <w:r w:rsidR="003C7E81">
              <w:rPr>
                <w:rFonts w:ascii="Open Sans" w:hAnsi="Open Sans" w:cs="Open Sans"/>
                <w:i/>
                <w:lang w:val="en-US"/>
              </w:rPr>
              <w:t xml:space="preserve"> dedicated ICCWG-5</w:t>
            </w:r>
            <w:r w:rsidRPr="004924A4">
              <w:rPr>
                <w:rFonts w:ascii="Open Sans" w:hAnsi="Open Sans" w:cs="Open Sans"/>
                <w:i/>
                <w:lang w:val="en-US"/>
              </w:rPr>
              <w:t xml:space="preserve"> agenda item. </w:t>
            </w:r>
          </w:p>
          <w:p w:rsidR="00752251" w:rsidRDefault="00752251" w:rsidP="00BB2354">
            <w:pPr>
              <w:jc w:val="both"/>
              <w:rPr>
                <w:rFonts w:ascii="Open Sans" w:hAnsi="Open Sans" w:cs="Open Sans"/>
                <w:i/>
                <w:lang w:val="en-US"/>
              </w:rPr>
            </w:pPr>
          </w:p>
          <w:p w:rsidR="004B6448" w:rsidRPr="00DC45F7" w:rsidRDefault="00587F5D" w:rsidP="00BB2354">
            <w:pPr>
              <w:pStyle w:val="ListParagraph"/>
              <w:numPr>
                <w:ilvl w:val="0"/>
                <w:numId w:val="9"/>
              </w:numPr>
              <w:jc w:val="both"/>
              <w:rPr>
                <w:rFonts w:ascii="Open Sans" w:hAnsi="Open Sans" w:cs="Open Sans"/>
                <w:i/>
                <w:lang w:val="en-US"/>
              </w:rPr>
            </w:pPr>
            <w:r w:rsidRPr="004E70FE">
              <w:rPr>
                <w:rFonts w:ascii="Open Sans" w:hAnsi="Open Sans" w:cs="Open Sans"/>
                <w:b/>
                <w:bCs/>
                <w:u w:val="single"/>
              </w:rPr>
              <w:t>MBSHC2</w:t>
            </w:r>
            <w:r w:rsidR="00553B73">
              <w:rPr>
                <w:rFonts w:ascii="Open Sans" w:hAnsi="Open Sans" w:cs="Open Sans"/>
                <w:b/>
                <w:bCs/>
                <w:u w:val="single"/>
              </w:rPr>
              <w:t>0</w:t>
            </w:r>
            <w:r w:rsidRPr="004E70FE">
              <w:rPr>
                <w:rFonts w:ascii="Open Sans" w:hAnsi="Open Sans" w:cs="Open Sans"/>
                <w:b/>
                <w:bCs/>
                <w:u w:val="single"/>
              </w:rPr>
              <w:t>/</w:t>
            </w:r>
            <w:r w:rsidR="00553B73">
              <w:rPr>
                <w:rFonts w:ascii="Open Sans" w:hAnsi="Open Sans" w:cs="Open Sans"/>
                <w:b/>
                <w:bCs/>
                <w:u w:val="single"/>
              </w:rPr>
              <w:t>08</w:t>
            </w:r>
            <w:r w:rsidR="00752251" w:rsidRPr="004E70FE">
              <w:rPr>
                <w:rFonts w:ascii="Open Sans" w:hAnsi="Open Sans" w:cs="Open Sans"/>
                <w:b/>
                <w:bCs/>
                <w:u w:val="single"/>
              </w:rPr>
              <w:t xml:space="preserve">: </w:t>
            </w:r>
            <w:r w:rsidR="00752251" w:rsidRPr="004E70FE">
              <w:rPr>
                <w:rFonts w:ascii="Open Sans" w:hAnsi="Open Sans" w:cs="Open Sans"/>
                <w:b/>
              </w:rPr>
              <w:t>Member States and Associate members to ensure that the information on any requirements for ECDIS back-up arrangements using paper charts have been posted on the IHO website, and to update or give confirmation of no change at least once a year.</w:t>
            </w:r>
          </w:p>
          <w:p w:rsidR="00DC45F7" w:rsidRPr="00DC45F7" w:rsidRDefault="00DC45F7" w:rsidP="00BB2354">
            <w:pPr>
              <w:jc w:val="both"/>
              <w:rPr>
                <w:rFonts w:ascii="Open Sans" w:hAnsi="Open Sans" w:cs="Open Sans"/>
                <w:i/>
                <w:lang w:val="en-US"/>
              </w:rPr>
            </w:pPr>
          </w:p>
          <w:p w:rsidR="00553B73" w:rsidRPr="008E43F6" w:rsidRDefault="00553B73" w:rsidP="00BB2354">
            <w:pPr>
              <w:jc w:val="both"/>
              <w:rPr>
                <w:rFonts w:ascii="Open Sans" w:hAnsi="Open Sans" w:cs="Open Sans"/>
                <w:b/>
                <w:i/>
                <w:lang w:val="en-US"/>
              </w:rPr>
            </w:pPr>
            <w:r>
              <w:rPr>
                <w:rFonts w:ascii="Open Sans" w:hAnsi="Open Sans" w:cs="Open Sans"/>
                <w:i/>
                <w:lang w:val="en-US"/>
              </w:rPr>
              <w:t xml:space="preserve">Updates were received from GB, GR, HR, IT, RO, TN and UA: </w:t>
            </w:r>
            <w:r w:rsidRPr="008E43F6">
              <w:rPr>
                <w:rFonts w:ascii="Open Sans" w:hAnsi="Open Sans" w:cs="Open Sans"/>
                <w:b/>
                <w:i/>
                <w:lang w:val="en-US"/>
              </w:rPr>
              <w:t>permanent action.</w:t>
            </w:r>
          </w:p>
          <w:p w:rsidR="00553B73" w:rsidRDefault="00553B73" w:rsidP="00BB2354">
            <w:pPr>
              <w:jc w:val="both"/>
              <w:rPr>
                <w:rFonts w:ascii="Open Sans" w:hAnsi="Open Sans" w:cs="Open Sans"/>
                <w:i/>
                <w:lang w:val="en-US"/>
              </w:rPr>
            </w:pPr>
            <w:r>
              <w:rPr>
                <w:rFonts w:ascii="Open Sans" w:hAnsi="Open Sans" w:cs="Open Sans"/>
                <w:i/>
                <w:lang w:val="en-US"/>
              </w:rPr>
              <w:t xml:space="preserve"> </w:t>
            </w:r>
          </w:p>
          <w:p w:rsidR="00752251" w:rsidRPr="00DC45F7" w:rsidRDefault="00752251" w:rsidP="00BB2354">
            <w:pPr>
              <w:pStyle w:val="ListParagraph"/>
              <w:numPr>
                <w:ilvl w:val="0"/>
                <w:numId w:val="9"/>
              </w:numPr>
              <w:jc w:val="both"/>
              <w:rPr>
                <w:rFonts w:ascii="Open Sans" w:hAnsi="Open Sans" w:cs="Open Sans"/>
                <w:b/>
                <w:i/>
                <w:lang w:val="en-US"/>
              </w:rPr>
            </w:pPr>
            <w:r w:rsidRPr="004E70FE">
              <w:rPr>
                <w:rFonts w:ascii="Open Sans" w:hAnsi="Open Sans" w:cs="Open Sans"/>
                <w:b/>
                <w:bCs/>
                <w:u w:val="single"/>
              </w:rPr>
              <w:lastRenderedPageBreak/>
              <w:t>MBSHC2</w:t>
            </w:r>
            <w:r w:rsidR="00553B73">
              <w:rPr>
                <w:rFonts w:ascii="Open Sans" w:hAnsi="Open Sans" w:cs="Open Sans"/>
                <w:b/>
                <w:bCs/>
                <w:u w:val="single"/>
              </w:rPr>
              <w:t>0</w:t>
            </w:r>
            <w:r w:rsidRPr="004E70FE">
              <w:rPr>
                <w:rFonts w:ascii="Open Sans" w:hAnsi="Open Sans" w:cs="Open Sans"/>
                <w:b/>
                <w:bCs/>
                <w:u w:val="single"/>
              </w:rPr>
              <w:t>/</w:t>
            </w:r>
            <w:r w:rsidR="00553B73">
              <w:rPr>
                <w:rFonts w:ascii="Open Sans" w:hAnsi="Open Sans" w:cs="Open Sans"/>
                <w:b/>
                <w:bCs/>
                <w:u w:val="single"/>
              </w:rPr>
              <w:t>1</w:t>
            </w:r>
            <w:r w:rsidRPr="004E70FE">
              <w:rPr>
                <w:rFonts w:ascii="Open Sans" w:hAnsi="Open Sans" w:cs="Open Sans"/>
                <w:b/>
                <w:bCs/>
                <w:u w:val="single"/>
              </w:rPr>
              <w:t>6:</w:t>
            </w:r>
            <w:r w:rsidRPr="004E70FE">
              <w:rPr>
                <w:rFonts w:ascii="Open Sans" w:hAnsi="Open Sans" w:cs="Open Sans"/>
                <w:b/>
                <w:bCs/>
              </w:rPr>
              <w:t xml:space="preserve"> </w:t>
            </w:r>
            <w:r w:rsidRPr="004E70FE">
              <w:rPr>
                <w:rFonts w:ascii="Open Sans" w:hAnsi="Open Sans" w:cs="Open Sans"/>
                <w:b/>
                <w:bCs/>
                <w:lang w:eastAsia="el-GR"/>
              </w:rPr>
              <w:t>EG to propose a transition plan including procedure for reprint agreement prior to endorsement in the region F catalogue</w:t>
            </w:r>
          </w:p>
          <w:p w:rsidR="00DC45F7" w:rsidRPr="00DC45F7" w:rsidRDefault="00DC45F7" w:rsidP="00BB2354">
            <w:pPr>
              <w:jc w:val="both"/>
              <w:rPr>
                <w:rFonts w:ascii="Open Sans" w:hAnsi="Open Sans" w:cs="Open Sans"/>
                <w:b/>
                <w:i/>
                <w:lang w:val="en-US"/>
              </w:rPr>
            </w:pPr>
          </w:p>
          <w:p w:rsidR="00553B73" w:rsidRPr="00553B73" w:rsidRDefault="00553B73" w:rsidP="00BB2354">
            <w:pPr>
              <w:jc w:val="both"/>
              <w:rPr>
                <w:rFonts w:ascii="Open Sans" w:hAnsi="Open Sans" w:cs="Open Sans"/>
                <w:b/>
                <w:bCs/>
                <w:i/>
                <w:lang w:eastAsia="el-GR"/>
              </w:rPr>
            </w:pPr>
            <w:r>
              <w:rPr>
                <w:rFonts w:ascii="Open Sans" w:hAnsi="Open Sans" w:cs="Open Sans"/>
                <w:i/>
                <w:lang w:val="en-US"/>
              </w:rPr>
              <w:t>EG and GB are working on a transition plan for INT charts and ENCs covering Egypt Mediterranean shores, no issues were raised</w:t>
            </w:r>
            <w:r w:rsidR="00A4367F">
              <w:rPr>
                <w:rFonts w:ascii="Open Sans" w:hAnsi="Open Sans" w:cs="Open Sans"/>
                <w:i/>
                <w:lang w:val="en-US"/>
              </w:rPr>
              <w:t>.</w:t>
            </w:r>
          </w:p>
          <w:p w:rsidR="004E70FE" w:rsidRPr="004E70FE" w:rsidRDefault="004E70FE" w:rsidP="00BB2354">
            <w:pPr>
              <w:pStyle w:val="ListParagraph"/>
              <w:jc w:val="both"/>
              <w:rPr>
                <w:rFonts w:ascii="Open Sans" w:hAnsi="Open Sans" w:cs="Open Sans"/>
                <w:b/>
                <w:i/>
                <w:lang w:val="en-US"/>
              </w:rPr>
            </w:pPr>
          </w:p>
          <w:p w:rsidR="004E70FE" w:rsidRPr="004E70FE" w:rsidRDefault="004E70FE" w:rsidP="00BB2354">
            <w:pPr>
              <w:jc w:val="both"/>
              <w:rPr>
                <w:rFonts w:ascii="Open Sans" w:hAnsi="Open Sans" w:cs="Open Sans"/>
                <w:b/>
                <w:i/>
                <w:lang w:val="en-US"/>
              </w:rPr>
            </w:pPr>
          </w:p>
        </w:tc>
      </w:tr>
      <w:tr w:rsidR="00205F1F" w:rsidRPr="004924A4" w:rsidTr="00205F1F">
        <w:tc>
          <w:tcPr>
            <w:tcW w:w="1101" w:type="dxa"/>
            <w:tcBorders>
              <w:top w:val="nil"/>
              <w:left w:val="nil"/>
              <w:bottom w:val="nil"/>
              <w:right w:val="nil"/>
            </w:tcBorders>
            <w:shd w:val="clear" w:color="auto" w:fill="auto"/>
          </w:tcPr>
          <w:p w:rsidR="00205F1F" w:rsidRPr="004924A4" w:rsidRDefault="00104250" w:rsidP="00BB2354">
            <w:pPr>
              <w:spacing w:before="240" w:after="240" w:line="360" w:lineRule="auto"/>
              <w:jc w:val="both"/>
              <w:rPr>
                <w:rFonts w:ascii="Open Sans" w:hAnsi="Open Sans" w:cs="Open Sans"/>
                <w:b/>
                <w:lang w:val="en-US"/>
              </w:rPr>
            </w:pPr>
            <w:r>
              <w:rPr>
                <w:rFonts w:ascii="Open Sans" w:hAnsi="Open Sans" w:cs="Open Sans"/>
                <w:b/>
                <w:lang w:val="en-US"/>
              </w:rPr>
              <w:lastRenderedPageBreak/>
              <w:t>ICC5</w:t>
            </w:r>
            <w:r w:rsidR="00205F1F" w:rsidRPr="004924A4">
              <w:rPr>
                <w:rFonts w:ascii="Open Sans" w:hAnsi="Open Sans" w:cs="Open Sans"/>
                <w:b/>
                <w:lang w:val="en-US"/>
              </w:rPr>
              <w:t>-3</w:t>
            </w:r>
          </w:p>
        </w:tc>
        <w:tc>
          <w:tcPr>
            <w:tcW w:w="8363" w:type="dxa"/>
            <w:tcBorders>
              <w:top w:val="nil"/>
              <w:left w:val="nil"/>
              <w:bottom w:val="nil"/>
              <w:right w:val="nil"/>
            </w:tcBorders>
            <w:shd w:val="clear" w:color="auto" w:fill="auto"/>
          </w:tcPr>
          <w:p w:rsidR="00205F1F" w:rsidRPr="004924A4" w:rsidRDefault="00205F1F" w:rsidP="00BB2354">
            <w:pPr>
              <w:spacing w:before="240" w:after="240" w:line="360" w:lineRule="auto"/>
              <w:jc w:val="both"/>
              <w:rPr>
                <w:rFonts w:ascii="Open Sans" w:hAnsi="Open Sans" w:cs="Open Sans"/>
                <w:b/>
                <w:lang w:val="en-US"/>
              </w:rPr>
            </w:pPr>
            <w:r w:rsidRPr="004924A4">
              <w:rPr>
                <w:rFonts w:ascii="Open Sans" w:hAnsi="Open Sans" w:cs="Open Sans"/>
                <w:b/>
                <w:lang w:val="en-US"/>
              </w:rPr>
              <w:t>Region F INT scheme status</w:t>
            </w:r>
          </w:p>
        </w:tc>
      </w:tr>
      <w:tr w:rsidR="00205F1F" w:rsidRPr="004924A4" w:rsidTr="00205F1F">
        <w:tc>
          <w:tcPr>
            <w:tcW w:w="1101" w:type="dxa"/>
            <w:tcBorders>
              <w:top w:val="nil"/>
              <w:left w:val="nil"/>
              <w:bottom w:val="nil"/>
              <w:right w:val="nil"/>
            </w:tcBorders>
            <w:shd w:val="clear" w:color="auto" w:fill="auto"/>
          </w:tcPr>
          <w:p w:rsidR="00205F1F" w:rsidRPr="004924A4" w:rsidRDefault="00205F1F" w:rsidP="00BB2354">
            <w:pPr>
              <w:spacing w:line="360" w:lineRule="auto"/>
              <w:jc w:val="both"/>
              <w:rPr>
                <w:rFonts w:ascii="Open Sans" w:hAnsi="Open Sans" w:cs="Open Sans"/>
                <w:lang w:val="en-US"/>
              </w:rPr>
            </w:pPr>
          </w:p>
        </w:tc>
        <w:tc>
          <w:tcPr>
            <w:tcW w:w="8363" w:type="dxa"/>
            <w:tcBorders>
              <w:top w:val="nil"/>
              <w:left w:val="nil"/>
              <w:bottom w:val="nil"/>
              <w:right w:val="nil"/>
            </w:tcBorders>
            <w:shd w:val="clear" w:color="auto" w:fill="auto"/>
          </w:tcPr>
          <w:p w:rsidR="00205F1F" w:rsidRDefault="00205F1F" w:rsidP="00BB2354">
            <w:pPr>
              <w:jc w:val="both"/>
              <w:rPr>
                <w:rFonts w:ascii="Open Sans" w:hAnsi="Open Sans" w:cs="Open Sans"/>
                <w:i/>
                <w:lang w:val="en-US"/>
              </w:rPr>
            </w:pPr>
            <w:r w:rsidRPr="004924A4">
              <w:rPr>
                <w:rFonts w:ascii="Open Sans" w:hAnsi="Open Sans" w:cs="Open Sans"/>
                <w:i/>
                <w:lang w:val="en-US"/>
              </w:rPr>
              <w:t xml:space="preserve">The ICCWG Chair first reported briefly on the evolution of the regional INT catalogue, underlining the </w:t>
            </w:r>
            <w:r w:rsidR="00FA6B62">
              <w:rPr>
                <w:rFonts w:ascii="Open Sans" w:hAnsi="Open Sans" w:cs="Open Sans"/>
                <w:i/>
                <w:lang w:val="en-US"/>
              </w:rPr>
              <w:t>fact that</w:t>
            </w:r>
            <w:r w:rsidRPr="004924A4">
              <w:rPr>
                <w:rFonts w:ascii="Open Sans" w:hAnsi="Open Sans" w:cs="Open Sans"/>
                <w:i/>
                <w:lang w:val="en-US"/>
              </w:rPr>
              <w:t xml:space="preserve"> the </w:t>
            </w:r>
            <w:proofErr w:type="spellStart"/>
            <w:r w:rsidRPr="004924A4">
              <w:rPr>
                <w:rFonts w:ascii="Open Sans" w:hAnsi="Open Sans" w:cs="Open Sans"/>
                <w:i/>
                <w:lang w:val="en-US"/>
              </w:rPr>
              <w:t>INToGIS</w:t>
            </w:r>
            <w:proofErr w:type="spellEnd"/>
            <w:r w:rsidRPr="004924A4">
              <w:rPr>
                <w:rFonts w:ascii="Open Sans" w:hAnsi="Open Sans" w:cs="Open Sans"/>
                <w:i/>
                <w:lang w:val="en-US"/>
              </w:rPr>
              <w:t xml:space="preserve"> web solution </w:t>
            </w:r>
            <w:r w:rsidR="00FA6B62">
              <w:rPr>
                <w:rFonts w:ascii="Open Sans" w:hAnsi="Open Sans" w:cs="Open Sans"/>
                <w:i/>
                <w:lang w:val="en-US"/>
              </w:rPr>
              <w:t>is now routinely used by MS. IHO Secretariat can provide new or lost account access details.</w:t>
            </w:r>
          </w:p>
          <w:p w:rsidR="00DC45F7" w:rsidRDefault="00DC45F7" w:rsidP="00BB2354">
            <w:pPr>
              <w:jc w:val="both"/>
              <w:rPr>
                <w:rFonts w:ascii="Open Sans" w:hAnsi="Open Sans" w:cs="Open Sans"/>
                <w:i/>
                <w:lang w:val="en-US"/>
              </w:rPr>
            </w:pPr>
          </w:p>
          <w:p w:rsidR="00FA6B62" w:rsidRDefault="00FA6B62" w:rsidP="00BB2354">
            <w:pPr>
              <w:pStyle w:val="ListParagraph"/>
              <w:numPr>
                <w:ilvl w:val="0"/>
                <w:numId w:val="10"/>
              </w:numPr>
              <w:jc w:val="both"/>
              <w:rPr>
                <w:rFonts w:ascii="Open Sans" w:hAnsi="Open Sans" w:cs="Open Sans"/>
                <w:b/>
              </w:rPr>
            </w:pPr>
            <w:r w:rsidRPr="004E70FE">
              <w:rPr>
                <w:rFonts w:ascii="Open Sans" w:hAnsi="Open Sans" w:cs="Open Sans"/>
                <w:b/>
                <w:bCs/>
                <w:u w:val="single"/>
              </w:rPr>
              <w:t>MBSHC2</w:t>
            </w:r>
            <w:r w:rsidR="00553B73">
              <w:rPr>
                <w:rFonts w:ascii="Open Sans" w:hAnsi="Open Sans" w:cs="Open Sans"/>
                <w:b/>
                <w:bCs/>
                <w:u w:val="single"/>
              </w:rPr>
              <w:t>0</w:t>
            </w:r>
            <w:r w:rsidRPr="004E70FE">
              <w:rPr>
                <w:rFonts w:ascii="Open Sans" w:hAnsi="Open Sans" w:cs="Open Sans"/>
                <w:b/>
                <w:bCs/>
                <w:u w:val="single"/>
              </w:rPr>
              <w:t>/</w:t>
            </w:r>
            <w:r w:rsidR="00553B73">
              <w:rPr>
                <w:rFonts w:ascii="Open Sans" w:hAnsi="Open Sans" w:cs="Open Sans"/>
                <w:b/>
                <w:bCs/>
                <w:u w:val="single"/>
              </w:rPr>
              <w:t>15</w:t>
            </w:r>
            <w:r w:rsidRPr="004E70FE">
              <w:rPr>
                <w:rFonts w:ascii="Open Sans" w:hAnsi="Open Sans" w:cs="Open Sans"/>
                <w:b/>
                <w:bCs/>
                <w:u w:val="single"/>
              </w:rPr>
              <w:t>:</w:t>
            </w:r>
            <w:r w:rsidRPr="004E70FE">
              <w:rPr>
                <w:rFonts w:ascii="Open Sans" w:hAnsi="Open Sans" w:cs="Open Sans"/>
                <w:b/>
                <w:bCs/>
              </w:rPr>
              <w:t xml:space="preserve"> </w:t>
            </w:r>
            <w:r w:rsidRPr="004E70FE">
              <w:rPr>
                <w:rFonts w:ascii="Open Sans" w:hAnsi="Open Sans" w:cs="Open Sans"/>
                <w:b/>
              </w:rPr>
              <w:t xml:space="preserve">Member States to liaise with </w:t>
            </w:r>
            <w:proofErr w:type="spellStart"/>
            <w:r w:rsidRPr="004E70FE">
              <w:rPr>
                <w:rFonts w:ascii="Open Sans" w:hAnsi="Open Sans" w:cs="Open Sans"/>
                <w:b/>
              </w:rPr>
              <w:t>INToGIS</w:t>
            </w:r>
            <w:proofErr w:type="spellEnd"/>
            <w:r w:rsidRPr="004E70FE">
              <w:rPr>
                <w:rFonts w:ascii="Open Sans" w:hAnsi="Open Sans" w:cs="Open Sans"/>
                <w:b/>
              </w:rPr>
              <w:t xml:space="preserve"> Management team (IHO Secretariat) to retrieve their national account access details</w:t>
            </w:r>
          </w:p>
          <w:p w:rsidR="00DC45F7" w:rsidRPr="00DC45F7" w:rsidRDefault="00DC45F7" w:rsidP="00BB2354">
            <w:pPr>
              <w:jc w:val="both"/>
              <w:rPr>
                <w:rFonts w:ascii="Open Sans" w:hAnsi="Open Sans" w:cs="Open Sans"/>
                <w:b/>
              </w:rPr>
            </w:pPr>
          </w:p>
          <w:p w:rsidR="008E43F6" w:rsidRDefault="008E43F6" w:rsidP="00BB2354">
            <w:pPr>
              <w:jc w:val="both"/>
              <w:rPr>
                <w:rFonts w:ascii="Open Sans" w:hAnsi="Open Sans" w:cs="Open Sans"/>
                <w:i/>
              </w:rPr>
            </w:pPr>
            <w:r>
              <w:rPr>
                <w:rFonts w:ascii="Open Sans" w:hAnsi="Open Sans" w:cs="Open Sans"/>
                <w:i/>
              </w:rPr>
              <w:t>DZ, EG, MA and TN have retrieved their account details since MBSHC20.</w:t>
            </w:r>
          </w:p>
          <w:p w:rsidR="008E43F6" w:rsidRPr="008E43F6" w:rsidRDefault="008E43F6" w:rsidP="00BB2354">
            <w:pPr>
              <w:jc w:val="both"/>
              <w:rPr>
                <w:rFonts w:ascii="Open Sans" w:hAnsi="Open Sans" w:cs="Open Sans"/>
                <w:i/>
              </w:rPr>
            </w:pPr>
          </w:p>
          <w:p w:rsidR="008E43F6" w:rsidRPr="004945FD" w:rsidRDefault="008E43F6" w:rsidP="00BB2354">
            <w:pPr>
              <w:pStyle w:val="ListParagraph"/>
              <w:numPr>
                <w:ilvl w:val="0"/>
                <w:numId w:val="10"/>
              </w:numPr>
              <w:jc w:val="both"/>
              <w:rPr>
                <w:rFonts w:ascii="Open Sans" w:hAnsi="Open Sans" w:cs="Open Sans"/>
                <w:b/>
                <w:lang w:val="en-US"/>
              </w:rPr>
            </w:pPr>
            <w:r w:rsidRPr="004E70FE">
              <w:rPr>
                <w:rFonts w:ascii="Open Sans" w:hAnsi="Open Sans" w:cs="Open Sans"/>
                <w:b/>
                <w:bCs/>
                <w:u w:val="single"/>
              </w:rPr>
              <w:t>MBSHC2</w:t>
            </w:r>
            <w:r>
              <w:rPr>
                <w:rFonts w:ascii="Open Sans" w:hAnsi="Open Sans" w:cs="Open Sans"/>
                <w:b/>
                <w:bCs/>
                <w:u w:val="single"/>
              </w:rPr>
              <w:t>0</w:t>
            </w:r>
            <w:r w:rsidRPr="004E70FE">
              <w:rPr>
                <w:rFonts w:ascii="Open Sans" w:hAnsi="Open Sans" w:cs="Open Sans"/>
                <w:b/>
                <w:bCs/>
                <w:u w:val="single"/>
              </w:rPr>
              <w:t>/</w:t>
            </w:r>
            <w:r>
              <w:rPr>
                <w:rFonts w:ascii="Open Sans" w:hAnsi="Open Sans" w:cs="Open Sans"/>
                <w:b/>
                <w:bCs/>
                <w:u w:val="single"/>
              </w:rPr>
              <w:t>35</w:t>
            </w:r>
            <w:r w:rsidRPr="004E70FE">
              <w:rPr>
                <w:rFonts w:ascii="Open Sans" w:hAnsi="Open Sans" w:cs="Open Sans"/>
                <w:b/>
                <w:bCs/>
                <w:u w:val="single"/>
              </w:rPr>
              <w:t>:</w:t>
            </w:r>
            <w:r w:rsidRPr="004E70FE">
              <w:rPr>
                <w:rFonts w:ascii="Open Sans" w:hAnsi="Open Sans" w:cs="Open Sans"/>
                <w:b/>
                <w:bCs/>
              </w:rPr>
              <w:t xml:space="preserve"> </w:t>
            </w:r>
            <w:r w:rsidRPr="008E43F6">
              <w:rPr>
                <w:rFonts w:ascii="Open Sans" w:hAnsi="Open Sans" w:cs="Open Sans"/>
                <w:b/>
                <w:lang w:val="en-US"/>
              </w:rPr>
              <w:t>MS to check and, if necessary, update their INT charts metadata (chart limit, title, year, format, scale, etc.) in</w:t>
            </w:r>
            <w:r w:rsidRPr="004945FD">
              <w:rPr>
                <w:rFonts w:ascii="Open Sans" w:hAnsi="Open Sans" w:cs="Open Sans"/>
                <w:b/>
                <w:lang w:val="en-US"/>
              </w:rPr>
              <w:t xml:space="preserve">cluded in the region F INT catalogue using their </w:t>
            </w:r>
            <w:proofErr w:type="spellStart"/>
            <w:r w:rsidRPr="004945FD">
              <w:rPr>
                <w:rFonts w:ascii="Open Sans" w:hAnsi="Open Sans" w:cs="Open Sans"/>
                <w:b/>
                <w:lang w:val="en-US"/>
              </w:rPr>
              <w:t>INToGIS</w:t>
            </w:r>
            <w:proofErr w:type="spellEnd"/>
            <w:r w:rsidRPr="004945FD">
              <w:rPr>
                <w:rFonts w:ascii="Open Sans" w:hAnsi="Open Sans" w:cs="Open Sans"/>
                <w:b/>
                <w:lang w:val="en-US"/>
              </w:rPr>
              <w:t xml:space="preserve"> national account.</w:t>
            </w:r>
          </w:p>
          <w:p w:rsidR="00DC45F7" w:rsidRPr="004945FD" w:rsidRDefault="00DC45F7" w:rsidP="00BB2354">
            <w:pPr>
              <w:jc w:val="both"/>
              <w:rPr>
                <w:rFonts w:ascii="Open Sans" w:hAnsi="Open Sans" w:cs="Open Sans"/>
                <w:b/>
                <w:lang w:val="en-US"/>
              </w:rPr>
            </w:pPr>
          </w:p>
          <w:p w:rsidR="004E70FE" w:rsidRPr="004E70FE" w:rsidRDefault="008E43F6" w:rsidP="00BB2354">
            <w:pPr>
              <w:jc w:val="both"/>
              <w:rPr>
                <w:rFonts w:ascii="Open Sans" w:hAnsi="Open Sans" w:cs="Open Sans"/>
                <w:i/>
                <w:lang w:val="en-US"/>
              </w:rPr>
            </w:pPr>
            <w:r>
              <w:rPr>
                <w:rFonts w:ascii="Open Sans" w:hAnsi="Open Sans" w:cs="Open Sans"/>
                <w:i/>
                <w:lang w:val="en-US"/>
              </w:rPr>
              <w:t>Updates were received from DZ, ES, FR, GB, GE, HR and UA. Current version of the catalog is V3.0.6, June 2019, comprising 220 produced and 86 schemed INT charts.</w:t>
            </w:r>
          </w:p>
          <w:p w:rsidR="00205F1F" w:rsidRPr="004924A4" w:rsidRDefault="00205F1F" w:rsidP="00BB2354">
            <w:pPr>
              <w:jc w:val="both"/>
              <w:rPr>
                <w:rFonts w:ascii="Open Sans" w:hAnsi="Open Sans" w:cs="Open Sans"/>
                <w:i/>
                <w:lang w:val="en-US"/>
              </w:rPr>
            </w:pPr>
          </w:p>
          <w:p w:rsidR="00205F1F" w:rsidRPr="004924A4" w:rsidRDefault="00205F1F" w:rsidP="00BB2354">
            <w:pPr>
              <w:jc w:val="both"/>
              <w:rPr>
                <w:rFonts w:ascii="Open Sans" w:hAnsi="Open Sans" w:cs="Open Sans"/>
                <w:i/>
                <w:lang w:val="en-US"/>
              </w:rPr>
            </w:pPr>
            <w:r w:rsidRPr="004924A4">
              <w:rPr>
                <w:rFonts w:ascii="Open Sans" w:hAnsi="Open Sans" w:cs="Open Sans"/>
                <w:i/>
                <w:lang w:val="en-US"/>
              </w:rPr>
              <w:t>Then, the MBSHC</w:t>
            </w:r>
            <w:r w:rsidR="008E43F6">
              <w:rPr>
                <w:rFonts w:ascii="Open Sans" w:hAnsi="Open Sans" w:cs="Open Sans"/>
                <w:i/>
                <w:lang w:val="en-US"/>
              </w:rPr>
              <w:t>20</w:t>
            </w:r>
            <w:r w:rsidRPr="004924A4">
              <w:rPr>
                <w:rFonts w:ascii="Open Sans" w:hAnsi="Open Sans" w:cs="Open Sans"/>
                <w:i/>
                <w:lang w:val="en-US"/>
              </w:rPr>
              <w:t xml:space="preserve"> actions related to the INT chart catalogue were addressed:</w:t>
            </w:r>
          </w:p>
          <w:p w:rsidR="00205F1F" w:rsidRPr="00FC23DE" w:rsidRDefault="00205F1F" w:rsidP="00BB2354">
            <w:pPr>
              <w:numPr>
                <w:ilvl w:val="0"/>
                <w:numId w:val="3"/>
              </w:numPr>
              <w:spacing w:after="240"/>
              <w:jc w:val="both"/>
              <w:rPr>
                <w:rFonts w:ascii="Open Sans" w:hAnsi="Open Sans" w:cs="Open Sans"/>
                <w:b/>
                <w:lang w:val="en-US"/>
              </w:rPr>
            </w:pPr>
            <w:r w:rsidRPr="00FC23DE">
              <w:rPr>
                <w:rFonts w:ascii="Open Sans" w:hAnsi="Open Sans" w:cs="Open Sans"/>
                <w:b/>
                <w:u w:val="single"/>
                <w:lang w:val="en-US"/>
              </w:rPr>
              <w:t>MBSHC</w:t>
            </w:r>
            <w:r w:rsidR="00553B73">
              <w:rPr>
                <w:rFonts w:ascii="Open Sans" w:hAnsi="Open Sans" w:cs="Open Sans"/>
                <w:b/>
                <w:u w:val="single"/>
                <w:lang w:val="en-US"/>
              </w:rPr>
              <w:t>20</w:t>
            </w:r>
            <w:r w:rsidRPr="00FC23DE">
              <w:rPr>
                <w:rFonts w:ascii="Open Sans" w:hAnsi="Open Sans" w:cs="Open Sans"/>
                <w:b/>
                <w:u w:val="single"/>
                <w:lang w:val="en-US"/>
              </w:rPr>
              <w:t>/</w:t>
            </w:r>
            <w:r w:rsidR="00553B73">
              <w:rPr>
                <w:rFonts w:ascii="Open Sans" w:hAnsi="Open Sans" w:cs="Open Sans"/>
                <w:b/>
                <w:u w:val="single"/>
                <w:lang w:val="en-US"/>
              </w:rPr>
              <w:t>32</w:t>
            </w:r>
            <w:r w:rsidRPr="00FC23DE">
              <w:rPr>
                <w:rFonts w:ascii="Open Sans" w:hAnsi="Open Sans" w:cs="Open Sans"/>
                <w:b/>
                <w:u w:val="single"/>
                <w:lang w:val="en-US"/>
              </w:rPr>
              <w:t>:</w:t>
            </w:r>
            <w:r w:rsidRPr="00FC23DE">
              <w:rPr>
                <w:rFonts w:ascii="Open Sans" w:hAnsi="Open Sans" w:cs="Open Sans"/>
                <w:b/>
                <w:lang w:val="en-US"/>
              </w:rPr>
              <w:t xml:space="preserve"> </w:t>
            </w:r>
            <w:r w:rsidR="00553B73" w:rsidRPr="00553B73">
              <w:rPr>
                <w:rFonts w:ascii="Open Sans" w:hAnsi="Open Sans" w:cs="Open Sans"/>
                <w:b/>
              </w:rPr>
              <w:t xml:space="preserve">New INT chart producers to provide Region F ICC with the INT charts </w:t>
            </w:r>
            <w:proofErr w:type="spellStart"/>
            <w:r w:rsidR="00553B73" w:rsidRPr="00553B73">
              <w:rPr>
                <w:rFonts w:ascii="Open Sans" w:hAnsi="Open Sans" w:cs="Open Sans"/>
                <w:b/>
              </w:rPr>
              <w:t>iaw</w:t>
            </w:r>
            <w:proofErr w:type="spellEnd"/>
            <w:r w:rsidR="00553B73" w:rsidRPr="00553B73">
              <w:rPr>
                <w:rFonts w:ascii="Open Sans" w:hAnsi="Open Sans" w:cs="Open Sans"/>
                <w:b/>
              </w:rPr>
              <w:t xml:space="preserve"> IRCC7 Decision3</w:t>
            </w:r>
            <w:r w:rsidRPr="00FC23DE">
              <w:rPr>
                <w:rFonts w:ascii="Open Sans" w:hAnsi="Open Sans" w:cs="Open Sans"/>
                <w:b/>
                <w:lang w:val="en-US"/>
              </w:rPr>
              <w:t>.</w:t>
            </w:r>
          </w:p>
          <w:p w:rsidR="00205F1F" w:rsidRDefault="00553B73" w:rsidP="00BB2354">
            <w:pPr>
              <w:spacing w:after="240"/>
              <w:jc w:val="both"/>
              <w:rPr>
                <w:rFonts w:ascii="Open Sans" w:hAnsi="Open Sans" w:cs="Open Sans"/>
                <w:i/>
                <w:lang w:val="en-US"/>
              </w:rPr>
            </w:pPr>
            <w:r>
              <w:rPr>
                <w:rFonts w:ascii="Open Sans" w:hAnsi="Open Sans" w:cs="Open Sans"/>
                <w:i/>
                <w:lang w:val="en-US"/>
              </w:rPr>
              <w:t xml:space="preserve">4 INT charts were received from GE: </w:t>
            </w:r>
            <w:r w:rsidRPr="00553B73">
              <w:rPr>
                <w:rFonts w:ascii="Open Sans" w:hAnsi="Open Sans" w:cs="Open Sans"/>
                <w:i/>
                <w:lang w:val="sv-SE"/>
              </w:rPr>
              <w:t>INT 3871 (GE101), INT3872 (GE102), INT3873 (GE103) and INT3876 (GE104)</w:t>
            </w:r>
            <w:r>
              <w:rPr>
                <w:rFonts w:ascii="Open Sans" w:hAnsi="Open Sans" w:cs="Open Sans"/>
                <w:i/>
                <w:lang w:val="sv-SE"/>
              </w:rPr>
              <w:t>.</w:t>
            </w:r>
            <w:r w:rsidRPr="00553B73">
              <w:rPr>
                <w:rFonts w:ascii="Open Sans" w:hAnsi="Open Sans" w:cs="Open Sans"/>
                <w:i/>
                <w:lang w:val="sv-SE"/>
              </w:rPr>
              <w:t xml:space="preserve"> </w:t>
            </w:r>
            <w:r w:rsidR="00205F1F" w:rsidRPr="004924A4">
              <w:rPr>
                <w:rFonts w:ascii="Open Sans" w:hAnsi="Open Sans" w:cs="Open Sans"/>
                <w:i/>
                <w:lang w:val="en-US"/>
              </w:rPr>
              <w:t xml:space="preserve">The </w:t>
            </w:r>
            <w:r>
              <w:rPr>
                <w:rFonts w:ascii="Open Sans" w:hAnsi="Open Sans" w:cs="Open Sans"/>
                <w:i/>
                <w:lang w:val="en-US"/>
              </w:rPr>
              <w:t>IHO Secretariat reminded MS that on</w:t>
            </w:r>
            <w:r w:rsidR="00DC45F7">
              <w:rPr>
                <w:rFonts w:ascii="Open Sans" w:hAnsi="Open Sans" w:cs="Open Sans"/>
                <w:i/>
                <w:lang w:val="en-US"/>
              </w:rPr>
              <w:t>c</w:t>
            </w:r>
            <w:r>
              <w:rPr>
                <w:rFonts w:ascii="Open Sans" w:hAnsi="Open Sans" w:cs="Open Sans"/>
                <w:i/>
                <w:lang w:val="en-US"/>
              </w:rPr>
              <w:t xml:space="preserve">e </w:t>
            </w:r>
            <w:r w:rsidR="00DC45F7">
              <w:rPr>
                <w:rFonts w:ascii="Open Sans" w:hAnsi="Open Sans" w:cs="Open Sans"/>
                <w:i/>
                <w:lang w:val="en-US"/>
              </w:rPr>
              <w:t>released,</w:t>
            </w:r>
            <w:r>
              <w:rPr>
                <w:rFonts w:ascii="Open Sans" w:hAnsi="Open Sans" w:cs="Open Sans"/>
                <w:i/>
                <w:lang w:val="en-US"/>
              </w:rPr>
              <w:t xml:space="preserve"> copies of the new INT charts were to be provided to them.</w:t>
            </w:r>
            <w:r w:rsidR="008E43F6">
              <w:rPr>
                <w:rFonts w:ascii="Open Sans" w:hAnsi="Open Sans" w:cs="Open Sans"/>
                <w:i/>
                <w:lang w:val="en-US"/>
              </w:rPr>
              <w:t xml:space="preserve"> This is a </w:t>
            </w:r>
            <w:r w:rsidR="008E43F6" w:rsidRPr="008E43F6">
              <w:rPr>
                <w:rFonts w:ascii="Open Sans" w:hAnsi="Open Sans" w:cs="Open Sans"/>
                <w:b/>
                <w:i/>
                <w:lang w:val="en-US"/>
              </w:rPr>
              <w:t>permanent action</w:t>
            </w:r>
            <w:r w:rsidR="008E43F6">
              <w:rPr>
                <w:rFonts w:ascii="Open Sans" w:hAnsi="Open Sans" w:cs="Open Sans"/>
                <w:i/>
                <w:lang w:val="en-US"/>
              </w:rPr>
              <w:t xml:space="preserve">, in accordance with Region F ICCWG </w:t>
            </w:r>
            <w:proofErr w:type="spellStart"/>
            <w:r w:rsidR="008E43F6">
              <w:rPr>
                <w:rFonts w:ascii="Open Sans" w:hAnsi="Open Sans" w:cs="Open Sans"/>
                <w:i/>
                <w:lang w:val="en-US"/>
              </w:rPr>
              <w:t>RoPs</w:t>
            </w:r>
            <w:proofErr w:type="spellEnd"/>
            <w:r w:rsidR="008E43F6">
              <w:rPr>
                <w:rFonts w:ascii="Open Sans" w:hAnsi="Open Sans" w:cs="Open Sans"/>
                <w:i/>
                <w:lang w:val="en-US"/>
              </w:rPr>
              <w:t>, section 3.11.</w:t>
            </w:r>
          </w:p>
          <w:p w:rsidR="00A4367F" w:rsidRPr="004945FD" w:rsidRDefault="00A4367F" w:rsidP="00BB2354">
            <w:pPr>
              <w:pStyle w:val="ListParagraph"/>
              <w:numPr>
                <w:ilvl w:val="0"/>
                <w:numId w:val="3"/>
              </w:numPr>
              <w:spacing w:after="240"/>
              <w:jc w:val="both"/>
              <w:rPr>
                <w:rFonts w:ascii="Open Sans" w:hAnsi="Open Sans" w:cs="Open Sans"/>
                <w:b/>
                <w:lang w:val="en-US"/>
              </w:rPr>
            </w:pPr>
            <w:r w:rsidRPr="00A4367F">
              <w:rPr>
                <w:rFonts w:ascii="Open Sans" w:hAnsi="Open Sans" w:cs="Open Sans"/>
                <w:b/>
                <w:u w:val="single"/>
                <w:lang w:val="en-US"/>
              </w:rPr>
              <w:t>MBSHC20/3</w:t>
            </w:r>
            <w:r>
              <w:rPr>
                <w:rFonts w:ascii="Open Sans" w:hAnsi="Open Sans" w:cs="Open Sans"/>
                <w:b/>
                <w:u w:val="single"/>
                <w:lang w:val="en-US"/>
              </w:rPr>
              <w:t>6</w:t>
            </w:r>
            <w:r w:rsidRPr="00A4367F">
              <w:rPr>
                <w:rFonts w:ascii="Open Sans" w:hAnsi="Open Sans" w:cs="Open Sans"/>
                <w:b/>
                <w:u w:val="single"/>
                <w:lang w:val="en-US"/>
              </w:rPr>
              <w:t>:</w:t>
            </w:r>
            <w:r w:rsidRPr="00A4367F">
              <w:rPr>
                <w:rFonts w:ascii="Open Sans" w:hAnsi="Open Sans" w:cs="Open Sans"/>
                <w:b/>
                <w:lang w:val="en-US"/>
              </w:rPr>
              <w:t xml:space="preserve"> </w:t>
            </w:r>
            <w:r w:rsidRPr="004945FD">
              <w:rPr>
                <w:rFonts w:ascii="Open Sans" w:hAnsi="Open Sans" w:cs="Open Sans"/>
                <w:b/>
                <w:lang w:val="en-US"/>
              </w:rPr>
              <w:t xml:space="preserve">MS to submit their new INT chart proposals using their </w:t>
            </w:r>
            <w:proofErr w:type="spellStart"/>
            <w:r w:rsidRPr="004945FD">
              <w:rPr>
                <w:rFonts w:ascii="Open Sans" w:hAnsi="Open Sans" w:cs="Open Sans"/>
                <w:b/>
                <w:lang w:val="en-US"/>
              </w:rPr>
              <w:t>INToGIS</w:t>
            </w:r>
            <w:proofErr w:type="spellEnd"/>
            <w:r w:rsidRPr="004945FD">
              <w:rPr>
                <w:rFonts w:ascii="Open Sans" w:hAnsi="Open Sans" w:cs="Open Sans"/>
                <w:b/>
                <w:lang w:val="en-US"/>
              </w:rPr>
              <w:t xml:space="preserve"> national account.</w:t>
            </w:r>
          </w:p>
          <w:p w:rsidR="00A4367F" w:rsidRDefault="009F2695" w:rsidP="00BB2354">
            <w:pPr>
              <w:jc w:val="both"/>
              <w:rPr>
                <w:rFonts w:ascii="Open Sans" w:hAnsi="Open Sans" w:cs="Open Sans"/>
                <w:bCs/>
                <w:i/>
                <w:lang w:eastAsia="el-GR"/>
              </w:rPr>
            </w:pPr>
            <w:r>
              <w:rPr>
                <w:rFonts w:ascii="Open Sans" w:hAnsi="Open Sans" w:cs="Open Sans"/>
                <w:i/>
                <w:lang w:val="en-US"/>
              </w:rPr>
              <w:t>Proposal</w:t>
            </w:r>
            <w:r w:rsidR="00A4367F">
              <w:rPr>
                <w:rFonts w:ascii="Open Sans" w:hAnsi="Open Sans" w:cs="Open Sans"/>
                <w:i/>
                <w:lang w:val="en-US"/>
              </w:rPr>
              <w:t xml:space="preserve">s were received </w:t>
            </w:r>
            <w:r>
              <w:rPr>
                <w:rFonts w:ascii="Open Sans" w:hAnsi="Open Sans" w:cs="Open Sans"/>
                <w:i/>
                <w:lang w:val="en-US"/>
              </w:rPr>
              <w:t xml:space="preserve">from GR (see below) and EG. </w:t>
            </w:r>
            <w:r w:rsidR="00A4367F">
              <w:rPr>
                <w:rFonts w:ascii="Open Sans" w:hAnsi="Open Sans" w:cs="Open Sans"/>
                <w:i/>
                <w:lang w:val="en-US"/>
              </w:rPr>
              <w:t xml:space="preserve"> </w:t>
            </w:r>
            <w:r w:rsidR="00A4367F" w:rsidRPr="00553B73">
              <w:rPr>
                <w:rFonts w:ascii="Open Sans" w:hAnsi="Open Sans" w:cs="Open Sans"/>
                <w:b/>
                <w:bCs/>
                <w:i/>
                <w:lang w:eastAsia="el-GR"/>
              </w:rPr>
              <w:t xml:space="preserve">EG is to provide </w:t>
            </w:r>
            <w:r>
              <w:rPr>
                <w:rFonts w:ascii="Open Sans" w:hAnsi="Open Sans" w:cs="Open Sans"/>
                <w:b/>
                <w:bCs/>
                <w:i/>
                <w:lang w:eastAsia="el-GR"/>
              </w:rPr>
              <w:t xml:space="preserve">proposals of </w:t>
            </w:r>
            <w:r w:rsidR="00A4367F" w:rsidRPr="00553B73">
              <w:rPr>
                <w:rFonts w:ascii="Open Sans" w:hAnsi="Open Sans" w:cs="Open Sans"/>
                <w:b/>
                <w:bCs/>
                <w:i/>
                <w:lang w:eastAsia="el-GR"/>
              </w:rPr>
              <w:t xml:space="preserve">new INT charts to the Region F ICC, to check consistency with the current INT scheme </w:t>
            </w:r>
            <w:r w:rsidR="00A4367F" w:rsidRPr="00553B73">
              <w:rPr>
                <w:rFonts w:ascii="Open Sans" w:hAnsi="Open Sans" w:cs="Open Sans"/>
                <w:bCs/>
                <w:i/>
                <w:lang w:eastAsia="el-GR"/>
              </w:rPr>
              <w:t>(New charts to be added to the scheme and charts taking over already produced INT charts, IAW with transition plan with UKHO, with justification of proposed modifications to the existing scheme if applicable)</w:t>
            </w:r>
            <w:r w:rsidR="00A4367F">
              <w:rPr>
                <w:rFonts w:ascii="Open Sans" w:hAnsi="Open Sans" w:cs="Open Sans"/>
                <w:bCs/>
                <w:i/>
                <w:lang w:eastAsia="el-GR"/>
              </w:rPr>
              <w:t>.</w:t>
            </w:r>
          </w:p>
          <w:p w:rsidR="009F2695" w:rsidRDefault="009F2695" w:rsidP="00BB2354">
            <w:pPr>
              <w:jc w:val="both"/>
              <w:rPr>
                <w:rFonts w:ascii="Open Sans" w:hAnsi="Open Sans" w:cs="Open Sans"/>
                <w:bCs/>
                <w:i/>
                <w:lang w:eastAsia="el-GR"/>
              </w:rPr>
            </w:pPr>
          </w:p>
          <w:p w:rsidR="009F2695" w:rsidRDefault="009F2695" w:rsidP="00BB2354">
            <w:pPr>
              <w:jc w:val="both"/>
              <w:rPr>
                <w:rFonts w:ascii="Open Sans" w:hAnsi="Open Sans" w:cs="Open Sans"/>
                <w:bCs/>
                <w:i/>
                <w:lang w:eastAsia="el-GR"/>
              </w:rPr>
            </w:pPr>
            <w:r w:rsidRPr="00437841">
              <w:rPr>
                <w:rFonts w:ascii="Open Sans" w:hAnsi="Open Sans" w:cs="Open Sans"/>
                <w:b/>
                <w:bCs/>
                <w:i/>
                <w:u w:val="single"/>
                <w:lang w:eastAsia="el-GR"/>
              </w:rPr>
              <w:lastRenderedPageBreak/>
              <w:t>Proposal to update the Region F INT scheme in the Aegean Sea</w:t>
            </w:r>
            <w:r>
              <w:rPr>
                <w:rFonts w:ascii="Open Sans" w:hAnsi="Open Sans" w:cs="Open Sans"/>
                <w:bCs/>
                <w:i/>
                <w:lang w:eastAsia="el-GR"/>
              </w:rPr>
              <w:t>.</w:t>
            </w:r>
          </w:p>
          <w:p w:rsidR="00DC45F7" w:rsidRDefault="00DC45F7" w:rsidP="00BB2354">
            <w:pPr>
              <w:jc w:val="both"/>
              <w:rPr>
                <w:rFonts w:ascii="Open Sans" w:hAnsi="Open Sans" w:cs="Open Sans"/>
                <w:bCs/>
                <w:i/>
                <w:lang w:eastAsia="el-GR"/>
              </w:rPr>
            </w:pPr>
          </w:p>
          <w:p w:rsidR="00BB2354" w:rsidRDefault="009F2695" w:rsidP="00BB2354">
            <w:pPr>
              <w:jc w:val="both"/>
              <w:rPr>
                <w:rFonts w:ascii="Open Sans" w:hAnsi="Open Sans" w:cs="Open Sans"/>
                <w:bCs/>
                <w:i/>
                <w:iCs/>
                <w:lang w:eastAsia="el-GR"/>
              </w:rPr>
            </w:pPr>
            <w:r>
              <w:rPr>
                <w:rFonts w:ascii="Open Sans" w:hAnsi="Open Sans" w:cs="Open Sans"/>
                <w:bCs/>
                <w:i/>
                <w:lang w:eastAsia="el-GR"/>
              </w:rPr>
              <w:t xml:space="preserve">The Chair presented the proposal, which was </w:t>
            </w:r>
            <w:r w:rsidR="00981645">
              <w:rPr>
                <w:rFonts w:ascii="Open Sans" w:hAnsi="Open Sans" w:cs="Open Sans"/>
                <w:bCs/>
                <w:i/>
                <w:lang w:eastAsia="el-GR"/>
              </w:rPr>
              <w:t xml:space="preserve">first </w:t>
            </w:r>
            <w:r>
              <w:rPr>
                <w:rFonts w:ascii="Open Sans" w:hAnsi="Open Sans" w:cs="Open Sans"/>
                <w:bCs/>
                <w:i/>
                <w:lang w:eastAsia="el-GR"/>
              </w:rPr>
              <w:t xml:space="preserve">submitted to the ICCWG by </w:t>
            </w:r>
            <w:r w:rsidR="00BB2354">
              <w:rPr>
                <w:rFonts w:ascii="Open Sans" w:hAnsi="Open Sans" w:cs="Open Sans"/>
                <w:bCs/>
                <w:i/>
                <w:lang w:eastAsia="el-GR"/>
              </w:rPr>
              <w:t xml:space="preserve">Region F ICCWG </w:t>
            </w:r>
            <w:r>
              <w:rPr>
                <w:rFonts w:ascii="Open Sans" w:hAnsi="Open Sans" w:cs="Open Sans"/>
                <w:bCs/>
                <w:i/>
                <w:lang w:eastAsia="el-GR"/>
              </w:rPr>
              <w:t>Circular Letter 01/2019 dated 11</w:t>
            </w:r>
            <w:r w:rsidRPr="009F2695">
              <w:rPr>
                <w:rFonts w:ascii="Open Sans" w:hAnsi="Open Sans" w:cs="Open Sans"/>
                <w:bCs/>
                <w:i/>
                <w:vertAlign w:val="superscript"/>
                <w:lang w:eastAsia="el-GR"/>
              </w:rPr>
              <w:t>th</w:t>
            </w:r>
            <w:r>
              <w:rPr>
                <w:rFonts w:ascii="Open Sans" w:hAnsi="Open Sans" w:cs="Open Sans"/>
                <w:bCs/>
                <w:i/>
                <w:lang w:eastAsia="el-GR"/>
              </w:rPr>
              <w:t xml:space="preserve"> March.</w:t>
            </w:r>
            <w:r w:rsidR="00260B94">
              <w:rPr>
                <w:rFonts w:ascii="Open Sans" w:hAnsi="Open Sans" w:cs="Open Sans"/>
                <w:bCs/>
                <w:i/>
                <w:lang w:eastAsia="el-GR"/>
              </w:rPr>
              <w:t xml:space="preserve"> An objection from TR was received on 25</w:t>
            </w:r>
            <w:r w:rsidR="00260B94" w:rsidRPr="00260B94">
              <w:rPr>
                <w:rFonts w:ascii="Open Sans" w:hAnsi="Open Sans" w:cs="Open Sans"/>
                <w:bCs/>
                <w:i/>
                <w:vertAlign w:val="superscript"/>
                <w:lang w:eastAsia="el-GR"/>
              </w:rPr>
              <w:t>th</w:t>
            </w:r>
            <w:r w:rsidR="00260B94">
              <w:rPr>
                <w:rFonts w:ascii="Open Sans" w:hAnsi="Open Sans" w:cs="Open Sans"/>
                <w:bCs/>
                <w:i/>
                <w:lang w:eastAsia="el-GR"/>
              </w:rPr>
              <w:t xml:space="preserve"> March pointing out the lack of justification of the proposal. Region F ICCWG CL 02/2019 </w:t>
            </w:r>
            <w:r w:rsidR="00BB2354">
              <w:rPr>
                <w:rFonts w:ascii="Open Sans" w:hAnsi="Open Sans" w:cs="Open Sans"/>
                <w:bCs/>
                <w:i/>
                <w:lang w:eastAsia="el-GR"/>
              </w:rPr>
              <w:t>dated</w:t>
            </w:r>
            <w:r w:rsidR="00260B94">
              <w:rPr>
                <w:rFonts w:ascii="Open Sans" w:hAnsi="Open Sans" w:cs="Open Sans"/>
                <w:bCs/>
                <w:i/>
                <w:lang w:eastAsia="el-GR"/>
              </w:rPr>
              <w:t xml:space="preserve"> 30</w:t>
            </w:r>
            <w:r w:rsidR="00260B94" w:rsidRPr="00260B94">
              <w:rPr>
                <w:rFonts w:ascii="Open Sans" w:hAnsi="Open Sans" w:cs="Open Sans"/>
                <w:bCs/>
                <w:i/>
                <w:vertAlign w:val="superscript"/>
                <w:lang w:eastAsia="el-GR"/>
              </w:rPr>
              <w:t>th</w:t>
            </w:r>
            <w:r w:rsidR="00260B94">
              <w:rPr>
                <w:rFonts w:ascii="Open Sans" w:hAnsi="Open Sans" w:cs="Open Sans"/>
                <w:bCs/>
                <w:i/>
                <w:lang w:eastAsia="el-GR"/>
              </w:rPr>
              <w:t xml:space="preserve"> April recalled that</w:t>
            </w:r>
            <w:r w:rsidR="00981645">
              <w:rPr>
                <w:rFonts w:ascii="Open Sans" w:hAnsi="Open Sans" w:cs="Open Sans"/>
                <w:bCs/>
                <w:i/>
                <w:lang w:eastAsia="el-GR"/>
              </w:rPr>
              <w:t xml:space="preserve"> </w:t>
            </w:r>
            <w:r w:rsidR="00981645" w:rsidRPr="00981645">
              <w:rPr>
                <w:rFonts w:ascii="Open Sans" w:hAnsi="Open Sans" w:cs="Open Sans"/>
                <w:bCs/>
                <w:i/>
                <w:iCs/>
                <w:lang w:val="en-US" w:eastAsia="el-GR"/>
              </w:rPr>
              <w:t>the relevance of proposals for modification or addition to the INT scheme is first assessed by the regional coordinator b</w:t>
            </w:r>
            <w:r w:rsidR="00981645">
              <w:rPr>
                <w:rFonts w:ascii="Open Sans" w:hAnsi="Open Sans" w:cs="Open Sans"/>
                <w:bCs/>
                <w:i/>
                <w:iCs/>
                <w:lang w:val="en-US" w:eastAsia="el-GR"/>
              </w:rPr>
              <w:t>efore any submission to the ICC</w:t>
            </w:r>
            <w:r w:rsidR="00981645" w:rsidRPr="00981645">
              <w:rPr>
                <w:rFonts w:ascii="Open Sans" w:hAnsi="Open Sans" w:cs="Open Sans"/>
                <w:bCs/>
                <w:i/>
                <w:iCs/>
                <w:lang w:val="en-US" w:eastAsia="el-GR"/>
              </w:rPr>
              <w:t>WG.</w:t>
            </w:r>
            <w:r w:rsidR="00981645" w:rsidRPr="00981645">
              <w:rPr>
                <w:rFonts w:ascii="Open Sans" w:hAnsi="Open Sans" w:cs="Open Sans"/>
                <w:bCs/>
                <w:i/>
                <w:iCs/>
                <w:lang w:val="en-US" w:eastAsia="el-GR"/>
              </w:rPr>
              <w:br/>
              <w:t xml:space="preserve">In the present case, these proposals were considered relevant by the regional charting coordinator as they allow </w:t>
            </w:r>
            <w:r w:rsidR="00BB2354">
              <w:rPr>
                <w:rFonts w:ascii="Open Sans" w:hAnsi="Open Sans" w:cs="Open Sans"/>
                <w:bCs/>
                <w:i/>
                <w:iCs/>
                <w:lang w:val="en-US" w:eastAsia="el-GR"/>
              </w:rPr>
              <w:t>the extension of</w:t>
            </w:r>
            <w:r w:rsidR="00981645" w:rsidRPr="00981645">
              <w:rPr>
                <w:rFonts w:ascii="Open Sans" w:hAnsi="Open Sans" w:cs="Open Sans"/>
                <w:bCs/>
                <w:i/>
                <w:iCs/>
                <w:lang w:val="en-US" w:eastAsia="el-GR"/>
              </w:rPr>
              <w:t xml:space="preserve"> the INT scheme, which is still incomplete in the Aegean Sea with regard to the needs of international </w:t>
            </w:r>
            <w:r w:rsidR="00981645" w:rsidRPr="00981645">
              <w:rPr>
                <w:rFonts w:ascii="Open Sans" w:hAnsi="Open Sans" w:cs="Open Sans"/>
                <w:bCs/>
                <w:i/>
                <w:iCs/>
                <w:lang w:eastAsia="el-GR"/>
              </w:rPr>
              <w:t>navigation</w:t>
            </w:r>
            <w:r w:rsidR="00981645">
              <w:rPr>
                <w:rFonts w:ascii="Open Sans" w:hAnsi="Open Sans" w:cs="Open Sans"/>
                <w:bCs/>
                <w:i/>
                <w:iCs/>
                <w:lang w:eastAsia="el-GR"/>
              </w:rPr>
              <w:t>.</w:t>
            </w:r>
          </w:p>
          <w:p w:rsidR="00BB2354" w:rsidRDefault="00C5138B" w:rsidP="00BB2354">
            <w:pPr>
              <w:jc w:val="both"/>
              <w:rPr>
                <w:rFonts w:ascii="Open Sans" w:hAnsi="Open Sans" w:cs="Open Sans"/>
                <w:bCs/>
                <w:i/>
                <w:iCs/>
                <w:lang w:eastAsia="el-GR"/>
              </w:rPr>
            </w:pPr>
            <w:r>
              <w:rPr>
                <w:rFonts w:ascii="Open Sans" w:hAnsi="Open Sans" w:cs="Open Sans"/>
                <w:bCs/>
                <w:i/>
                <w:iCs/>
                <w:lang w:eastAsia="el-GR"/>
              </w:rPr>
              <w:t xml:space="preserve">TR reiterated their strong objection to the proposed schemed, based on matters of disputed jurisdiction over some areas. </w:t>
            </w:r>
            <w:r w:rsidR="00981645">
              <w:rPr>
                <w:rFonts w:ascii="Open Sans" w:hAnsi="Open Sans" w:cs="Open Sans"/>
                <w:bCs/>
                <w:i/>
                <w:iCs/>
                <w:lang w:eastAsia="el-GR"/>
              </w:rPr>
              <w:t>The Chair pointed out that</w:t>
            </w:r>
            <w:r>
              <w:rPr>
                <w:rFonts w:ascii="Open Sans" w:hAnsi="Open Sans" w:cs="Open Sans"/>
                <w:bCs/>
                <w:i/>
                <w:iCs/>
                <w:lang w:eastAsia="el-GR"/>
              </w:rPr>
              <w:t>,</w:t>
            </w:r>
            <w:r w:rsidR="00981645">
              <w:rPr>
                <w:rFonts w:ascii="Open Sans" w:hAnsi="Open Sans" w:cs="Open Sans"/>
                <w:bCs/>
                <w:i/>
                <w:iCs/>
                <w:lang w:eastAsia="el-GR"/>
              </w:rPr>
              <w:t xml:space="preserve"> </w:t>
            </w:r>
            <w:r>
              <w:rPr>
                <w:rFonts w:ascii="Open Sans" w:hAnsi="Open Sans" w:cs="Open Sans"/>
                <w:bCs/>
                <w:i/>
                <w:iCs/>
                <w:lang w:eastAsia="el-GR"/>
              </w:rPr>
              <w:t>i</w:t>
            </w:r>
            <w:r w:rsidR="00BB2354">
              <w:rPr>
                <w:rFonts w:ascii="Open Sans" w:hAnsi="Open Sans" w:cs="Open Sans"/>
                <w:bCs/>
                <w:i/>
                <w:iCs/>
                <w:lang w:eastAsia="el-GR"/>
              </w:rPr>
              <w:t xml:space="preserve">n </w:t>
            </w:r>
            <w:r>
              <w:rPr>
                <w:rFonts w:ascii="Open Sans" w:hAnsi="Open Sans" w:cs="Open Sans"/>
                <w:bCs/>
                <w:i/>
                <w:iCs/>
                <w:lang w:eastAsia="el-GR"/>
              </w:rPr>
              <w:t>a</w:t>
            </w:r>
            <w:r w:rsidR="00BB2354">
              <w:rPr>
                <w:rFonts w:ascii="Open Sans" w:hAnsi="Open Sans" w:cs="Open Sans"/>
                <w:bCs/>
                <w:i/>
                <w:iCs/>
                <w:lang w:eastAsia="el-GR"/>
              </w:rPr>
              <w:t xml:space="preserve">ccordance </w:t>
            </w:r>
            <w:r>
              <w:rPr>
                <w:rFonts w:ascii="Open Sans" w:hAnsi="Open Sans" w:cs="Open Sans"/>
                <w:bCs/>
                <w:i/>
                <w:iCs/>
                <w:lang w:eastAsia="el-GR"/>
              </w:rPr>
              <w:t>w</w:t>
            </w:r>
            <w:r w:rsidR="00BB2354">
              <w:rPr>
                <w:rFonts w:ascii="Open Sans" w:hAnsi="Open Sans" w:cs="Open Sans"/>
                <w:bCs/>
                <w:i/>
                <w:iCs/>
                <w:lang w:eastAsia="el-GR"/>
              </w:rPr>
              <w:t>ith</w:t>
            </w:r>
            <w:r>
              <w:rPr>
                <w:rFonts w:ascii="Open Sans" w:hAnsi="Open Sans" w:cs="Open Sans"/>
                <w:bCs/>
                <w:i/>
                <w:iCs/>
                <w:lang w:eastAsia="el-GR"/>
              </w:rPr>
              <w:t xml:space="preserve"> </w:t>
            </w:r>
            <w:proofErr w:type="spellStart"/>
            <w:r>
              <w:rPr>
                <w:rFonts w:ascii="Open Sans" w:hAnsi="Open Sans" w:cs="Open Sans"/>
                <w:bCs/>
                <w:i/>
                <w:iCs/>
                <w:lang w:eastAsia="el-GR"/>
              </w:rPr>
              <w:t>RoPs</w:t>
            </w:r>
            <w:proofErr w:type="spellEnd"/>
            <w:r>
              <w:rPr>
                <w:rFonts w:ascii="Open Sans" w:hAnsi="Open Sans" w:cs="Open Sans"/>
                <w:bCs/>
                <w:i/>
                <w:iCs/>
                <w:lang w:eastAsia="el-GR"/>
              </w:rPr>
              <w:t xml:space="preserve"> section 3.7, </w:t>
            </w:r>
            <w:r w:rsidR="00981645">
              <w:rPr>
                <w:rFonts w:ascii="Open Sans" w:hAnsi="Open Sans" w:cs="Open Sans"/>
                <w:bCs/>
                <w:i/>
                <w:iCs/>
                <w:lang w:eastAsia="el-GR"/>
              </w:rPr>
              <w:t>objections are t</w:t>
            </w:r>
            <w:r>
              <w:rPr>
                <w:rFonts w:ascii="Open Sans" w:hAnsi="Open Sans" w:cs="Open Sans"/>
                <w:bCs/>
                <w:i/>
                <w:iCs/>
                <w:lang w:eastAsia="el-GR"/>
              </w:rPr>
              <w:t>o be based on technical issues, which seems not to be the case here. TR pointed out that maritime delimitation is a “technical” issue</w:t>
            </w:r>
            <w:r w:rsidR="00BB2354">
              <w:rPr>
                <w:rFonts w:ascii="Open Sans" w:hAnsi="Open Sans" w:cs="Open Sans"/>
                <w:bCs/>
                <w:i/>
                <w:iCs/>
                <w:lang w:eastAsia="el-GR"/>
              </w:rPr>
              <w:t>.</w:t>
            </w:r>
          </w:p>
          <w:p w:rsidR="009F2695" w:rsidRPr="00C5138B" w:rsidRDefault="00C5138B" w:rsidP="00BB2354">
            <w:pPr>
              <w:jc w:val="both"/>
              <w:rPr>
                <w:rFonts w:ascii="Open Sans" w:hAnsi="Open Sans" w:cs="Open Sans"/>
                <w:bCs/>
                <w:i/>
                <w:lang w:eastAsia="el-GR"/>
              </w:rPr>
            </w:pPr>
            <w:r>
              <w:rPr>
                <w:rFonts w:ascii="Open Sans" w:hAnsi="Open Sans" w:cs="Open Sans"/>
                <w:bCs/>
                <w:i/>
                <w:iCs/>
                <w:lang w:eastAsia="el-GR"/>
              </w:rPr>
              <w:t xml:space="preserve">Without being able to reach agreement by all members of the ICCWG, the coordinator decided to recommend, in its name, </w:t>
            </w:r>
            <w:r w:rsidRPr="00C5138B">
              <w:rPr>
                <w:rFonts w:ascii="Open Sans" w:hAnsi="Open Sans" w:cs="Open Sans"/>
                <w:b/>
                <w:bCs/>
                <w:i/>
                <w:iCs/>
                <w:lang w:val="en-US" w:eastAsia="el-GR"/>
              </w:rPr>
              <w:t>that the MBSHC should approve the proposal of introducing those charts in the scheme, and assign production to GR</w:t>
            </w:r>
            <w:r>
              <w:rPr>
                <w:rFonts w:ascii="Open Sans" w:hAnsi="Open Sans" w:cs="Open Sans"/>
                <w:b/>
                <w:bCs/>
                <w:i/>
                <w:iCs/>
                <w:lang w:val="en-US" w:eastAsia="el-GR"/>
              </w:rPr>
              <w:t>.</w:t>
            </w:r>
            <w:r>
              <w:rPr>
                <w:rFonts w:ascii="Open Sans" w:hAnsi="Open Sans" w:cs="Open Sans"/>
                <w:bCs/>
                <w:i/>
                <w:iCs/>
                <w:lang w:val="en-US" w:eastAsia="el-GR"/>
              </w:rPr>
              <w:t xml:space="preserve"> (</w:t>
            </w:r>
            <w:r w:rsidR="00437841">
              <w:rPr>
                <w:rFonts w:ascii="Open Sans" w:hAnsi="Open Sans" w:cs="Open Sans"/>
                <w:bCs/>
                <w:i/>
                <w:iCs/>
                <w:lang w:val="en-US" w:eastAsia="el-GR"/>
              </w:rPr>
              <w:t xml:space="preserve">The proposed INT3736, including some inland Turkish territory, was later proposed to be a coproduction between TR and GR). </w:t>
            </w:r>
          </w:p>
          <w:p w:rsidR="00A4367F" w:rsidRDefault="00A4367F" w:rsidP="00BB2354">
            <w:pPr>
              <w:spacing w:after="240"/>
              <w:jc w:val="both"/>
              <w:rPr>
                <w:rFonts w:ascii="Open Sans" w:hAnsi="Open Sans" w:cs="Open Sans"/>
                <w:i/>
                <w:lang w:val="en-US"/>
              </w:rPr>
            </w:pPr>
          </w:p>
          <w:p w:rsidR="00A2789A" w:rsidRDefault="003B77E6" w:rsidP="00BB2354">
            <w:pPr>
              <w:ind w:left="33"/>
              <w:jc w:val="both"/>
              <w:rPr>
                <w:rFonts w:ascii="Open Sans" w:hAnsi="Open Sans" w:cs="Open Sans"/>
                <w:b/>
                <w:bCs/>
                <w:i/>
                <w:u w:val="single"/>
                <w:lang w:val="en-US"/>
              </w:rPr>
            </w:pPr>
            <w:r w:rsidRPr="00F02C8D">
              <w:rPr>
                <w:rFonts w:ascii="Open Sans" w:hAnsi="Open Sans" w:cs="Open Sans"/>
                <w:b/>
                <w:bCs/>
                <w:i/>
                <w:u w:val="single"/>
                <w:lang w:val="en-US"/>
              </w:rPr>
              <w:t>INT scheme in the Black and Azov Seas – Pending charts</w:t>
            </w:r>
          </w:p>
          <w:p w:rsidR="00DC45F7" w:rsidRPr="004945FD" w:rsidRDefault="00DC45F7" w:rsidP="00BB2354">
            <w:pPr>
              <w:ind w:left="33"/>
              <w:jc w:val="both"/>
              <w:rPr>
                <w:rFonts w:ascii="Open Sans" w:hAnsi="Open Sans" w:cs="Open Sans"/>
                <w:i/>
                <w:u w:val="single"/>
                <w:lang w:val="en-US"/>
              </w:rPr>
            </w:pPr>
          </w:p>
          <w:p w:rsidR="00F02C8D" w:rsidRDefault="00F02C8D" w:rsidP="00BB2354">
            <w:pPr>
              <w:spacing w:after="240"/>
              <w:jc w:val="both"/>
              <w:rPr>
                <w:rFonts w:ascii="Open Sans" w:hAnsi="Open Sans" w:cs="Open Sans"/>
                <w:i/>
                <w:lang w:val="en-US"/>
              </w:rPr>
            </w:pPr>
            <w:r>
              <w:rPr>
                <w:rFonts w:ascii="Open Sans" w:hAnsi="Open Sans" w:cs="Open Sans"/>
                <w:i/>
                <w:lang w:val="en-US"/>
              </w:rPr>
              <w:t>These issues had already been raised during the last BASWG</w:t>
            </w:r>
            <w:r w:rsidR="00245F60">
              <w:rPr>
                <w:rFonts w:ascii="Open Sans" w:hAnsi="Open Sans" w:cs="Open Sans"/>
                <w:i/>
                <w:lang w:val="en-US"/>
              </w:rPr>
              <w:t>14</w:t>
            </w:r>
            <w:r>
              <w:rPr>
                <w:rFonts w:ascii="Open Sans" w:hAnsi="Open Sans" w:cs="Open Sans"/>
                <w:i/>
                <w:lang w:val="en-US"/>
              </w:rPr>
              <w:t xml:space="preserve"> meeting</w:t>
            </w:r>
            <w:r w:rsidR="00245F60">
              <w:rPr>
                <w:rFonts w:ascii="Open Sans" w:hAnsi="Open Sans" w:cs="Open Sans"/>
                <w:i/>
                <w:lang w:val="en-US"/>
              </w:rPr>
              <w:t xml:space="preserve"> in Constanta, Romania in May 2018.</w:t>
            </w:r>
          </w:p>
          <w:p w:rsidR="00245F60" w:rsidRDefault="00245F60" w:rsidP="00BB2354">
            <w:pPr>
              <w:spacing w:after="240"/>
              <w:jc w:val="both"/>
              <w:rPr>
                <w:rFonts w:ascii="Open Sans" w:hAnsi="Open Sans" w:cs="Open Sans"/>
                <w:i/>
                <w:lang w:val="en-US"/>
              </w:rPr>
            </w:pPr>
            <w:r>
              <w:rPr>
                <w:rFonts w:ascii="Open Sans" w:hAnsi="Open Sans" w:cs="Open Sans"/>
                <w:i/>
                <w:lang w:val="en-US"/>
              </w:rPr>
              <w:t xml:space="preserve">A request from UA to produce INT charts 3897, 3899, 2903 and 3818 in the Azov sea was reminded. Without an agreement between RU and UA about production of theses charts, </w:t>
            </w:r>
            <w:r w:rsidRPr="00245F60">
              <w:rPr>
                <w:rFonts w:ascii="Open Sans" w:hAnsi="Open Sans" w:cs="Open Sans"/>
                <w:b/>
                <w:i/>
                <w:lang w:val="en-US"/>
              </w:rPr>
              <w:t xml:space="preserve">the Coordinator recommended that they </w:t>
            </w:r>
            <w:r>
              <w:rPr>
                <w:rFonts w:ascii="Open Sans" w:hAnsi="Open Sans" w:cs="Open Sans"/>
                <w:b/>
                <w:i/>
                <w:lang w:val="en-US"/>
              </w:rPr>
              <w:t xml:space="preserve">should </w:t>
            </w:r>
            <w:r w:rsidRPr="00245F60">
              <w:rPr>
                <w:rFonts w:ascii="Open Sans" w:hAnsi="Open Sans" w:cs="Open Sans"/>
                <w:b/>
                <w:i/>
                <w:lang w:val="en-US"/>
              </w:rPr>
              <w:t>be left pending</w:t>
            </w:r>
            <w:r>
              <w:rPr>
                <w:rFonts w:ascii="Open Sans" w:hAnsi="Open Sans" w:cs="Open Sans"/>
                <w:i/>
                <w:lang w:val="en-US"/>
              </w:rPr>
              <w:t>.</w:t>
            </w:r>
          </w:p>
          <w:p w:rsidR="00245F60" w:rsidRDefault="00245F60" w:rsidP="00BB2354">
            <w:pPr>
              <w:jc w:val="both"/>
              <w:rPr>
                <w:rFonts w:ascii="Open Sans" w:hAnsi="Open Sans" w:cs="Open Sans"/>
                <w:b/>
                <w:bCs/>
                <w:i/>
                <w:lang w:val="en-US"/>
              </w:rPr>
            </w:pPr>
            <w:r>
              <w:rPr>
                <w:rFonts w:ascii="Open Sans" w:hAnsi="Open Sans" w:cs="Open Sans"/>
                <w:i/>
                <w:lang w:val="en-US"/>
              </w:rPr>
              <w:t>A request from GE to co-produce with RU chart INT3810 (</w:t>
            </w:r>
            <w:r w:rsidRPr="00245F60">
              <w:rPr>
                <w:rFonts w:ascii="Open Sans" w:hAnsi="Open Sans" w:cs="Open Sans"/>
                <w:i/>
                <w:lang w:val="en-US"/>
              </w:rPr>
              <w:t>currently produced by RU / RU32173</w:t>
            </w:r>
            <w:r>
              <w:rPr>
                <w:rFonts w:ascii="Open Sans" w:hAnsi="Open Sans" w:cs="Open Sans"/>
                <w:i/>
                <w:lang w:val="en-US"/>
              </w:rPr>
              <w:t xml:space="preserve">) was addressed and it was decided that </w:t>
            </w:r>
            <w:r w:rsidRPr="00245F60">
              <w:rPr>
                <w:rFonts w:ascii="Open Sans" w:hAnsi="Open Sans" w:cs="Open Sans"/>
                <w:b/>
                <w:bCs/>
                <w:i/>
                <w:lang w:val="en-US"/>
              </w:rPr>
              <w:t xml:space="preserve">RU and GE </w:t>
            </w:r>
            <w:r>
              <w:rPr>
                <w:rFonts w:ascii="Open Sans" w:hAnsi="Open Sans" w:cs="Open Sans"/>
                <w:b/>
                <w:bCs/>
                <w:i/>
                <w:lang w:val="en-US"/>
              </w:rPr>
              <w:t>should</w:t>
            </w:r>
            <w:r w:rsidRPr="00245F60">
              <w:rPr>
                <w:rFonts w:ascii="Open Sans" w:hAnsi="Open Sans" w:cs="Open Sans"/>
                <w:b/>
                <w:bCs/>
                <w:i/>
                <w:lang w:val="en-US"/>
              </w:rPr>
              <w:t xml:space="preserve"> work on an agreement for the coproduction of INT3810 and report to the Region F ICC</w:t>
            </w:r>
            <w:r w:rsidRPr="00245F60">
              <w:rPr>
                <w:rFonts w:ascii="Open Sans" w:hAnsi="Open Sans" w:cs="Open Sans"/>
                <w:bCs/>
                <w:i/>
                <w:lang w:val="en-US"/>
              </w:rPr>
              <w:t>, who can provide help if needed</w:t>
            </w:r>
            <w:r w:rsidRPr="00245F60">
              <w:rPr>
                <w:rFonts w:ascii="Open Sans" w:hAnsi="Open Sans" w:cs="Open Sans"/>
                <w:b/>
                <w:bCs/>
                <w:i/>
                <w:lang w:val="en-US"/>
              </w:rPr>
              <w:t>.</w:t>
            </w:r>
          </w:p>
          <w:p w:rsidR="00245F60" w:rsidRDefault="00245F60" w:rsidP="00BB2354">
            <w:pPr>
              <w:jc w:val="both"/>
              <w:rPr>
                <w:rFonts w:ascii="Open Sans" w:hAnsi="Open Sans" w:cs="Open Sans"/>
                <w:b/>
                <w:bCs/>
                <w:i/>
                <w:lang w:val="en-US"/>
              </w:rPr>
            </w:pPr>
          </w:p>
          <w:p w:rsidR="00245F60" w:rsidRDefault="00245F60" w:rsidP="00BB2354">
            <w:pPr>
              <w:jc w:val="both"/>
              <w:rPr>
                <w:rFonts w:ascii="Open Sans" w:hAnsi="Open Sans" w:cs="Open Sans"/>
                <w:b/>
                <w:bCs/>
                <w:i/>
                <w:lang w:val="en-US"/>
              </w:rPr>
            </w:pPr>
            <w:r w:rsidRPr="00245F60">
              <w:rPr>
                <w:rFonts w:ascii="Open Sans" w:hAnsi="Open Sans" w:cs="Open Sans"/>
                <w:bCs/>
                <w:i/>
                <w:lang w:val="en-US"/>
              </w:rPr>
              <w:t>Another request from GE was to</w:t>
            </w:r>
            <w:r>
              <w:rPr>
                <w:rFonts w:ascii="Open Sans" w:hAnsi="Open Sans" w:cs="Open Sans"/>
                <w:bCs/>
                <w:i/>
                <w:lang w:val="en-US"/>
              </w:rPr>
              <w:t xml:space="preserve"> produce the INT chart covering </w:t>
            </w:r>
            <w:proofErr w:type="spellStart"/>
            <w:r>
              <w:rPr>
                <w:rFonts w:ascii="Open Sans" w:hAnsi="Open Sans" w:cs="Open Sans"/>
                <w:bCs/>
                <w:i/>
                <w:lang w:val="en-US"/>
              </w:rPr>
              <w:t>Soukhumi</w:t>
            </w:r>
            <w:proofErr w:type="spellEnd"/>
            <w:r>
              <w:rPr>
                <w:rFonts w:ascii="Open Sans" w:hAnsi="Open Sans" w:cs="Open Sans"/>
                <w:bCs/>
                <w:i/>
                <w:lang w:val="en-US"/>
              </w:rPr>
              <w:t xml:space="preserve"> port and its approaches (GE108). The Chair pointed out that the interest of producing an INT chart for this port is weak (RU aborted production of a schemed chart in 2009 and the port is closed to international shipping</w:t>
            </w:r>
            <w:r w:rsidR="008D6A05">
              <w:rPr>
                <w:rFonts w:ascii="Open Sans" w:hAnsi="Open Sans" w:cs="Open Sans"/>
                <w:bCs/>
                <w:i/>
                <w:lang w:val="en-US"/>
              </w:rPr>
              <w:t>). As such, t</w:t>
            </w:r>
            <w:r w:rsidR="008D6A05" w:rsidRPr="008D6A05">
              <w:rPr>
                <w:rFonts w:ascii="Open Sans" w:hAnsi="Open Sans" w:cs="Open Sans"/>
                <w:b/>
                <w:bCs/>
                <w:i/>
                <w:lang w:val="en-US"/>
              </w:rPr>
              <w:t>he Coordinator’s view is that this chart should not be inserted in the INT scheme of the region</w:t>
            </w:r>
            <w:r w:rsidR="008D6A05">
              <w:rPr>
                <w:rFonts w:ascii="Open Sans" w:hAnsi="Open Sans" w:cs="Open Sans"/>
                <w:b/>
                <w:bCs/>
                <w:i/>
                <w:lang w:val="en-US"/>
              </w:rPr>
              <w:t>.</w:t>
            </w:r>
          </w:p>
          <w:p w:rsidR="00BE3B9F" w:rsidRDefault="00BE3B9F" w:rsidP="00BB2354">
            <w:pPr>
              <w:jc w:val="both"/>
              <w:rPr>
                <w:rFonts w:ascii="Open Sans" w:hAnsi="Open Sans" w:cs="Open Sans"/>
                <w:b/>
                <w:bCs/>
                <w:i/>
                <w:lang w:val="en-US"/>
              </w:rPr>
            </w:pPr>
          </w:p>
          <w:p w:rsidR="00BE3B9F" w:rsidRDefault="00BE3B9F" w:rsidP="00BB2354">
            <w:pPr>
              <w:jc w:val="both"/>
              <w:rPr>
                <w:rFonts w:ascii="Open Sans" w:hAnsi="Open Sans" w:cs="Open Sans"/>
                <w:b/>
                <w:bCs/>
                <w:i/>
              </w:rPr>
            </w:pPr>
            <w:r w:rsidRPr="00BE3B9F">
              <w:rPr>
                <w:rFonts w:ascii="Open Sans" w:hAnsi="Open Sans" w:cs="Open Sans"/>
                <w:bCs/>
                <w:i/>
                <w:lang w:val="en-US"/>
              </w:rPr>
              <w:t>During the presentation of the Russian Federation national report to the MBSHC, it was noted that RU</w:t>
            </w:r>
            <w:r w:rsidR="00BB2354">
              <w:rPr>
                <w:rFonts w:ascii="Open Sans" w:hAnsi="Open Sans" w:cs="Open Sans"/>
                <w:bCs/>
                <w:i/>
                <w:lang w:val="en-US"/>
              </w:rPr>
              <w:t xml:space="preserve"> had recently issued a</w:t>
            </w:r>
            <w:r>
              <w:rPr>
                <w:rFonts w:ascii="Open Sans" w:hAnsi="Open Sans" w:cs="Open Sans"/>
                <w:bCs/>
                <w:i/>
                <w:lang w:val="en-US"/>
              </w:rPr>
              <w:t xml:space="preserve"> new edition of INT3808. This INT chart is a coproduction between TR and GE and as such, RU should have provided the information to the producing nations. </w:t>
            </w:r>
            <w:r w:rsidRPr="00BE3B9F">
              <w:rPr>
                <w:rFonts w:ascii="Open Sans" w:hAnsi="Open Sans" w:cs="Open Sans"/>
                <w:b/>
                <w:bCs/>
                <w:i/>
                <w:lang w:val="en-US"/>
              </w:rPr>
              <w:t xml:space="preserve">RU agreed to </w:t>
            </w:r>
            <w:r w:rsidRPr="00BE3B9F">
              <w:rPr>
                <w:rFonts w:ascii="Open Sans" w:hAnsi="Open Sans" w:cs="Open Sans"/>
                <w:b/>
                <w:bCs/>
                <w:i/>
                <w:lang w:val="en-US"/>
              </w:rPr>
              <w:lastRenderedPageBreak/>
              <w:t xml:space="preserve">provide TR and GE </w:t>
            </w:r>
            <w:r w:rsidRPr="00BE3B9F">
              <w:rPr>
                <w:rFonts w:ascii="Open Sans" w:hAnsi="Open Sans" w:cs="Open Sans"/>
                <w:b/>
                <w:bCs/>
                <w:i/>
              </w:rPr>
              <w:t xml:space="preserve">with </w:t>
            </w:r>
            <w:proofErr w:type="spellStart"/>
            <w:r w:rsidRPr="00BE3B9F">
              <w:rPr>
                <w:rFonts w:ascii="Open Sans" w:hAnsi="Open Sans" w:cs="Open Sans"/>
                <w:b/>
                <w:bCs/>
                <w:i/>
              </w:rPr>
              <w:t>repromats</w:t>
            </w:r>
            <w:proofErr w:type="spellEnd"/>
            <w:r w:rsidRPr="00BE3B9F">
              <w:rPr>
                <w:rFonts w:ascii="Open Sans" w:hAnsi="Open Sans" w:cs="Open Sans"/>
                <w:b/>
                <w:bCs/>
                <w:i/>
              </w:rPr>
              <w:t xml:space="preserve"> of their updated chart corresponding to INT3808 </w:t>
            </w:r>
            <w:r>
              <w:rPr>
                <w:rFonts w:ascii="Open Sans" w:hAnsi="Open Sans" w:cs="Open Sans"/>
                <w:b/>
                <w:bCs/>
                <w:i/>
              </w:rPr>
              <w:t>together</w:t>
            </w:r>
            <w:r w:rsidRPr="00BE3B9F">
              <w:rPr>
                <w:rFonts w:ascii="Open Sans" w:hAnsi="Open Sans" w:cs="Open Sans"/>
                <w:b/>
                <w:bCs/>
                <w:i/>
              </w:rPr>
              <w:t xml:space="preserve"> with updating information for </w:t>
            </w:r>
            <w:r>
              <w:rPr>
                <w:rFonts w:ascii="Open Sans" w:hAnsi="Open Sans" w:cs="Open Sans"/>
                <w:b/>
                <w:bCs/>
                <w:i/>
              </w:rPr>
              <w:t xml:space="preserve">the corresponding </w:t>
            </w:r>
            <w:r w:rsidRPr="00BE3B9F">
              <w:rPr>
                <w:rFonts w:ascii="Open Sans" w:hAnsi="Open Sans" w:cs="Open Sans"/>
                <w:b/>
                <w:bCs/>
                <w:i/>
              </w:rPr>
              <w:t>ENC TR200014</w:t>
            </w:r>
            <w:r>
              <w:rPr>
                <w:rFonts w:ascii="Open Sans" w:hAnsi="Open Sans" w:cs="Open Sans"/>
                <w:b/>
                <w:bCs/>
                <w:i/>
              </w:rPr>
              <w:t>.</w:t>
            </w:r>
          </w:p>
          <w:p w:rsidR="00BE3B9F" w:rsidRDefault="00BE3B9F" w:rsidP="00BB2354">
            <w:pPr>
              <w:jc w:val="both"/>
              <w:rPr>
                <w:rFonts w:ascii="Open Sans" w:hAnsi="Open Sans" w:cs="Open Sans"/>
                <w:b/>
                <w:bCs/>
                <w:i/>
              </w:rPr>
            </w:pPr>
          </w:p>
          <w:p w:rsidR="00BB2354" w:rsidRDefault="00BB2354" w:rsidP="00BB2354">
            <w:pPr>
              <w:jc w:val="both"/>
              <w:rPr>
                <w:rFonts w:ascii="Open Sans" w:hAnsi="Open Sans" w:cs="Open Sans"/>
                <w:b/>
                <w:bCs/>
                <w:i/>
              </w:rPr>
            </w:pPr>
          </w:p>
          <w:p w:rsidR="00BE3B9F" w:rsidRDefault="00BE3B9F" w:rsidP="00BB2354">
            <w:pPr>
              <w:ind w:left="33"/>
              <w:jc w:val="both"/>
              <w:rPr>
                <w:rFonts w:ascii="Open Sans" w:hAnsi="Open Sans" w:cs="Open Sans"/>
                <w:b/>
                <w:bCs/>
                <w:i/>
                <w:u w:val="single"/>
                <w:lang w:val="en-US"/>
              </w:rPr>
            </w:pPr>
            <w:r w:rsidRPr="00F02C8D">
              <w:rPr>
                <w:rFonts w:ascii="Open Sans" w:hAnsi="Open Sans" w:cs="Open Sans"/>
                <w:b/>
                <w:bCs/>
                <w:i/>
                <w:u w:val="single"/>
                <w:lang w:val="en-US"/>
              </w:rPr>
              <w:t xml:space="preserve">INT scheme in the </w:t>
            </w:r>
            <w:r>
              <w:rPr>
                <w:rFonts w:ascii="Open Sans" w:hAnsi="Open Sans" w:cs="Open Sans"/>
                <w:b/>
                <w:bCs/>
                <w:i/>
                <w:u w:val="single"/>
                <w:lang w:val="en-US"/>
              </w:rPr>
              <w:t>Western Mediterranean Sea</w:t>
            </w:r>
          </w:p>
          <w:p w:rsidR="00DC45F7" w:rsidRPr="004945FD" w:rsidRDefault="00DC45F7" w:rsidP="00BB2354">
            <w:pPr>
              <w:ind w:left="33"/>
              <w:jc w:val="both"/>
              <w:rPr>
                <w:rFonts w:ascii="Open Sans" w:hAnsi="Open Sans" w:cs="Open Sans"/>
                <w:i/>
                <w:u w:val="single"/>
                <w:lang w:val="en-US"/>
              </w:rPr>
            </w:pPr>
          </w:p>
          <w:p w:rsidR="00BE3B9F" w:rsidRDefault="00BE3B9F" w:rsidP="00BB2354">
            <w:pPr>
              <w:pStyle w:val="ListParagraph"/>
              <w:numPr>
                <w:ilvl w:val="0"/>
                <w:numId w:val="3"/>
              </w:numPr>
              <w:jc w:val="both"/>
              <w:rPr>
                <w:rFonts w:ascii="Open Sans" w:hAnsi="Open Sans" w:cs="Open Sans"/>
                <w:b/>
              </w:rPr>
            </w:pPr>
            <w:r w:rsidRPr="00BE3B9F">
              <w:rPr>
                <w:rFonts w:ascii="Open Sans" w:hAnsi="Open Sans" w:cs="Open Sans"/>
                <w:b/>
                <w:u w:val="single"/>
                <w:lang w:val="en-US"/>
              </w:rPr>
              <w:t>MBSHC20/3</w:t>
            </w:r>
            <w:r>
              <w:rPr>
                <w:rFonts w:ascii="Open Sans" w:hAnsi="Open Sans" w:cs="Open Sans"/>
                <w:b/>
                <w:u w:val="single"/>
                <w:lang w:val="en-US"/>
              </w:rPr>
              <w:t>7</w:t>
            </w:r>
            <w:r w:rsidRPr="00BE3B9F">
              <w:rPr>
                <w:rFonts w:ascii="Open Sans" w:hAnsi="Open Sans" w:cs="Open Sans"/>
                <w:b/>
                <w:u w:val="single"/>
                <w:lang w:val="en-US"/>
              </w:rPr>
              <w:t>:</w:t>
            </w:r>
            <w:r w:rsidRPr="00BE3B9F">
              <w:rPr>
                <w:rFonts w:ascii="Open Sans" w:hAnsi="Open Sans" w:cs="Open Sans"/>
                <w:b/>
                <w:lang w:val="en-US"/>
              </w:rPr>
              <w:t xml:space="preserve"> </w:t>
            </w:r>
            <w:r w:rsidRPr="00BE3B9F">
              <w:rPr>
                <w:rFonts w:ascii="Open Sans" w:hAnsi="Open Sans" w:cs="Open Sans"/>
                <w:b/>
              </w:rPr>
              <w:t>ICCWG-F to confirm the transfer of INT3102, INT3108, INT3110 and INT3112 to the Western Mediterranean small scale INT scheme (see decision MBSHC20/06).</w:t>
            </w:r>
          </w:p>
          <w:p w:rsidR="00DC45F7" w:rsidRPr="00DC45F7" w:rsidRDefault="00DC45F7" w:rsidP="00BB2354">
            <w:pPr>
              <w:ind w:left="360"/>
              <w:jc w:val="both"/>
              <w:rPr>
                <w:rFonts w:ascii="Open Sans" w:hAnsi="Open Sans" w:cs="Open Sans"/>
                <w:b/>
              </w:rPr>
            </w:pPr>
          </w:p>
          <w:p w:rsidR="00245F60" w:rsidRDefault="00BE3B9F" w:rsidP="00BB2354">
            <w:pPr>
              <w:spacing w:after="240"/>
              <w:jc w:val="both"/>
              <w:rPr>
                <w:rFonts w:ascii="Open Sans" w:hAnsi="Open Sans" w:cs="Open Sans"/>
                <w:i/>
                <w:lang w:val="en-US"/>
              </w:rPr>
            </w:pPr>
            <w:r>
              <w:rPr>
                <w:rFonts w:ascii="Open Sans" w:hAnsi="Open Sans" w:cs="Open Sans"/>
                <w:i/>
                <w:lang w:val="en-US"/>
              </w:rPr>
              <w:t xml:space="preserve">The Chair asked ES to confirm the interest of keeping these charts in the INT scheme when the schemed “Coastal” INT charts will be produced, considering that the scales are </w:t>
            </w:r>
            <w:r w:rsidR="00A8779D">
              <w:rPr>
                <w:rFonts w:ascii="Open Sans" w:hAnsi="Open Sans" w:cs="Open Sans"/>
                <w:i/>
                <w:lang w:val="en-US"/>
              </w:rPr>
              <w:t>close (1:4</w:t>
            </w:r>
            <w:r w:rsidR="00956B1B">
              <w:rPr>
                <w:rFonts w:ascii="Open Sans" w:hAnsi="Open Sans" w:cs="Open Sans"/>
                <w:i/>
                <w:lang w:val="en-US"/>
              </w:rPr>
              <w:t>2</w:t>
            </w:r>
            <w:r w:rsidR="00A8779D">
              <w:rPr>
                <w:rFonts w:ascii="Open Sans" w:hAnsi="Open Sans" w:cs="Open Sans"/>
                <w:i/>
                <w:lang w:val="en-US"/>
              </w:rPr>
              <w:t>5 000 and 1:350 000</w:t>
            </w:r>
            <w:r w:rsidR="00956B1B">
              <w:rPr>
                <w:rFonts w:ascii="Open Sans" w:hAnsi="Open Sans" w:cs="Open Sans"/>
                <w:i/>
                <w:lang w:val="en-US"/>
              </w:rPr>
              <w:t xml:space="preserve"> for the existing charts, 1:275 000 and 1:250 000 for the schemed charts</w:t>
            </w:r>
            <w:r w:rsidR="00A8779D">
              <w:rPr>
                <w:rFonts w:ascii="Open Sans" w:hAnsi="Open Sans" w:cs="Open Sans"/>
                <w:i/>
                <w:lang w:val="en-US"/>
              </w:rPr>
              <w:t xml:space="preserve">). ES explained that international shipping need to have </w:t>
            </w:r>
            <w:r w:rsidR="00956B1B">
              <w:rPr>
                <w:rFonts w:ascii="Open Sans" w:hAnsi="Open Sans" w:cs="Open Sans"/>
                <w:i/>
                <w:lang w:val="en-US"/>
              </w:rPr>
              <w:t>routes between certain ports (</w:t>
            </w:r>
            <w:proofErr w:type="spellStart"/>
            <w:r w:rsidR="00956B1B">
              <w:rPr>
                <w:rFonts w:ascii="Open Sans" w:hAnsi="Open Sans" w:cs="Open Sans"/>
                <w:i/>
                <w:lang w:val="en-US"/>
              </w:rPr>
              <w:t>eg</w:t>
            </w:r>
            <w:proofErr w:type="spellEnd"/>
            <w:r w:rsidR="00956B1B">
              <w:rPr>
                <w:rFonts w:ascii="Open Sans" w:hAnsi="Open Sans" w:cs="Open Sans"/>
                <w:i/>
                <w:lang w:val="en-US"/>
              </w:rPr>
              <w:t xml:space="preserve">. Marseilles to Barcelona) on a unique chart. It was thus </w:t>
            </w:r>
            <w:r w:rsidR="00956B1B" w:rsidRPr="00956B1B">
              <w:rPr>
                <w:rFonts w:ascii="Open Sans" w:hAnsi="Open Sans" w:cs="Open Sans"/>
                <w:b/>
                <w:i/>
                <w:lang w:val="en-US"/>
              </w:rPr>
              <w:t>decided to keep those charts in the “General” category</w:t>
            </w:r>
            <w:r w:rsidR="00956B1B">
              <w:rPr>
                <w:rFonts w:ascii="Open Sans" w:hAnsi="Open Sans" w:cs="Open Sans"/>
                <w:i/>
                <w:lang w:val="en-US"/>
              </w:rPr>
              <w:t>.</w:t>
            </w:r>
          </w:p>
          <w:p w:rsidR="00205F1F" w:rsidRDefault="00397C55" w:rsidP="00BB2354">
            <w:pPr>
              <w:jc w:val="both"/>
              <w:rPr>
                <w:rFonts w:ascii="Open Sans" w:hAnsi="Open Sans" w:cs="Open Sans"/>
                <w:i/>
                <w:lang w:val="en-US"/>
              </w:rPr>
            </w:pPr>
            <w:r>
              <w:rPr>
                <w:rFonts w:ascii="Open Sans" w:hAnsi="Open Sans" w:cs="Open Sans"/>
                <w:i/>
                <w:lang w:val="en-US"/>
              </w:rPr>
              <w:t xml:space="preserve">Following this point and in reaction to the report to the ICCWG from ES already mentioned in introduction, GB read </w:t>
            </w:r>
            <w:r w:rsidR="00675224">
              <w:rPr>
                <w:rFonts w:ascii="Open Sans" w:hAnsi="Open Sans" w:cs="Open Sans"/>
                <w:i/>
                <w:lang w:val="en-US"/>
              </w:rPr>
              <w:t>a statement from its Government in regard to Gibraltar charts, to be inserted on the MBSHC20 website alongside the Spanish report.</w:t>
            </w:r>
          </w:p>
          <w:p w:rsidR="00675224" w:rsidRPr="004924A4" w:rsidRDefault="00675224" w:rsidP="00BB2354">
            <w:pPr>
              <w:jc w:val="both"/>
              <w:rPr>
                <w:rFonts w:ascii="Open Sans" w:hAnsi="Open Sans" w:cs="Open Sans"/>
                <w:i/>
                <w:lang w:val="en-US"/>
              </w:rPr>
            </w:pPr>
          </w:p>
        </w:tc>
      </w:tr>
      <w:tr w:rsidR="00205F1F" w:rsidRPr="004924A4" w:rsidTr="00205F1F">
        <w:tc>
          <w:tcPr>
            <w:tcW w:w="1101" w:type="dxa"/>
            <w:tcBorders>
              <w:top w:val="nil"/>
              <w:left w:val="nil"/>
              <w:bottom w:val="nil"/>
              <w:right w:val="nil"/>
            </w:tcBorders>
            <w:shd w:val="clear" w:color="auto" w:fill="auto"/>
            <w:vAlign w:val="center"/>
          </w:tcPr>
          <w:p w:rsidR="00205F1F" w:rsidRPr="004924A4" w:rsidRDefault="00205F1F" w:rsidP="00BB2354">
            <w:pPr>
              <w:spacing w:before="240" w:after="240" w:line="360" w:lineRule="auto"/>
              <w:jc w:val="both"/>
              <w:rPr>
                <w:rFonts w:ascii="Open Sans" w:hAnsi="Open Sans" w:cs="Open Sans"/>
                <w:b/>
                <w:lang w:val="en-US"/>
              </w:rPr>
            </w:pPr>
            <w:r w:rsidRPr="004924A4">
              <w:rPr>
                <w:rFonts w:ascii="Open Sans" w:hAnsi="Open Sans" w:cs="Open Sans"/>
                <w:b/>
                <w:lang w:val="en-US"/>
              </w:rPr>
              <w:lastRenderedPageBreak/>
              <w:t>ICC</w:t>
            </w:r>
            <w:r w:rsidR="00104250">
              <w:rPr>
                <w:rFonts w:ascii="Open Sans" w:hAnsi="Open Sans" w:cs="Open Sans"/>
                <w:b/>
                <w:lang w:val="en-US"/>
              </w:rPr>
              <w:t>5</w:t>
            </w:r>
            <w:r w:rsidRPr="004924A4">
              <w:rPr>
                <w:rFonts w:ascii="Open Sans" w:hAnsi="Open Sans" w:cs="Open Sans"/>
                <w:b/>
                <w:lang w:val="en-US"/>
              </w:rPr>
              <w:t>-4</w:t>
            </w:r>
          </w:p>
        </w:tc>
        <w:tc>
          <w:tcPr>
            <w:tcW w:w="8363" w:type="dxa"/>
            <w:tcBorders>
              <w:top w:val="nil"/>
              <w:left w:val="nil"/>
              <w:bottom w:val="nil"/>
              <w:right w:val="nil"/>
            </w:tcBorders>
            <w:shd w:val="clear" w:color="auto" w:fill="auto"/>
            <w:vAlign w:val="center"/>
          </w:tcPr>
          <w:p w:rsidR="00205F1F" w:rsidRPr="004924A4" w:rsidRDefault="00205F1F" w:rsidP="00BB2354">
            <w:pPr>
              <w:spacing w:line="360" w:lineRule="auto"/>
              <w:jc w:val="both"/>
              <w:rPr>
                <w:rFonts w:ascii="Open Sans" w:hAnsi="Open Sans" w:cs="Open Sans"/>
                <w:b/>
                <w:lang w:val="en-US"/>
              </w:rPr>
            </w:pPr>
            <w:r w:rsidRPr="004924A4">
              <w:rPr>
                <w:rFonts w:ascii="Open Sans" w:hAnsi="Open Sans" w:cs="Open Sans"/>
                <w:b/>
                <w:lang w:val="en-US"/>
              </w:rPr>
              <w:t>ENC coverage status</w:t>
            </w:r>
          </w:p>
        </w:tc>
      </w:tr>
      <w:tr w:rsidR="00205F1F" w:rsidRPr="004924A4" w:rsidTr="00205F1F">
        <w:tc>
          <w:tcPr>
            <w:tcW w:w="1101" w:type="dxa"/>
            <w:tcBorders>
              <w:top w:val="nil"/>
              <w:left w:val="nil"/>
              <w:bottom w:val="nil"/>
              <w:right w:val="nil"/>
            </w:tcBorders>
            <w:shd w:val="clear" w:color="auto" w:fill="auto"/>
          </w:tcPr>
          <w:p w:rsidR="00205F1F" w:rsidRPr="004924A4" w:rsidRDefault="00205F1F" w:rsidP="00BB2354">
            <w:pPr>
              <w:spacing w:line="360" w:lineRule="auto"/>
              <w:jc w:val="both"/>
              <w:rPr>
                <w:rFonts w:ascii="Open Sans" w:hAnsi="Open Sans" w:cs="Open Sans"/>
                <w:lang w:val="en-US"/>
              </w:rPr>
            </w:pPr>
          </w:p>
        </w:tc>
        <w:tc>
          <w:tcPr>
            <w:tcW w:w="8363" w:type="dxa"/>
            <w:tcBorders>
              <w:top w:val="nil"/>
              <w:left w:val="nil"/>
              <w:bottom w:val="nil"/>
              <w:right w:val="nil"/>
            </w:tcBorders>
            <w:shd w:val="clear" w:color="auto" w:fill="auto"/>
          </w:tcPr>
          <w:p w:rsidR="00205F1F" w:rsidRDefault="00205F1F" w:rsidP="00BB2354">
            <w:pPr>
              <w:jc w:val="both"/>
              <w:rPr>
                <w:rFonts w:ascii="Open Sans" w:hAnsi="Open Sans" w:cs="Open Sans"/>
                <w:i/>
                <w:lang w:val="en-US"/>
              </w:rPr>
            </w:pPr>
            <w:r w:rsidRPr="004924A4">
              <w:rPr>
                <w:rFonts w:ascii="Open Sans" w:hAnsi="Open Sans" w:cs="Open Sans"/>
                <w:i/>
                <w:lang w:val="en-US"/>
              </w:rPr>
              <w:t xml:space="preserve">The ICCWG Chair </w:t>
            </w:r>
            <w:r w:rsidR="0011208B" w:rsidRPr="004924A4">
              <w:rPr>
                <w:rFonts w:ascii="Open Sans" w:hAnsi="Open Sans" w:cs="Open Sans"/>
                <w:i/>
                <w:lang w:val="en-US"/>
              </w:rPr>
              <w:t>provided</w:t>
            </w:r>
            <w:r w:rsidRPr="004924A4">
              <w:rPr>
                <w:rFonts w:ascii="Open Sans" w:hAnsi="Open Sans" w:cs="Open Sans"/>
                <w:i/>
                <w:lang w:val="en-US"/>
              </w:rPr>
              <w:t xml:space="preserve"> an introductory overview on the evolution of the regional ENC coverage since the last MBSHC</w:t>
            </w:r>
            <w:r w:rsidR="00956B1B">
              <w:rPr>
                <w:rFonts w:ascii="Open Sans" w:hAnsi="Open Sans" w:cs="Open Sans"/>
                <w:i/>
                <w:lang w:val="en-US"/>
              </w:rPr>
              <w:t>20</w:t>
            </w:r>
            <w:r w:rsidRPr="004924A4">
              <w:rPr>
                <w:rFonts w:ascii="Open Sans" w:hAnsi="Open Sans" w:cs="Open Sans"/>
                <w:i/>
                <w:lang w:val="en-US"/>
              </w:rPr>
              <w:t xml:space="preserve"> conference.</w:t>
            </w:r>
            <w:r w:rsidR="004264EB">
              <w:rPr>
                <w:rFonts w:ascii="Open Sans" w:hAnsi="Open Sans" w:cs="Open Sans"/>
                <w:i/>
                <w:lang w:val="en-US"/>
              </w:rPr>
              <w:t xml:space="preserve"> UB1 and UB2 coverage is considered as complete. There are still gaps in coverage on the Southern shore of the Mediterranean Sea (Libya and South of Tunisia). For larger scale ENCs, some ports from NGA World Port Index (Pub150) are still not covered. For instance 5 “Medium” ports in GR, MA, RO and TN do not have a complete coverage (but actions are underway for most of them).</w:t>
            </w:r>
          </w:p>
          <w:p w:rsidR="00A17925" w:rsidRDefault="00A17925" w:rsidP="00BB2354">
            <w:pPr>
              <w:jc w:val="both"/>
              <w:rPr>
                <w:rFonts w:ascii="Open Sans" w:hAnsi="Open Sans" w:cs="Open Sans"/>
                <w:i/>
                <w:lang w:val="en-US"/>
              </w:rPr>
            </w:pPr>
          </w:p>
          <w:p w:rsidR="00A17925" w:rsidRDefault="00A17925" w:rsidP="00BB2354">
            <w:pPr>
              <w:jc w:val="both"/>
              <w:rPr>
                <w:rFonts w:ascii="Open Sans" w:hAnsi="Open Sans" w:cs="Open Sans"/>
                <w:i/>
                <w:lang w:val="en-US"/>
              </w:rPr>
            </w:pPr>
            <w:r>
              <w:rPr>
                <w:rFonts w:ascii="Open Sans" w:hAnsi="Open Sans" w:cs="Open Sans"/>
                <w:i/>
                <w:lang w:val="en-US"/>
              </w:rPr>
              <w:t>In regard to the Port priority list :</w:t>
            </w:r>
          </w:p>
          <w:p w:rsidR="00A17925" w:rsidRPr="004945FD" w:rsidRDefault="004264EB" w:rsidP="00BB2354">
            <w:pPr>
              <w:pStyle w:val="ListParagraph"/>
              <w:numPr>
                <w:ilvl w:val="0"/>
                <w:numId w:val="3"/>
              </w:numPr>
              <w:jc w:val="both"/>
              <w:rPr>
                <w:rFonts w:ascii="Open Sans" w:hAnsi="Open Sans" w:cs="Open Sans"/>
                <w:b/>
                <w:lang w:val="en-US"/>
              </w:rPr>
            </w:pPr>
            <w:r w:rsidRPr="00A17925">
              <w:rPr>
                <w:rFonts w:ascii="Open Sans" w:hAnsi="Open Sans" w:cs="Open Sans"/>
                <w:b/>
                <w:u w:val="single"/>
                <w:lang w:val="en-US"/>
              </w:rPr>
              <w:t>MBSHC</w:t>
            </w:r>
            <w:r w:rsidR="00A17925" w:rsidRPr="00A17925">
              <w:rPr>
                <w:rFonts w:ascii="Open Sans" w:hAnsi="Open Sans" w:cs="Open Sans"/>
                <w:b/>
                <w:u w:val="single"/>
                <w:lang w:val="en-US"/>
              </w:rPr>
              <w:t>20</w:t>
            </w:r>
            <w:r w:rsidRPr="00A17925">
              <w:rPr>
                <w:rFonts w:ascii="Open Sans" w:hAnsi="Open Sans" w:cs="Open Sans"/>
                <w:b/>
                <w:u w:val="single"/>
                <w:lang w:val="en-US"/>
              </w:rPr>
              <w:t>/</w:t>
            </w:r>
            <w:r w:rsidR="00A17925" w:rsidRPr="00A17925">
              <w:rPr>
                <w:rFonts w:ascii="Open Sans" w:hAnsi="Open Sans" w:cs="Open Sans"/>
                <w:b/>
                <w:u w:val="single"/>
                <w:lang w:val="en-US"/>
              </w:rPr>
              <w:t>17</w:t>
            </w:r>
            <w:r w:rsidRPr="00A17925">
              <w:rPr>
                <w:rFonts w:ascii="Open Sans" w:hAnsi="Open Sans" w:cs="Open Sans"/>
                <w:b/>
                <w:u w:val="single"/>
                <w:lang w:val="en-US"/>
              </w:rPr>
              <w:t>:</w:t>
            </w:r>
            <w:r w:rsidRPr="00A17925">
              <w:rPr>
                <w:rFonts w:ascii="Open Sans" w:hAnsi="Open Sans" w:cs="Open Sans"/>
                <w:b/>
                <w:lang w:val="en-US"/>
              </w:rPr>
              <w:t xml:space="preserve"> </w:t>
            </w:r>
            <w:r w:rsidR="00A17925" w:rsidRPr="004945FD">
              <w:rPr>
                <w:rFonts w:ascii="Open Sans" w:hAnsi="Open Sans" w:cs="Open Sans"/>
                <w:b/>
                <w:lang w:val="en-US"/>
              </w:rPr>
              <w:t>MS to use the IHO online port database to update their port priority list and report to the Regional Charting Coordinator (RCC).</w:t>
            </w:r>
          </w:p>
          <w:p w:rsidR="00286650" w:rsidRPr="004945FD" w:rsidRDefault="00286650" w:rsidP="00BB2354">
            <w:pPr>
              <w:ind w:left="360"/>
              <w:jc w:val="both"/>
              <w:rPr>
                <w:rFonts w:ascii="Open Sans" w:hAnsi="Open Sans" w:cs="Open Sans"/>
                <w:b/>
                <w:lang w:val="en-US"/>
              </w:rPr>
            </w:pPr>
          </w:p>
          <w:p w:rsidR="00BB2354" w:rsidRPr="00BB2354" w:rsidRDefault="00A17925" w:rsidP="00BB2354">
            <w:pPr>
              <w:pStyle w:val="ListParagraph"/>
              <w:numPr>
                <w:ilvl w:val="0"/>
                <w:numId w:val="3"/>
              </w:numPr>
              <w:jc w:val="both"/>
              <w:rPr>
                <w:rFonts w:ascii="Open Sans" w:hAnsi="Open Sans" w:cs="Open Sans"/>
                <w:b/>
              </w:rPr>
            </w:pPr>
            <w:r w:rsidRPr="00A17925">
              <w:rPr>
                <w:rFonts w:ascii="Open Sans" w:hAnsi="Open Sans" w:cs="Open Sans"/>
                <w:b/>
                <w:u w:val="single"/>
                <w:lang w:val="en-US"/>
              </w:rPr>
              <w:t>MBSHC20/18:</w:t>
            </w:r>
            <w:r w:rsidRPr="00A17925">
              <w:rPr>
                <w:rFonts w:ascii="Open Sans" w:hAnsi="Open Sans" w:cs="Open Sans"/>
                <w:b/>
                <w:lang w:val="en-US"/>
              </w:rPr>
              <w:t xml:space="preserve"> </w:t>
            </w:r>
            <w:r w:rsidRPr="00A17925">
              <w:rPr>
                <w:rFonts w:ascii="Open Sans" w:hAnsi="Open Sans" w:cs="Open Sans"/>
                <w:b/>
              </w:rPr>
              <w:t>RCC to disseminate an updated version of the Port priority list.</w:t>
            </w:r>
          </w:p>
          <w:p w:rsidR="00BB2354" w:rsidRPr="00BB2354" w:rsidRDefault="00BB2354" w:rsidP="00BB2354">
            <w:pPr>
              <w:ind w:left="360"/>
              <w:jc w:val="both"/>
              <w:rPr>
                <w:rFonts w:ascii="Open Sans" w:hAnsi="Open Sans" w:cs="Open Sans"/>
                <w:b/>
              </w:rPr>
            </w:pPr>
          </w:p>
          <w:p w:rsidR="00A17925" w:rsidRPr="004945FD" w:rsidRDefault="00A17925" w:rsidP="00BB2354">
            <w:pPr>
              <w:jc w:val="both"/>
              <w:rPr>
                <w:rFonts w:ascii="Open Sans" w:hAnsi="Open Sans" w:cs="Open Sans"/>
                <w:i/>
                <w:lang w:val="en-US"/>
              </w:rPr>
            </w:pPr>
            <w:r>
              <w:rPr>
                <w:rFonts w:ascii="Open Sans" w:hAnsi="Open Sans" w:cs="Open Sans"/>
                <w:i/>
                <w:lang w:val="en-US"/>
              </w:rPr>
              <w:t xml:space="preserve">Updates were received from </w:t>
            </w:r>
            <w:r w:rsidRPr="00A17925">
              <w:rPr>
                <w:rFonts w:ascii="Open Sans" w:hAnsi="Open Sans" w:cs="Open Sans"/>
                <w:i/>
                <w:lang w:val="en-US"/>
              </w:rPr>
              <w:t>CY, DZ, ES, EG, FR, GB, GE, GR, HR, IT, RO and UA</w:t>
            </w:r>
          </w:p>
          <w:p w:rsidR="004264EB" w:rsidRDefault="00A17925" w:rsidP="00BB2354">
            <w:pPr>
              <w:jc w:val="both"/>
              <w:rPr>
                <w:rFonts w:ascii="Open Sans" w:hAnsi="Open Sans" w:cs="Open Sans"/>
                <w:i/>
                <w:lang w:val="en-US"/>
              </w:rPr>
            </w:pPr>
            <w:r>
              <w:rPr>
                <w:rFonts w:ascii="Open Sans" w:hAnsi="Open Sans" w:cs="Open Sans"/>
                <w:i/>
                <w:lang w:val="en-US"/>
              </w:rPr>
              <w:t xml:space="preserve">And the updated report was sent by the Coordinator to the members of ICCWG, IHO Secretariat and NGA. Furthermore, it is proposed to make </w:t>
            </w:r>
            <w:r w:rsidRPr="00A17925">
              <w:rPr>
                <w:rFonts w:ascii="Open Sans" w:hAnsi="Open Sans" w:cs="Open Sans"/>
                <w:b/>
                <w:i/>
                <w:lang w:val="en-US"/>
              </w:rPr>
              <w:t>these actions permanent, with updates due from MS on a regular basis, at least before each MBSHC meeting</w:t>
            </w:r>
            <w:r>
              <w:rPr>
                <w:rFonts w:ascii="Open Sans" w:hAnsi="Open Sans" w:cs="Open Sans"/>
                <w:i/>
                <w:lang w:val="en-US"/>
              </w:rPr>
              <w:t xml:space="preserve">. Finally, the Chair pointed to the fact </w:t>
            </w:r>
            <w:r>
              <w:rPr>
                <w:rFonts w:ascii="Open Sans" w:hAnsi="Open Sans" w:cs="Open Sans"/>
                <w:i/>
                <w:lang w:val="en-US"/>
              </w:rPr>
              <w:lastRenderedPageBreak/>
              <w:t xml:space="preserve">that new functionalities offered by </w:t>
            </w:r>
            <w:proofErr w:type="spellStart"/>
            <w:r>
              <w:rPr>
                <w:rFonts w:ascii="Open Sans" w:hAnsi="Open Sans" w:cs="Open Sans"/>
                <w:i/>
                <w:lang w:val="en-US"/>
              </w:rPr>
              <w:t>INToGISII</w:t>
            </w:r>
            <w:proofErr w:type="spellEnd"/>
            <w:r>
              <w:rPr>
                <w:rFonts w:ascii="Open Sans" w:hAnsi="Open Sans" w:cs="Open Sans"/>
                <w:i/>
                <w:lang w:val="en-US"/>
              </w:rPr>
              <w:t xml:space="preserve"> could enable new and more interactive actions for updating this list.</w:t>
            </w:r>
          </w:p>
          <w:p w:rsidR="00205F1F" w:rsidRPr="004924A4" w:rsidRDefault="00205F1F" w:rsidP="00BB2354">
            <w:pPr>
              <w:jc w:val="both"/>
              <w:rPr>
                <w:rFonts w:ascii="Open Sans" w:hAnsi="Open Sans" w:cs="Open Sans"/>
                <w:i/>
                <w:lang w:val="en-US"/>
              </w:rPr>
            </w:pPr>
          </w:p>
        </w:tc>
      </w:tr>
      <w:tr w:rsidR="00205F1F" w:rsidRPr="004924A4" w:rsidTr="00205F1F">
        <w:tc>
          <w:tcPr>
            <w:tcW w:w="1101" w:type="dxa"/>
            <w:tcBorders>
              <w:top w:val="nil"/>
              <w:left w:val="nil"/>
              <w:bottom w:val="nil"/>
              <w:right w:val="nil"/>
            </w:tcBorders>
            <w:shd w:val="clear" w:color="auto" w:fill="auto"/>
            <w:vAlign w:val="center"/>
          </w:tcPr>
          <w:p w:rsidR="00205F1F" w:rsidRPr="004924A4" w:rsidRDefault="00205F1F" w:rsidP="00BB2354">
            <w:pPr>
              <w:spacing w:before="240" w:after="240" w:line="360" w:lineRule="auto"/>
              <w:jc w:val="both"/>
              <w:rPr>
                <w:rFonts w:ascii="Open Sans" w:hAnsi="Open Sans" w:cs="Open Sans"/>
                <w:b/>
                <w:lang w:val="en-US"/>
              </w:rPr>
            </w:pPr>
            <w:r w:rsidRPr="004924A4">
              <w:rPr>
                <w:rFonts w:ascii="Open Sans" w:hAnsi="Open Sans" w:cs="Open Sans"/>
                <w:b/>
                <w:lang w:val="en-US"/>
              </w:rPr>
              <w:lastRenderedPageBreak/>
              <w:t>ICC</w:t>
            </w:r>
            <w:r w:rsidR="00104250">
              <w:rPr>
                <w:rFonts w:ascii="Open Sans" w:hAnsi="Open Sans" w:cs="Open Sans"/>
                <w:b/>
                <w:lang w:val="en-US"/>
              </w:rPr>
              <w:t>5</w:t>
            </w:r>
            <w:r w:rsidRPr="004924A4">
              <w:rPr>
                <w:rFonts w:ascii="Open Sans" w:hAnsi="Open Sans" w:cs="Open Sans"/>
                <w:b/>
                <w:lang w:val="en-US"/>
              </w:rPr>
              <w:t>-5</w:t>
            </w:r>
          </w:p>
        </w:tc>
        <w:tc>
          <w:tcPr>
            <w:tcW w:w="8363" w:type="dxa"/>
            <w:tcBorders>
              <w:top w:val="nil"/>
              <w:left w:val="nil"/>
              <w:bottom w:val="nil"/>
              <w:right w:val="nil"/>
            </w:tcBorders>
            <w:shd w:val="clear" w:color="auto" w:fill="auto"/>
            <w:vAlign w:val="center"/>
          </w:tcPr>
          <w:p w:rsidR="00205F1F" w:rsidRPr="004924A4" w:rsidRDefault="00205F1F" w:rsidP="00BB2354">
            <w:pPr>
              <w:spacing w:line="360" w:lineRule="auto"/>
              <w:jc w:val="both"/>
              <w:rPr>
                <w:rFonts w:ascii="Open Sans" w:hAnsi="Open Sans" w:cs="Open Sans"/>
                <w:b/>
                <w:lang w:val="en-US"/>
              </w:rPr>
            </w:pPr>
            <w:r w:rsidRPr="004924A4">
              <w:rPr>
                <w:rFonts w:ascii="Open Sans" w:hAnsi="Open Sans" w:cs="Open Sans"/>
                <w:b/>
                <w:lang w:val="en-US"/>
              </w:rPr>
              <w:t>ENC overlaps risk assessment</w:t>
            </w:r>
          </w:p>
        </w:tc>
      </w:tr>
      <w:tr w:rsidR="00205F1F" w:rsidRPr="004924A4" w:rsidTr="00205F1F">
        <w:tc>
          <w:tcPr>
            <w:tcW w:w="1101" w:type="dxa"/>
            <w:tcBorders>
              <w:top w:val="nil"/>
              <w:left w:val="nil"/>
              <w:bottom w:val="nil"/>
              <w:right w:val="nil"/>
            </w:tcBorders>
            <w:shd w:val="clear" w:color="auto" w:fill="auto"/>
          </w:tcPr>
          <w:p w:rsidR="00205F1F" w:rsidRPr="004924A4" w:rsidRDefault="00205F1F" w:rsidP="00BB2354">
            <w:pPr>
              <w:spacing w:line="360" w:lineRule="auto"/>
              <w:jc w:val="both"/>
              <w:rPr>
                <w:rFonts w:ascii="Open Sans" w:hAnsi="Open Sans" w:cs="Open Sans"/>
                <w:lang w:val="en-US"/>
              </w:rPr>
            </w:pPr>
          </w:p>
        </w:tc>
        <w:tc>
          <w:tcPr>
            <w:tcW w:w="8363" w:type="dxa"/>
            <w:tcBorders>
              <w:top w:val="nil"/>
              <w:left w:val="nil"/>
              <w:bottom w:val="nil"/>
              <w:right w:val="nil"/>
            </w:tcBorders>
            <w:shd w:val="clear" w:color="auto" w:fill="auto"/>
          </w:tcPr>
          <w:p w:rsidR="00286650" w:rsidRPr="00286650" w:rsidRDefault="00286650" w:rsidP="00BB2354">
            <w:pPr>
              <w:pStyle w:val="ListParagraph"/>
              <w:numPr>
                <w:ilvl w:val="0"/>
                <w:numId w:val="3"/>
              </w:numPr>
              <w:jc w:val="both"/>
              <w:rPr>
                <w:rFonts w:ascii="Open Sans" w:hAnsi="Open Sans" w:cs="Open Sans"/>
                <w:b/>
              </w:rPr>
            </w:pPr>
            <w:r w:rsidRPr="00A17925">
              <w:rPr>
                <w:rFonts w:ascii="Open Sans" w:hAnsi="Open Sans" w:cs="Open Sans"/>
                <w:b/>
                <w:u w:val="single"/>
                <w:lang w:val="en-US"/>
              </w:rPr>
              <w:t>MBSHC20/1</w:t>
            </w:r>
            <w:r>
              <w:rPr>
                <w:rFonts w:ascii="Open Sans" w:hAnsi="Open Sans" w:cs="Open Sans"/>
                <w:b/>
                <w:u w:val="single"/>
                <w:lang w:val="en-US"/>
              </w:rPr>
              <w:t>9</w:t>
            </w:r>
            <w:r w:rsidRPr="00A17925">
              <w:rPr>
                <w:rFonts w:ascii="Open Sans" w:hAnsi="Open Sans" w:cs="Open Sans"/>
                <w:b/>
                <w:u w:val="single"/>
                <w:lang w:val="en-US"/>
              </w:rPr>
              <w:t>:</w:t>
            </w:r>
            <w:r w:rsidRPr="00A17925">
              <w:rPr>
                <w:rFonts w:ascii="Open Sans" w:hAnsi="Open Sans" w:cs="Open Sans"/>
                <w:b/>
                <w:lang w:val="en-US"/>
              </w:rPr>
              <w:t xml:space="preserve"> </w:t>
            </w:r>
            <w:r w:rsidRPr="00286650">
              <w:rPr>
                <w:rFonts w:ascii="Open Sans" w:hAnsi="Open Sans" w:cs="Open Sans"/>
                <w:b/>
              </w:rPr>
              <w:t xml:space="preserve">Concerned MSs </w:t>
            </w:r>
            <w:r w:rsidR="0028784D">
              <w:rPr>
                <w:rFonts w:ascii="Open Sans" w:hAnsi="Open Sans" w:cs="Open Sans"/>
                <w:b/>
              </w:rPr>
              <w:t xml:space="preserve">(IT, GR, TR and HR) </w:t>
            </w:r>
            <w:r w:rsidRPr="00286650">
              <w:rPr>
                <w:rFonts w:ascii="Open Sans" w:hAnsi="Open Sans" w:cs="Open Sans"/>
                <w:b/>
              </w:rPr>
              <w:t xml:space="preserve">to liaise bilaterally to resolve ENC </w:t>
            </w:r>
            <w:proofErr w:type="spellStart"/>
            <w:r w:rsidRPr="00286650">
              <w:rPr>
                <w:rFonts w:ascii="Open Sans" w:hAnsi="Open Sans" w:cs="Open Sans"/>
                <w:b/>
              </w:rPr>
              <w:t>overlappings</w:t>
            </w:r>
            <w:proofErr w:type="spellEnd"/>
            <w:r w:rsidRPr="00286650">
              <w:rPr>
                <w:rFonts w:ascii="Open Sans" w:hAnsi="Open Sans" w:cs="Open Sans"/>
                <w:b/>
              </w:rPr>
              <w:t>, keeping the MBSHC Chair informed.</w:t>
            </w:r>
          </w:p>
          <w:p w:rsidR="0028784D" w:rsidRPr="0028784D" w:rsidRDefault="00286650" w:rsidP="00BB2354">
            <w:pPr>
              <w:ind w:left="360"/>
              <w:jc w:val="both"/>
              <w:rPr>
                <w:rFonts w:ascii="Open Sans" w:hAnsi="Open Sans" w:cs="Open Sans"/>
                <w:i/>
              </w:rPr>
            </w:pPr>
            <w:r w:rsidRPr="004945FD">
              <w:rPr>
                <w:rFonts w:ascii="Open Sans" w:hAnsi="Open Sans" w:cs="Open Sans"/>
                <w:i/>
                <w:lang w:val="en-US"/>
              </w:rPr>
              <w:t>The Chair noted with satisfaction that some overlapping issues were in the process of being resolved (</w:t>
            </w:r>
            <w:r w:rsidR="0028784D" w:rsidRPr="004945FD">
              <w:rPr>
                <w:rFonts w:ascii="Open Sans" w:hAnsi="Open Sans" w:cs="Open Sans"/>
                <w:i/>
                <w:lang w:val="en-US"/>
              </w:rPr>
              <w:t xml:space="preserve">agreements seem to have been found between IT/HR, IT/GR, and promising discussions are underway between IT/TR). </w:t>
            </w:r>
            <w:r w:rsidR="0028784D">
              <w:rPr>
                <w:rFonts w:ascii="Open Sans" w:hAnsi="Open Sans" w:cs="Open Sans"/>
                <w:i/>
                <w:lang w:val="en-US"/>
              </w:rPr>
              <w:t>But n</w:t>
            </w:r>
            <w:r w:rsidR="0028784D" w:rsidRPr="0028784D">
              <w:rPr>
                <w:rFonts w:ascii="Open Sans" w:hAnsi="Open Sans" w:cs="Open Sans"/>
                <w:i/>
                <w:lang w:val="en-US"/>
              </w:rPr>
              <w:t xml:space="preserve">o information </w:t>
            </w:r>
            <w:r w:rsidR="0028784D">
              <w:rPr>
                <w:rFonts w:ascii="Open Sans" w:hAnsi="Open Sans" w:cs="Open Sans"/>
                <w:i/>
                <w:lang w:val="en-US"/>
              </w:rPr>
              <w:t>was given</w:t>
            </w:r>
            <w:r w:rsidR="0028784D" w:rsidRPr="0028784D">
              <w:rPr>
                <w:rFonts w:ascii="Open Sans" w:hAnsi="Open Sans" w:cs="Open Sans"/>
                <w:i/>
                <w:lang w:val="en-US"/>
              </w:rPr>
              <w:t xml:space="preserve"> on possible actions taken by GR and TR to resolve the many overlaps affecting the region.</w:t>
            </w:r>
            <w:r w:rsidR="0028784D">
              <w:rPr>
                <w:rFonts w:ascii="Open Sans" w:hAnsi="Open Sans" w:cs="Open Sans"/>
                <w:i/>
                <w:lang w:val="en-US"/>
              </w:rPr>
              <w:t xml:space="preserve"> </w:t>
            </w:r>
            <w:r w:rsidR="0028784D" w:rsidRPr="0028784D">
              <w:rPr>
                <w:rFonts w:ascii="Open Sans" w:hAnsi="Open Sans" w:cs="Open Sans"/>
                <w:b/>
                <w:i/>
                <w:lang w:val="en-US"/>
              </w:rPr>
              <w:t>This action should be made permanent for all ENC producers</w:t>
            </w:r>
            <w:r w:rsidR="0028784D">
              <w:rPr>
                <w:rFonts w:ascii="Open Sans" w:hAnsi="Open Sans" w:cs="Open Sans"/>
                <w:i/>
                <w:lang w:val="en-US"/>
              </w:rPr>
              <w:t>.</w:t>
            </w:r>
          </w:p>
          <w:p w:rsidR="00286650" w:rsidRPr="004945FD" w:rsidRDefault="00286650" w:rsidP="00BB2354">
            <w:pPr>
              <w:ind w:left="360"/>
              <w:jc w:val="both"/>
              <w:rPr>
                <w:rFonts w:ascii="Open Sans" w:hAnsi="Open Sans" w:cs="Open Sans"/>
                <w:b/>
                <w:lang w:val="en-US"/>
              </w:rPr>
            </w:pPr>
          </w:p>
          <w:p w:rsidR="00286650" w:rsidRPr="004945FD" w:rsidRDefault="00286650" w:rsidP="00BB2354">
            <w:pPr>
              <w:pStyle w:val="ListParagraph"/>
              <w:numPr>
                <w:ilvl w:val="0"/>
                <w:numId w:val="3"/>
              </w:numPr>
              <w:jc w:val="both"/>
              <w:rPr>
                <w:rFonts w:ascii="Open Sans" w:hAnsi="Open Sans" w:cs="Open Sans"/>
                <w:b/>
                <w:lang w:val="en-US"/>
              </w:rPr>
            </w:pPr>
            <w:r w:rsidRPr="00A17925">
              <w:rPr>
                <w:rFonts w:ascii="Open Sans" w:hAnsi="Open Sans" w:cs="Open Sans"/>
                <w:b/>
                <w:u w:val="single"/>
                <w:lang w:val="en-US"/>
              </w:rPr>
              <w:t>MBSHC20/</w:t>
            </w:r>
            <w:r>
              <w:rPr>
                <w:rFonts w:ascii="Open Sans" w:hAnsi="Open Sans" w:cs="Open Sans"/>
                <w:b/>
                <w:u w:val="single"/>
                <w:lang w:val="en-US"/>
              </w:rPr>
              <w:t>21</w:t>
            </w:r>
            <w:r w:rsidRPr="00A17925">
              <w:rPr>
                <w:rFonts w:ascii="Open Sans" w:hAnsi="Open Sans" w:cs="Open Sans"/>
                <w:b/>
                <w:u w:val="single"/>
                <w:lang w:val="en-US"/>
              </w:rPr>
              <w:t>:</w:t>
            </w:r>
            <w:r w:rsidRPr="00A17925">
              <w:rPr>
                <w:rFonts w:ascii="Open Sans" w:hAnsi="Open Sans" w:cs="Open Sans"/>
                <w:b/>
                <w:lang w:val="en-US"/>
              </w:rPr>
              <w:t xml:space="preserve"> </w:t>
            </w:r>
            <w:r w:rsidRPr="004945FD">
              <w:rPr>
                <w:rFonts w:ascii="Open Sans" w:hAnsi="Open Sans" w:cs="Open Sans"/>
                <w:b/>
                <w:lang w:val="en-US"/>
              </w:rPr>
              <w:t>RENCs to provide a template report in order to collect the evaluation of risk level on ENC overlaps from the MS in the frame of the WENDWG risk assessment experimentation.</w:t>
            </w:r>
          </w:p>
          <w:p w:rsidR="0028784D" w:rsidRPr="004945FD" w:rsidRDefault="0028784D" w:rsidP="00BB2354">
            <w:pPr>
              <w:ind w:left="360"/>
              <w:jc w:val="both"/>
              <w:rPr>
                <w:rFonts w:ascii="Open Sans" w:hAnsi="Open Sans" w:cs="Open Sans"/>
                <w:i/>
                <w:lang w:val="en-US"/>
              </w:rPr>
            </w:pPr>
            <w:r w:rsidRPr="004945FD">
              <w:rPr>
                <w:rFonts w:ascii="Open Sans" w:hAnsi="Open Sans" w:cs="Open Sans"/>
                <w:i/>
                <w:lang w:val="en-US"/>
              </w:rPr>
              <w:t>The latest version of the template (following WEND9) has been sent to all ICCWG members.</w:t>
            </w:r>
          </w:p>
          <w:p w:rsidR="0028784D" w:rsidRPr="004945FD" w:rsidRDefault="0028784D" w:rsidP="00BB2354">
            <w:pPr>
              <w:ind w:left="360"/>
              <w:jc w:val="both"/>
              <w:rPr>
                <w:rFonts w:ascii="Open Sans" w:hAnsi="Open Sans" w:cs="Open Sans"/>
                <w:i/>
                <w:lang w:val="en-US"/>
              </w:rPr>
            </w:pPr>
          </w:p>
          <w:p w:rsidR="00286650" w:rsidRPr="00286650" w:rsidRDefault="00286650" w:rsidP="00BB2354">
            <w:pPr>
              <w:pStyle w:val="ListParagraph"/>
              <w:numPr>
                <w:ilvl w:val="0"/>
                <w:numId w:val="3"/>
              </w:numPr>
              <w:jc w:val="both"/>
              <w:rPr>
                <w:rFonts w:ascii="Open Sans" w:hAnsi="Open Sans" w:cs="Open Sans"/>
                <w:b/>
              </w:rPr>
            </w:pPr>
            <w:r w:rsidRPr="00A17925">
              <w:rPr>
                <w:rFonts w:ascii="Open Sans" w:hAnsi="Open Sans" w:cs="Open Sans"/>
                <w:b/>
                <w:u w:val="single"/>
                <w:lang w:val="en-US"/>
              </w:rPr>
              <w:t>MBSHC20/</w:t>
            </w:r>
            <w:r>
              <w:rPr>
                <w:rFonts w:ascii="Open Sans" w:hAnsi="Open Sans" w:cs="Open Sans"/>
                <w:b/>
                <w:u w:val="single"/>
                <w:lang w:val="en-US"/>
              </w:rPr>
              <w:t>22</w:t>
            </w:r>
            <w:r w:rsidRPr="00A17925">
              <w:rPr>
                <w:rFonts w:ascii="Open Sans" w:hAnsi="Open Sans" w:cs="Open Sans"/>
                <w:b/>
                <w:u w:val="single"/>
                <w:lang w:val="en-US"/>
              </w:rPr>
              <w:t>:</w:t>
            </w:r>
            <w:r w:rsidRPr="00A17925">
              <w:rPr>
                <w:rFonts w:ascii="Open Sans" w:hAnsi="Open Sans" w:cs="Open Sans"/>
                <w:b/>
                <w:lang w:val="en-US"/>
              </w:rPr>
              <w:t xml:space="preserve"> </w:t>
            </w:r>
            <w:r w:rsidRPr="00286650">
              <w:rPr>
                <w:rFonts w:ascii="Open Sans" w:hAnsi="Open Sans" w:cs="Open Sans"/>
                <w:b/>
              </w:rPr>
              <w:t>MS to use the RENCs’ template report to provide the RCC with:</w:t>
            </w:r>
          </w:p>
          <w:p w:rsidR="00A2789A" w:rsidRPr="004945FD" w:rsidRDefault="003B77E6" w:rsidP="00BB2354">
            <w:pPr>
              <w:pStyle w:val="ListParagraph"/>
              <w:numPr>
                <w:ilvl w:val="1"/>
                <w:numId w:val="3"/>
              </w:numPr>
              <w:jc w:val="both"/>
              <w:rPr>
                <w:rFonts w:ascii="Open Sans" w:hAnsi="Open Sans" w:cs="Open Sans"/>
                <w:b/>
                <w:lang w:val="en-US"/>
              </w:rPr>
            </w:pPr>
            <w:r w:rsidRPr="00286650">
              <w:rPr>
                <w:rFonts w:ascii="Open Sans" w:hAnsi="Open Sans" w:cs="Open Sans"/>
                <w:b/>
              </w:rPr>
              <w:t>evaluation of risk level on the most critical ENC overlaps based on the IC-ENC risk assessment regional database (level: MEDIUM);</w:t>
            </w:r>
          </w:p>
          <w:p w:rsidR="00A2789A" w:rsidRPr="004945FD" w:rsidRDefault="003B77E6" w:rsidP="00BB2354">
            <w:pPr>
              <w:pStyle w:val="ListParagraph"/>
              <w:numPr>
                <w:ilvl w:val="1"/>
                <w:numId w:val="3"/>
              </w:numPr>
              <w:jc w:val="both"/>
              <w:rPr>
                <w:rFonts w:ascii="Open Sans" w:hAnsi="Open Sans" w:cs="Open Sans"/>
                <w:b/>
                <w:lang w:val="en-US"/>
              </w:rPr>
            </w:pPr>
            <w:proofErr w:type="gramStart"/>
            <w:r w:rsidRPr="00286650">
              <w:rPr>
                <w:rFonts w:ascii="Open Sans" w:hAnsi="Open Sans" w:cs="Open Sans"/>
                <w:b/>
              </w:rPr>
              <w:t>their</w:t>
            </w:r>
            <w:proofErr w:type="gramEnd"/>
            <w:r w:rsidRPr="00286650">
              <w:rPr>
                <w:rFonts w:ascii="Open Sans" w:hAnsi="Open Sans" w:cs="Open Sans"/>
                <w:b/>
              </w:rPr>
              <w:t xml:space="preserve"> views and comments on the IC-ENC risk assessment methodology</w:t>
            </w:r>
            <w:r w:rsidRPr="004945FD">
              <w:rPr>
                <w:rFonts w:ascii="Open Sans" w:hAnsi="Open Sans" w:cs="Open Sans"/>
                <w:b/>
                <w:i/>
                <w:iCs/>
                <w:lang w:val="en-US"/>
              </w:rPr>
              <w:t>.</w:t>
            </w:r>
          </w:p>
          <w:p w:rsidR="003B77E6" w:rsidRPr="004945FD" w:rsidRDefault="0028784D" w:rsidP="00BB2354">
            <w:pPr>
              <w:ind w:left="33"/>
              <w:jc w:val="both"/>
              <w:rPr>
                <w:rFonts w:ascii="Open Sans" w:hAnsi="Open Sans" w:cs="Open Sans"/>
                <w:i/>
                <w:lang w:val="en-US"/>
              </w:rPr>
            </w:pPr>
            <w:r w:rsidRPr="0028784D">
              <w:rPr>
                <w:rFonts w:ascii="Open Sans" w:hAnsi="Open Sans" w:cs="Open Sans"/>
                <w:i/>
              </w:rPr>
              <w:t xml:space="preserve">Returns </w:t>
            </w:r>
            <w:r>
              <w:rPr>
                <w:rFonts w:ascii="Open Sans" w:hAnsi="Open Sans" w:cs="Open Sans"/>
                <w:i/>
              </w:rPr>
              <w:t xml:space="preserve">were </w:t>
            </w:r>
            <w:r w:rsidRPr="0028784D">
              <w:rPr>
                <w:rFonts w:ascii="Open Sans" w:hAnsi="Open Sans" w:cs="Open Sans"/>
                <w:i/>
              </w:rPr>
              <w:t xml:space="preserve">received from </w:t>
            </w:r>
            <w:r w:rsidRPr="0028784D">
              <w:rPr>
                <w:rFonts w:ascii="Open Sans" w:hAnsi="Open Sans" w:cs="Open Sans"/>
                <w:i/>
                <w:lang w:val="en-US"/>
              </w:rPr>
              <w:t>GB, GE, GR, IT, RO, SI and TR</w:t>
            </w:r>
            <w:r>
              <w:rPr>
                <w:rFonts w:ascii="Open Sans" w:hAnsi="Open Sans" w:cs="Open Sans"/>
                <w:i/>
                <w:lang w:val="en-US"/>
              </w:rPr>
              <w:t xml:space="preserve">. Apart from those </w:t>
            </w:r>
            <w:r w:rsidR="001F6DC7">
              <w:rPr>
                <w:rFonts w:ascii="Open Sans" w:hAnsi="Open Sans" w:cs="Open Sans"/>
                <w:i/>
                <w:lang w:val="en-US"/>
              </w:rPr>
              <w:t xml:space="preserve">already </w:t>
            </w:r>
            <w:r>
              <w:rPr>
                <w:rFonts w:ascii="Open Sans" w:hAnsi="Open Sans" w:cs="Open Sans"/>
                <w:i/>
                <w:lang w:val="en-US"/>
              </w:rPr>
              <w:t xml:space="preserve">cited above, </w:t>
            </w:r>
            <w:r w:rsidRPr="004945FD">
              <w:rPr>
                <w:rFonts w:ascii="Open Sans" w:hAnsi="Open Sans" w:cs="Open Sans"/>
                <w:i/>
                <w:lang w:val="en-US"/>
              </w:rPr>
              <w:t xml:space="preserve">overlapping issues </w:t>
            </w:r>
            <w:r w:rsidR="001F6DC7" w:rsidRPr="004945FD">
              <w:rPr>
                <w:rFonts w:ascii="Open Sans" w:hAnsi="Open Sans" w:cs="Open Sans"/>
                <w:i/>
                <w:lang w:val="en-US"/>
              </w:rPr>
              <w:t>a</w:t>
            </w:r>
            <w:r w:rsidRPr="004945FD">
              <w:rPr>
                <w:rFonts w:ascii="Open Sans" w:hAnsi="Open Sans" w:cs="Open Sans"/>
                <w:i/>
                <w:lang w:val="en-US"/>
              </w:rPr>
              <w:t xml:space="preserve">re in the process of being resolved </w:t>
            </w:r>
            <w:r w:rsidR="001F6DC7" w:rsidRPr="004945FD">
              <w:rPr>
                <w:rFonts w:ascii="Open Sans" w:hAnsi="Open Sans" w:cs="Open Sans"/>
                <w:i/>
                <w:lang w:val="en-US"/>
              </w:rPr>
              <w:t>between GB/AL</w:t>
            </w:r>
            <w:r w:rsidRPr="004945FD">
              <w:rPr>
                <w:rFonts w:ascii="Open Sans" w:hAnsi="Open Sans" w:cs="Open Sans"/>
                <w:i/>
                <w:lang w:val="en-US"/>
              </w:rPr>
              <w:t>,</w:t>
            </w:r>
            <w:r w:rsidR="001F6DC7" w:rsidRPr="004945FD">
              <w:rPr>
                <w:rFonts w:ascii="Open Sans" w:hAnsi="Open Sans" w:cs="Open Sans"/>
                <w:i/>
                <w:lang w:val="en-US"/>
              </w:rPr>
              <w:t xml:space="preserve"> some between</w:t>
            </w:r>
            <w:r w:rsidRPr="004945FD">
              <w:rPr>
                <w:rFonts w:ascii="Open Sans" w:hAnsi="Open Sans" w:cs="Open Sans"/>
                <w:i/>
                <w:lang w:val="en-US"/>
              </w:rPr>
              <w:t xml:space="preserve"> RO/UA and discussions are underway between T</w:t>
            </w:r>
            <w:r w:rsidR="001F6DC7" w:rsidRPr="004945FD">
              <w:rPr>
                <w:rFonts w:ascii="Open Sans" w:hAnsi="Open Sans" w:cs="Open Sans"/>
                <w:i/>
                <w:lang w:val="en-US"/>
              </w:rPr>
              <w:t>R/GE. B</w:t>
            </w:r>
            <w:r w:rsidRPr="004945FD">
              <w:rPr>
                <w:rFonts w:ascii="Open Sans" w:hAnsi="Open Sans" w:cs="Open Sans"/>
                <w:i/>
                <w:lang w:val="en-US"/>
              </w:rPr>
              <w:t xml:space="preserve">ut the Region is still faced to </w:t>
            </w:r>
            <w:r w:rsidR="001F6DC7" w:rsidRPr="004945FD">
              <w:rPr>
                <w:rFonts w:ascii="Open Sans" w:hAnsi="Open Sans" w:cs="Open Sans"/>
                <w:i/>
                <w:lang w:val="en-US"/>
              </w:rPr>
              <w:t>numerous</w:t>
            </w:r>
            <w:r w:rsidRPr="004945FD">
              <w:rPr>
                <w:rFonts w:ascii="Open Sans" w:hAnsi="Open Sans" w:cs="Open Sans"/>
                <w:i/>
                <w:lang w:val="en-US"/>
              </w:rPr>
              <w:t xml:space="preserve"> ov</w:t>
            </w:r>
            <w:r w:rsidR="001F6DC7" w:rsidRPr="004945FD">
              <w:rPr>
                <w:rFonts w:ascii="Open Sans" w:hAnsi="Open Sans" w:cs="Open Sans"/>
                <w:i/>
                <w:lang w:val="en-US"/>
              </w:rPr>
              <w:t>erlaps, in all usage bands (155 in IC-ENC June report, from Potential to Medium). There may exist differing</w:t>
            </w:r>
            <w:r w:rsidRPr="004945FD">
              <w:rPr>
                <w:rFonts w:ascii="Open Sans" w:hAnsi="Open Sans" w:cs="Open Sans"/>
                <w:i/>
                <w:lang w:val="en-US"/>
              </w:rPr>
              <w:t xml:space="preserve"> views on the level of </w:t>
            </w:r>
            <w:proofErr w:type="spellStart"/>
            <w:r w:rsidRPr="004945FD">
              <w:rPr>
                <w:rFonts w:ascii="Open Sans" w:hAnsi="Open Sans" w:cs="Open Sans"/>
                <w:i/>
                <w:lang w:val="en-US"/>
              </w:rPr>
              <w:t>criticity</w:t>
            </w:r>
            <w:proofErr w:type="spellEnd"/>
            <w:r w:rsidRPr="004945FD">
              <w:rPr>
                <w:rFonts w:ascii="Open Sans" w:hAnsi="Open Sans" w:cs="Open Sans"/>
                <w:i/>
                <w:lang w:val="en-US"/>
              </w:rPr>
              <w:t xml:space="preserve"> of these overlaps, but it must be stressed </w:t>
            </w:r>
            <w:r w:rsidR="001F6DC7" w:rsidRPr="004945FD">
              <w:rPr>
                <w:rFonts w:ascii="Open Sans" w:hAnsi="Open Sans" w:cs="Open Sans"/>
                <w:i/>
                <w:lang w:val="en-US"/>
              </w:rPr>
              <w:t xml:space="preserve">again </w:t>
            </w:r>
            <w:r w:rsidRPr="004945FD">
              <w:rPr>
                <w:rFonts w:ascii="Open Sans" w:hAnsi="Open Sans" w:cs="Open Sans"/>
                <w:i/>
                <w:lang w:val="en-US"/>
              </w:rPr>
              <w:t>that IHO</w:t>
            </w:r>
            <w:r w:rsidR="001F6DC7" w:rsidRPr="004945FD">
              <w:rPr>
                <w:rFonts w:ascii="Open Sans" w:hAnsi="Open Sans" w:cs="Open Sans"/>
                <w:i/>
                <w:lang w:val="en-US"/>
              </w:rPr>
              <w:t xml:space="preserve"> Resolution 1/2018 is clear about the fact that all overlaps must be eliminated if there is a risk to the safety of navigation, </w:t>
            </w:r>
            <w:r w:rsidR="001F6DC7" w:rsidRPr="004945FD">
              <w:rPr>
                <w:rFonts w:ascii="Open Sans" w:hAnsi="Open Sans" w:cs="Open Sans"/>
                <w:b/>
                <w:i/>
                <w:lang w:val="en-US"/>
              </w:rPr>
              <w:t>whatever the level of that risk</w:t>
            </w:r>
            <w:r w:rsidR="001F6DC7" w:rsidRPr="004945FD">
              <w:rPr>
                <w:rFonts w:ascii="Open Sans" w:hAnsi="Open Sans" w:cs="Open Sans"/>
                <w:i/>
                <w:lang w:val="en-US"/>
              </w:rPr>
              <w:t>.</w:t>
            </w:r>
          </w:p>
          <w:p w:rsidR="00286650" w:rsidRPr="004945FD" w:rsidRDefault="001F6DC7" w:rsidP="00BB2354">
            <w:pPr>
              <w:ind w:left="33"/>
              <w:jc w:val="both"/>
              <w:rPr>
                <w:rFonts w:ascii="Open Sans" w:hAnsi="Open Sans" w:cs="Open Sans"/>
                <w:i/>
                <w:lang w:val="en-US"/>
              </w:rPr>
            </w:pPr>
            <w:r w:rsidRPr="004945FD">
              <w:rPr>
                <w:rFonts w:ascii="Open Sans" w:hAnsi="Open Sans" w:cs="Open Sans"/>
                <w:i/>
                <w:lang w:val="en-US"/>
              </w:rPr>
              <w:t xml:space="preserve"> </w:t>
            </w:r>
          </w:p>
          <w:p w:rsidR="00D93C5E" w:rsidRDefault="0098619D" w:rsidP="00BB2354">
            <w:pPr>
              <w:ind w:left="33"/>
              <w:jc w:val="both"/>
              <w:rPr>
                <w:rFonts w:ascii="Open Sans" w:hAnsi="Open Sans" w:cs="Open Sans"/>
                <w:i/>
                <w:lang w:val="en-US"/>
              </w:rPr>
            </w:pPr>
            <w:r>
              <w:rPr>
                <w:rFonts w:ascii="Open Sans" w:hAnsi="Open Sans" w:cs="Open Sans"/>
                <w:i/>
                <w:lang w:val="en-US"/>
              </w:rPr>
              <w:t xml:space="preserve">Overlapping issues have clearly been identified in the Region and the MS concerned are </w:t>
            </w:r>
            <w:r w:rsidR="003B77E6">
              <w:rPr>
                <w:rFonts w:ascii="Open Sans" w:hAnsi="Open Sans" w:cs="Open Sans"/>
                <w:i/>
                <w:lang w:val="en-US"/>
              </w:rPr>
              <w:t xml:space="preserve">all </w:t>
            </w:r>
            <w:r>
              <w:rPr>
                <w:rFonts w:ascii="Open Sans" w:hAnsi="Open Sans" w:cs="Open Sans"/>
                <w:i/>
                <w:lang w:val="en-US"/>
              </w:rPr>
              <w:t xml:space="preserve">well aware of these issues, in consequence the Chair said </w:t>
            </w:r>
            <w:r w:rsidR="006A0953">
              <w:rPr>
                <w:rFonts w:ascii="Open Sans" w:hAnsi="Open Sans" w:cs="Open Sans"/>
                <w:i/>
                <w:lang w:val="en-US"/>
              </w:rPr>
              <w:t>he considered</w:t>
            </w:r>
            <w:r>
              <w:rPr>
                <w:rFonts w:ascii="Open Sans" w:hAnsi="Open Sans" w:cs="Open Sans"/>
                <w:i/>
                <w:lang w:val="en-US"/>
              </w:rPr>
              <w:t xml:space="preserve"> </w:t>
            </w:r>
            <w:r w:rsidR="006A0953">
              <w:rPr>
                <w:rFonts w:ascii="Open Sans" w:hAnsi="Open Sans" w:cs="Open Sans"/>
                <w:i/>
                <w:lang w:val="en-US"/>
              </w:rPr>
              <w:t xml:space="preserve">that </w:t>
            </w:r>
            <w:r w:rsidRPr="006A0953">
              <w:rPr>
                <w:rFonts w:ascii="Open Sans" w:hAnsi="Open Sans" w:cs="Open Sans"/>
                <w:b/>
                <w:i/>
                <w:lang w:val="en-US"/>
              </w:rPr>
              <w:t>“the clock has started”</w:t>
            </w:r>
            <w:r w:rsidR="006A0953" w:rsidRPr="006A0953">
              <w:rPr>
                <w:rFonts w:ascii="Open Sans" w:hAnsi="Open Sans" w:cs="Open Sans"/>
                <w:b/>
                <w:i/>
                <w:lang w:val="en-US"/>
              </w:rPr>
              <w:t xml:space="preserve"> and the overlaps must be resolved within one year before escalating to the measures listed in the IHO Resolution</w:t>
            </w:r>
            <w:r w:rsidR="00D0385D">
              <w:rPr>
                <w:rFonts w:ascii="Open Sans" w:hAnsi="Open Sans" w:cs="Open Sans"/>
                <w:b/>
                <w:i/>
                <w:lang w:val="en-US"/>
              </w:rPr>
              <w:t xml:space="preserve"> 1/2018</w:t>
            </w:r>
            <w:r w:rsidR="006A0953">
              <w:rPr>
                <w:rFonts w:ascii="Open Sans" w:hAnsi="Open Sans" w:cs="Open Sans"/>
                <w:i/>
                <w:lang w:val="en-US"/>
              </w:rPr>
              <w:t>.</w:t>
            </w:r>
          </w:p>
          <w:p w:rsidR="00412215" w:rsidRPr="004924A4" w:rsidRDefault="00412215" w:rsidP="00BB2354">
            <w:pPr>
              <w:jc w:val="both"/>
              <w:rPr>
                <w:rFonts w:ascii="Open Sans" w:hAnsi="Open Sans" w:cs="Open Sans"/>
                <w:i/>
                <w:lang w:val="en-US"/>
              </w:rPr>
            </w:pPr>
          </w:p>
        </w:tc>
      </w:tr>
      <w:tr w:rsidR="00205F1F" w:rsidRPr="004924A4" w:rsidTr="00205F1F">
        <w:tc>
          <w:tcPr>
            <w:tcW w:w="1101" w:type="dxa"/>
            <w:tcBorders>
              <w:top w:val="nil"/>
              <w:left w:val="nil"/>
              <w:bottom w:val="nil"/>
              <w:right w:val="nil"/>
            </w:tcBorders>
            <w:shd w:val="clear" w:color="auto" w:fill="auto"/>
          </w:tcPr>
          <w:p w:rsidR="00205F1F" w:rsidRPr="004924A4" w:rsidRDefault="00205F1F" w:rsidP="00BB2354">
            <w:pPr>
              <w:spacing w:before="240" w:after="240" w:line="360" w:lineRule="auto"/>
              <w:jc w:val="both"/>
              <w:rPr>
                <w:rFonts w:ascii="Open Sans" w:hAnsi="Open Sans" w:cs="Open Sans"/>
                <w:b/>
                <w:lang w:val="en-US"/>
              </w:rPr>
            </w:pPr>
            <w:r w:rsidRPr="004924A4">
              <w:rPr>
                <w:rFonts w:ascii="Open Sans" w:hAnsi="Open Sans" w:cs="Open Sans"/>
                <w:b/>
                <w:lang w:val="en-US"/>
              </w:rPr>
              <w:t>ICC</w:t>
            </w:r>
            <w:r w:rsidR="00104250">
              <w:rPr>
                <w:rFonts w:ascii="Open Sans" w:hAnsi="Open Sans" w:cs="Open Sans"/>
                <w:b/>
                <w:lang w:val="en-US"/>
              </w:rPr>
              <w:t>5</w:t>
            </w:r>
            <w:r w:rsidRPr="004924A4">
              <w:rPr>
                <w:rFonts w:ascii="Open Sans" w:hAnsi="Open Sans" w:cs="Open Sans"/>
                <w:b/>
                <w:lang w:val="en-US"/>
              </w:rPr>
              <w:t>-6</w:t>
            </w:r>
          </w:p>
        </w:tc>
        <w:tc>
          <w:tcPr>
            <w:tcW w:w="8363" w:type="dxa"/>
            <w:tcBorders>
              <w:top w:val="nil"/>
              <w:left w:val="nil"/>
              <w:bottom w:val="nil"/>
              <w:right w:val="nil"/>
            </w:tcBorders>
            <w:shd w:val="clear" w:color="auto" w:fill="auto"/>
          </w:tcPr>
          <w:p w:rsidR="00205F1F" w:rsidRPr="004924A4" w:rsidRDefault="00205F1F" w:rsidP="00BB2354">
            <w:pPr>
              <w:spacing w:before="240" w:after="240" w:line="360" w:lineRule="auto"/>
              <w:jc w:val="both"/>
              <w:rPr>
                <w:rFonts w:ascii="Open Sans" w:hAnsi="Open Sans" w:cs="Open Sans"/>
                <w:b/>
                <w:lang w:val="en-US"/>
              </w:rPr>
            </w:pPr>
            <w:r w:rsidRPr="004924A4">
              <w:rPr>
                <w:rFonts w:ascii="Open Sans" w:hAnsi="Open Sans" w:cs="Open Sans"/>
                <w:b/>
                <w:lang w:val="en-US"/>
              </w:rPr>
              <w:t xml:space="preserve">Region F ICCWG </w:t>
            </w:r>
            <w:proofErr w:type="spellStart"/>
            <w:r w:rsidRPr="004924A4">
              <w:rPr>
                <w:rFonts w:ascii="Open Sans" w:hAnsi="Open Sans" w:cs="Open Sans"/>
                <w:b/>
                <w:lang w:val="en-US"/>
              </w:rPr>
              <w:t>ToRs</w:t>
            </w:r>
            <w:proofErr w:type="spellEnd"/>
            <w:r w:rsidRPr="004924A4">
              <w:rPr>
                <w:rFonts w:ascii="Open Sans" w:hAnsi="Open Sans" w:cs="Open Sans"/>
                <w:b/>
                <w:lang w:val="en-US"/>
              </w:rPr>
              <w:t xml:space="preserve"> and </w:t>
            </w:r>
            <w:proofErr w:type="spellStart"/>
            <w:r w:rsidRPr="004924A4">
              <w:rPr>
                <w:rFonts w:ascii="Open Sans" w:hAnsi="Open Sans" w:cs="Open Sans"/>
                <w:b/>
                <w:lang w:val="en-US"/>
              </w:rPr>
              <w:t>RoPs</w:t>
            </w:r>
            <w:proofErr w:type="spellEnd"/>
          </w:p>
        </w:tc>
      </w:tr>
      <w:tr w:rsidR="00205F1F" w:rsidRPr="004924A4" w:rsidTr="00205F1F">
        <w:tc>
          <w:tcPr>
            <w:tcW w:w="1101" w:type="dxa"/>
            <w:tcBorders>
              <w:top w:val="nil"/>
              <w:left w:val="nil"/>
              <w:bottom w:val="nil"/>
              <w:right w:val="nil"/>
            </w:tcBorders>
            <w:shd w:val="clear" w:color="auto" w:fill="auto"/>
          </w:tcPr>
          <w:p w:rsidR="00205F1F" w:rsidRPr="004924A4" w:rsidRDefault="00205F1F" w:rsidP="00BB2354">
            <w:pPr>
              <w:spacing w:line="360" w:lineRule="auto"/>
              <w:jc w:val="both"/>
              <w:rPr>
                <w:rFonts w:ascii="Open Sans" w:hAnsi="Open Sans" w:cs="Open Sans"/>
                <w:lang w:val="en-US"/>
              </w:rPr>
            </w:pPr>
          </w:p>
        </w:tc>
        <w:tc>
          <w:tcPr>
            <w:tcW w:w="8363" w:type="dxa"/>
            <w:tcBorders>
              <w:top w:val="nil"/>
              <w:left w:val="nil"/>
              <w:bottom w:val="nil"/>
              <w:right w:val="nil"/>
            </w:tcBorders>
            <w:shd w:val="clear" w:color="auto" w:fill="auto"/>
          </w:tcPr>
          <w:p w:rsidR="002C77D4" w:rsidRDefault="004D76C0" w:rsidP="00BB2354">
            <w:pPr>
              <w:jc w:val="both"/>
              <w:rPr>
                <w:rFonts w:ascii="Open Sans" w:hAnsi="Open Sans" w:cs="Open Sans"/>
                <w:i/>
                <w:lang w:val="en-US"/>
              </w:rPr>
            </w:pPr>
            <w:r>
              <w:rPr>
                <w:rFonts w:ascii="Open Sans" w:hAnsi="Open Sans" w:cs="Open Sans"/>
                <w:i/>
                <w:lang w:val="en-US"/>
              </w:rPr>
              <w:t xml:space="preserve">The </w:t>
            </w:r>
            <w:proofErr w:type="spellStart"/>
            <w:r>
              <w:rPr>
                <w:rFonts w:ascii="Open Sans" w:hAnsi="Open Sans" w:cs="Open Sans"/>
                <w:i/>
                <w:lang w:val="en-US"/>
              </w:rPr>
              <w:t>ToRs</w:t>
            </w:r>
            <w:proofErr w:type="spellEnd"/>
            <w:r>
              <w:rPr>
                <w:rFonts w:ascii="Open Sans" w:hAnsi="Open Sans" w:cs="Open Sans"/>
                <w:i/>
                <w:lang w:val="en-US"/>
              </w:rPr>
              <w:t xml:space="preserve"> and </w:t>
            </w:r>
            <w:proofErr w:type="spellStart"/>
            <w:r>
              <w:rPr>
                <w:rFonts w:ascii="Open Sans" w:hAnsi="Open Sans" w:cs="Open Sans"/>
                <w:i/>
                <w:lang w:val="en-US"/>
              </w:rPr>
              <w:t>RoPs</w:t>
            </w:r>
            <w:proofErr w:type="spellEnd"/>
            <w:r>
              <w:rPr>
                <w:rFonts w:ascii="Open Sans" w:hAnsi="Open Sans" w:cs="Open Sans"/>
                <w:i/>
                <w:lang w:val="en-US"/>
              </w:rPr>
              <w:t xml:space="preserve"> were revised in 2017 and approved during MBSHC20. Since then, no comments or proposals for revision have been received.</w:t>
            </w:r>
          </w:p>
          <w:p w:rsidR="00E0142A" w:rsidRPr="004924A4" w:rsidRDefault="00E0142A" w:rsidP="00BB2354">
            <w:pPr>
              <w:jc w:val="both"/>
              <w:rPr>
                <w:rFonts w:ascii="Open Sans" w:hAnsi="Open Sans" w:cs="Open Sans"/>
                <w:i/>
                <w:lang w:val="en-US"/>
              </w:rPr>
            </w:pPr>
          </w:p>
        </w:tc>
      </w:tr>
      <w:tr w:rsidR="00205F1F" w:rsidRPr="004924A4" w:rsidTr="00205F1F">
        <w:tc>
          <w:tcPr>
            <w:tcW w:w="1101" w:type="dxa"/>
            <w:tcBorders>
              <w:top w:val="nil"/>
              <w:left w:val="nil"/>
              <w:bottom w:val="nil"/>
              <w:right w:val="nil"/>
            </w:tcBorders>
            <w:shd w:val="clear" w:color="auto" w:fill="auto"/>
          </w:tcPr>
          <w:p w:rsidR="00205F1F" w:rsidRPr="004924A4" w:rsidRDefault="00205F1F" w:rsidP="00BB2354">
            <w:pPr>
              <w:spacing w:before="240" w:line="360" w:lineRule="auto"/>
              <w:jc w:val="both"/>
              <w:rPr>
                <w:rFonts w:ascii="Open Sans" w:hAnsi="Open Sans" w:cs="Open Sans"/>
                <w:b/>
                <w:lang w:val="en-US"/>
              </w:rPr>
            </w:pPr>
            <w:r w:rsidRPr="004924A4">
              <w:rPr>
                <w:rFonts w:ascii="Open Sans" w:hAnsi="Open Sans" w:cs="Open Sans"/>
                <w:b/>
                <w:lang w:val="en-US"/>
              </w:rPr>
              <w:t>ICC</w:t>
            </w:r>
            <w:r w:rsidR="00104250">
              <w:rPr>
                <w:rFonts w:ascii="Open Sans" w:hAnsi="Open Sans" w:cs="Open Sans"/>
                <w:b/>
                <w:lang w:val="en-US"/>
              </w:rPr>
              <w:t>5</w:t>
            </w:r>
            <w:r w:rsidRPr="004924A4">
              <w:rPr>
                <w:rFonts w:ascii="Open Sans" w:hAnsi="Open Sans" w:cs="Open Sans"/>
                <w:b/>
                <w:lang w:val="en-US"/>
              </w:rPr>
              <w:t>-7</w:t>
            </w:r>
          </w:p>
        </w:tc>
        <w:tc>
          <w:tcPr>
            <w:tcW w:w="8363" w:type="dxa"/>
            <w:tcBorders>
              <w:top w:val="nil"/>
              <w:left w:val="nil"/>
              <w:bottom w:val="nil"/>
              <w:right w:val="nil"/>
            </w:tcBorders>
            <w:shd w:val="clear" w:color="auto" w:fill="auto"/>
          </w:tcPr>
          <w:p w:rsidR="00DD733B" w:rsidRDefault="00DD733B" w:rsidP="00BB2354">
            <w:pPr>
              <w:spacing w:before="240" w:line="360" w:lineRule="auto"/>
              <w:jc w:val="both"/>
              <w:rPr>
                <w:rFonts w:ascii="Open Sans" w:hAnsi="Open Sans" w:cs="Open Sans"/>
                <w:b/>
                <w:lang w:val="en-US"/>
              </w:rPr>
            </w:pPr>
            <w:r>
              <w:rPr>
                <w:rFonts w:ascii="Open Sans" w:hAnsi="Open Sans" w:cs="Open Sans"/>
                <w:b/>
                <w:lang w:val="en-US"/>
              </w:rPr>
              <w:t>Priorit</w:t>
            </w:r>
            <w:r w:rsidR="00673465">
              <w:rPr>
                <w:rFonts w:ascii="Open Sans" w:hAnsi="Open Sans" w:cs="Open Sans"/>
                <w:b/>
                <w:lang w:val="en-US"/>
              </w:rPr>
              <w:t>ies for the ICCWG and the new c</w:t>
            </w:r>
            <w:r>
              <w:rPr>
                <w:rFonts w:ascii="Open Sans" w:hAnsi="Open Sans" w:cs="Open Sans"/>
                <w:b/>
                <w:lang w:val="en-US"/>
              </w:rPr>
              <w:t>oordinator</w:t>
            </w:r>
          </w:p>
          <w:p w:rsidR="00BE549C" w:rsidRDefault="00D0385D" w:rsidP="00BB2354">
            <w:pPr>
              <w:spacing w:before="240"/>
              <w:jc w:val="both"/>
              <w:rPr>
                <w:rFonts w:ascii="Open Sans" w:hAnsi="Open Sans" w:cs="Open Sans"/>
                <w:i/>
                <w:lang w:val="en-US"/>
              </w:rPr>
            </w:pPr>
            <w:r>
              <w:rPr>
                <w:rFonts w:ascii="Open Sans" w:hAnsi="Open Sans" w:cs="Open Sans"/>
                <w:i/>
                <w:lang w:val="en-US"/>
              </w:rPr>
              <w:t xml:space="preserve">Before closing the meeting and handing over the duty to </w:t>
            </w:r>
            <w:r w:rsidR="00BE549C">
              <w:rPr>
                <w:rFonts w:ascii="Open Sans" w:hAnsi="Open Sans" w:cs="Open Sans"/>
                <w:i/>
                <w:lang w:val="en-US"/>
              </w:rPr>
              <w:t>Italy</w:t>
            </w:r>
            <w:r>
              <w:rPr>
                <w:rFonts w:ascii="Open Sans" w:hAnsi="Open Sans" w:cs="Open Sans"/>
                <w:i/>
                <w:lang w:val="en-US"/>
              </w:rPr>
              <w:t xml:space="preserve">, the Chair wanted to list several </w:t>
            </w:r>
            <w:r w:rsidR="00BE549C">
              <w:rPr>
                <w:rFonts w:ascii="Open Sans" w:hAnsi="Open Sans" w:cs="Open Sans"/>
                <w:i/>
                <w:lang w:val="en-US"/>
              </w:rPr>
              <w:t>points</w:t>
            </w:r>
            <w:r>
              <w:rPr>
                <w:rFonts w:ascii="Open Sans" w:hAnsi="Open Sans" w:cs="Open Sans"/>
                <w:i/>
                <w:lang w:val="en-US"/>
              </w:rPr>
              <w:t xml:space="preserve"> that, in his view, should be the priorities of the new Coordinator and the ICCWG. With the question of the future of the paper chart being </w:t>
            </w:r>
            <w:r w:rsidR="003B77E6">
              <w:rPr>
                <w:rFonts w:ascii="Open Sans" w:hAnsi="Open Sans" w:cs="Open Sans"/>
                <w:i/>
                <w:lang w:val="en-US"/>
              </w:rPr>
              <w:t>rai</w:t>
            </w:r>
            <w:r>
              <w:rPr>
                <w:rFonts w:ascii="Open Sans" w:hAnsi="Open Sans" w:cs="Open Sans"/>
                <w:i/>
                <w:lang w:val="en-US"/>
              </w:rPr>
              <w:t xml:space="preserve">sed, and maybe especially </w:t>
            </w:r>
            <w:r w:rsidR="003B77E6">
              <w:rPr>
                <w:rFonts w:ascii="Open Sans" w:hAnsi="Open Sans" w:cs="Open Sans"/>
                <w:i/>
                <w:lang w:val="en-US"/>
              </w:rPr>
              <w:t xml:space="preserve">the future of </w:t>
            </w:r>
            <w:r>
              <w:rPr>
                <w:rFonts w:ascii="Open Sans" w:hAnsi="Open Sans" w:cs="Open Sans"/>
                <w:i/>
                <w:lang w:val="en-US"/>
              </w:rPr>
              <w:t xml:space="preserve">INT charts, it could be </w:t>
            </w:r>
            <w:r w:rsidR="003B77E6">
              <w:rPr>
                <w:rFonts w:ascii="Open Sans" w:hAnsi="Open Sans" w:cs="Open Sans"/>
                <w:i/>
                <w:lang w:val="en-US"/>
              </w:rPr>
              <w:t>acceptable</w:t>
            </w:r>
            <w:r>
              <w:rPr>
                <w:rFonts w:ascii="Open Sans" w:hAnsi="Open Sans" w:cs="Open Sans"/>
                <w:i/>
                <w:lang w:val="en-US"/>
              </w:rPr>
              <w:t xml:space="preserve"> to freeze the current INT chart scheme as it is. The effort needed to constantly update this scheme could then be </w:t>
            </w:r>
            <w:r w:rsidR="00BE549C">
              <w:rPr>
                <w:rFonts w:ascii="Open Sans" w:hAnsi="Open Sans" w:cs="Open Sans"/>
                <w:i/>
                <w:lang w:val="en-US"/>
              </w:rPr>
              <w:t>forwarded to the full implementation of the ENC scheme. In</w:t>
            </w:r>
            <w:r w:rsidR="003B77E6">
              <w:rPr>
                <w:rFonts w:ascii="Open Sans" w:hAnsi="Open Sans" w:cs="Open Sans"/>
                <w:i/>
                <w:lang w:val="en-US"/>
              </w:rPr>
              <w:t xml:space="preserve"> addition, in</w:t>
            </w:r>
            <w:r w:rsidR="00BE549C">
              <w:rPr>
                <w:rFonts w:ascii="Open Sans" w:hAnsi="Open Sans" w:cs="Open Sans"/>
                <w:i/>
                <w:lang w:val="en-US"/>
              </w:rPr>
              <w:t xml:space="preserve"> order to accompany the promotion of the S-100 series products, and beyond </w:t>
            </w:r>
            <w:r w:rsidR="003B77E6">
              <w:rPr>
                <w:rFonts w:ascii="Open Sans" w:hAnsi="Open Sans" w:cs="Open Sans"/>
                <w:i/>
                <w:lang w:val="en-US"/>
              </w:rPr>
              <w:t xml:space="preserve">the sole </w:t>
            </w:r>
            <w:r w:rsidR="00BE549C">
              <w:rPr>
                <w:rFonts w:ascii="Open Sans" w:hAnsi="Open Sans" w:cs="Open Sans"/>
                <w:i/>
                <w:lang w:val="en-US"/>
              </w:rPr>
              <w:t xml:space="preserve">ENCs, schemes for some of these </w:t>
            </w:r>
            <w:r w:rsidR="003B77E6">
              <w:rPr>
                <w:rFonts w:ascii="Open Sans" w:hAnsi="Open Sans" w:cs="Open Sans"/>
                <w:i/>
                <w:lang w:val="en-US"/>
              </w:rPr>
              <w:t xml:space="preserve">S-1xx </w:t>
            </w:r>
            <w:r w:rsidR="00BE549C">
              <w:rPr>
                <w:rFonts w:ascii="Open Sans" w:hAnsi="Open Sans" w:cs="Open Sans"/>
                <w:i/>
                <w:lang w:val="en-US"/>
              </w:rPr>
              <w:t>products could be worth setting up.</w:t>
            </w:r>
          </w:p>
          <w:p w:rsidR="00BE549C" w:rsidRPr="00673465" w:rsidRDefault="00BE549C" w:rsidP="00BB2354">
            <w:pPr>
              <w:spacing w:before="240"/>
              <w:jc w:val="both"/>
              <w:rPr>
                <w:rFonts w:ascii="Open Sans" w:hAnsi="Open Sans" w:cs="Open Sans"/>
                <w:i/>
                <w:lang w:val="en-US"/>
              </w:rPr>
            </w:pPr>
            <w:r>
              <w:rPr>
                <w:rFonts w:ascii="Open Sans" w:hAnsi="Open Sans" w:cs="Open Sans"/>
                <w:i/>
                <w:lang w:val="en-US"/>
              </w:rPr>
              <w:t xml:space="preserve">Marta </w:t>
            </w:r>
            <w:proofErr w:type="spellStart"/>
            <w:r>
              <w:rPr>
                <w:rFonts w:ascii="Open Sans" w:hAnsi="Open Sans" w:cs="Open Sans"/>
                <w:i/>
                <w:lang w:val="en-US"/>
              </w:rPr>
              <w:t>Pratellesi</w:t>
            </w:r>
            <w:proofErr w:type="spellEnd"/>
            <w:r>
              <w:rPr>
                <w:rFonts w:ascii="Open Sans" w:hAnsi="Open Sans" w:cs="Open Sans"/>
                <w:i/>
                <w:lang w:val="en-US"/>
              </w:rPr>
              <w:t xml:space="preserve"> then recommended that MBSHC should continue to foster dialogue between countries, acknowledging the fact that one of the challenges to be faced by the Coordinator will be to set priorities on topics to be addressed within the framework of this dialogue.</w:t>
            </w:r>
          </w:p>
          <w:p w:rsidR="00DD733B" w:rsidRPr="004924A4" w:rsidRDefault="00DD733B" w:rsidP="00BB2354">
            <w:pPr>
              <w:spacing w:before="240" w:line="360" w:lineRule="auto"/>
              <w:jc w:val="both"/>
              <w:rPr>
                <w:rFonts w:ascii="Open Sans" w:hAnsi="Open Sans" w:cs="Open Sans"/>
                <w:b/>
                <w:lang w:val="en-US"/>
              </w:rPr>
            </w:pPr>
          </w:p>
        </w:tc>
      </w:tr>
      <w:tr w:rsidR="00673465" w:rsidRPr="004924A4" w:rsidTr="00673465">
        <w:tc>
          <w:tcPr>
            <w:tcW w:w="1101" w:type="dxa"/>
            <w:tcBorders>
              <w:top w:val="nil"/>
              <w:left w:val="nil"/>
              <w:bottom w:val="nil"/>
              <w:right w:val="nil"/>
            </w:tcBorders>
            <w:shd w:val="clear" w:color="auto" w:fill="auto"/>
          </w:tcPr>
          <w:p w:rsidR="00673465" w:rsidRPr="004924A4" w:rsidRDefault="00673465" w:rsidP="00BB2354">
            <w:pPr>
              <w:spacing w:before="240" w:line="360" w:lineRule="auto"/>
              <w:jc w:val="both"/>
              <w:rPr>
                <w:rFonts w:ascii="Open Sans" w:hAnsi="Open Sans" w:cs="Open Sans"/>
                <w:b/>
                <w:lang w:val="en-US"/>
              </w:rPr>
            </w:pPr>
            <w:r w:rsidRPr="004924A4">
              <w:rPr>
                <w:rFonts w:ascii="Open Sans" w:hAnsi="Open Sans" w:cs="Open Sans"/>
                <w:b/>
                <w:lang w:val="en-US"/>
              </w:rPr>
              <w:t>ICC</w:t>
            </w:r>
            <w:r>
              <w:rPr>
                <w:rFonts w:ascii="Open Sans" w:hAnsi="Open Sans" w:cs="Open Sans"/>
                <w:b/>
                <w:lang w:val="en-US"/>
              </w:rPr>
              <w:t>5</w:t>
            </w:r>
            <w:r w:rsidRPr="004924A4">
              <w:rPr>
                <w:rFonts w:ascii="Open Sans" w:hAnsi="Open Sans" w:cs="Open Sans"/>
                <w:b/>
                <w:lang w:val="en-US"/>
              </w:rPr>
              <w:t>-</w:t>
            </w:r>
            <w:r>
              <w:rPr>
                <w:rFonts w:ascii="Open Sans" w:hAnsi="Open Sans" w:cs="Open Sans"/>
                <w:b/>
                <w:lang w:val="en-US"/>
              </w:rPr>
              <w:t>8</w:t>
            </w:r>
          </w:p>
        </w:tc>
        <w:tc>
          <w:tcPr>
            <w:tcW w:w="8363" w:type="dxa"/>
            <w:tcBorders>
              <w:top w:val="nil"/>
              <w:left w:val="nil"/>
              <w:bottom w:val="nil"/>
              <w:right w:val="nil"/>
            </w:tcBorders>
            <w:shd w:val="clear" w:color="auto" w:fill="auto"/>
          </w:tcPr>
          <w:p w:rsidR="00673465" w:rsidRDefault="00673465" w:rsidP="00BB2354">
            <w:pPr>
              <w:spacing w:before="240" w:line="360" w:lineRule="auto"/>
              <w:jc w:val="both"/>
              <w:rPr>
                <w:rFonts w:ascii="Open Sans" w:hAnsi="Open Sans" w:cs="Open Sans"/>
                <w:b/>
                <w:lang w:val="en-US"/>
              </w:rPr>
            </w:pPr>
            <w:r>
              <w:rPr>
                <w:rFonts w:ascii="Open Sans" w:hAnsi="Open Sans" w:cs="Open Sans"/>
                <w:b/>
                <w:lang w:val="en-US"/>
              </w:rPr>
              <w:t>Any other business / Closure of ICCWG-5 meeting</w:t>
            </w:r>
          </w:p>
          <w:p w:rsidR="00673465" w:rsidRPr="004945FD" w:rsidRDefault="003B77E6" w:rsidP="00BB2354">
            <w:pPr>
              <w:spacing w:before="240"/>
              <w:ind w:left="33"/>
              <w:jc w:val="both"/>
              <w:rPr>
                <w:rFonts w:ascii="Open Sans" w:hAnsi="Open Sans" w:cs="Open Sans"/>
                <w:bCs/>
                <w:i/>
                <w:lang w:val="en-US"/>
              </w:rPr>
            </w:pPr>
            <w:r>
              <w:rPr>
                <w:rFonts w:ascii="Open Sans" w:hAnsi="Open Sans" w:cs="Open Sans"/>
                <w:bCs/>
                <w:i/>
                <w:lang w:val="en-US"/>
              </w:rPr>
              <w:t>The Chair noted that the d</w:t>
            </w:r>
            <w:r w:rsidRPr="00CD676F">
              <w:rPr>
                <w:rFonts w:ascii="Open Sans" w:hAnsi="Open Sans" w:cs="Open Sans"/>
                <w:bCs/>
                <w:i/>
                <w:lang w:val="en-US"/>
              </w:rPr>
              <w:t xml:space="preserve">ocuments concerning the </w:t>
            </w:r>
            <w:r>
              <w:rPr>
                <w:rFonts w:ascii="Open Sans" w:hAnsi="Open Sans" w:cs="Open Sans"/>
                <w:bCs/>
                <w:i/>
                <w:lang w:val="en-US"/>
              </w:rPr>
              <w:t>ICCWG</w:t>
            </w:r>
            <w:r w:rsidRPr="00CD676F">
              <w:rPr>
                <w:rFonts w:ascii="Open Sans" w:hAnsi="Open Sans" w:cs="Open Sans"/>
                <w:bCs/>
                <w:i/>
                <w:lang w:val="en-US"/>
              </w:rPr>
              <w:t xml:space="preserve"> are </w:t>
            </w:r>
            <w:r>
              <w:rPr>
                <w:rFonts w:ascii="Open Sans" w:hAnsi="Open Sans" w:cs="Open Sans"/>
                <w:bCs/>
                <w:i/>
                <w:lang w:val="en-US"/>
              </w:rPr>
              <w:t xml:space="preserve">currently </w:t>
            </w:r>
            <w:r w:rsidRPr="00CD676F">
              <w:rPr>
                <w:rFonts w:ascii="Open Sans" w:hAnsi="Open Sans" w:cs="Open Sans"/>
                <w:bCs/>
                <w:i/>
                <w:lang w:val="en-US"/>
              </w:rPr>
              <w:t xml:space="preserve">collected on a restricted page of the </w:t>
            </w:r>
            <w:r>
              <w:rPr>
                <w:rFonts w:ascii="Open Sans" w:hAnsi="Open Sans" w:cs="Open Sans"/>
                <w:bCs/>
                <w:i/>
                <w:lang w:val="en-US"/>
              </w:rPr>
              <w:t>MBSHC</w:t>
            </w:r>
            <w:r w:rsidRPr="00CD676F">
              <w:rPr>
                <w:rFonts w:ascii="Open Sans" w:hAnsi="Open Sans" w:cs="Open Sans"/>
                <w:bCs/>
                <w:i/>
                <w:lang w:val="en-US"/>
              </w:rPr>
              <w:t>'s web page, which limits the diffusion of information</w:t>
            </w:r>
            <w:r w:rsidR="00301EE1">
              <w:rPr>
                <w:rFonts w:ascii="Open Sans" w:hAnsi="Open Sans" w:cs="Open Sans"/>
                <w:bCs/>
                <w:i/>
                <w:lang w:val="en-US"/>
              </w:rPr>
              <w:t>.</w:t>
            </w:r>
            <w:r w:rsidR="00BE549C" w:rsidRPr="004945FD">
              <w:rPr>
                <w:rFonts w:ascii="Open Sans" w:hAnsi="Open Sans" w:cs="Open Sans"/>
                <w:bCs/>
                <w:i/>
                <w:lang w:val="en-US"/>
              </w:rPr>
              <w:t xml:space="preserve"> It is proposed that </w:t>
            </w:r>
            <w:r w:rsidR="00301EE1" w:rsidRPr="00BE549C">
              <w:rPr>
                <w:rFonts w:ascii="Open Sans" w:hAnsi="Open Sans" w:cs="Open Sans"/>
                <w:b/>
                <w:i/>
                <w:lang w:val="en-US"/>
              </w:rPr>
              <w:t>IHO Secretariat put the documents (CL, Correspondence, Presentations) on an open access page of the commission and to keep only the archived versions of old catalogues on the restricted access page</w:t>
            </w:r>
            <w:r w:rsidR="00301EE1">
              <w:rPr>
                <w:rFonts w:ascii="Open Sans" w:hAnsi="Open Sans" w:cs="Open Sans"/>
                <w:b/>
                <w:lang w:val="en-US"/>
              </w:rPr>
              <w:t>.</w:t>
            </w:r>
          </w:p>
          <w:p w:rsidR="00503DB4" w:rsidRDefault="00BE549C" w:rsidP="00BB2354">
            <w:pPr>
              <w:spacing w:before="240"/>
              <w:jc w:val="both"/>
              <w:rPr>
                <w:rFonts w:ascii="Open Sans" w:hAnsi="Open Sans" w:cs="Open Sans"/>
                <w:i/>
                <w:lang w:val="en-US"/>
              </w:rPr>
            </w:pPr>
            <w:r>
              <w:rPr>
                <w:rFonts w:ascii="Open Sans" w:hAnsi="Open Sans" w:cs="Open Sans"/>
                <w:i/>
                <w:lang w:val="en-US"/>
              </w:rPr>
              <w:t>Without any new item proposed by the floor, t</w:t>
            </w:r>
            <w:r w:rsidR="00503DB4" w:rsidRPr="00503DB4">
              <w:rPr>
                <w:rFonts w:ascii="Open Sans" w:hAnsi="Open Sans" w:cs="Open Sans"/>
                <w:i/>
                <w:lang w:val="en-US"/>
              </w:rPr>
              <w:t xml:space="preserve">he Chair </w:t>
            </w:r>
            <w:r>
              <w:rPr>
                <w:rFonts w:ascii="Open Sans" w:hAnsi="Open Sans" w:cs="Open Sans"/>
                <w:i/>
                <w:lang w:val="en-US"/>
              </w:rPr>
              <w:t xml:space="preserve">then </w:t>
            </w:r>
            <w:r w:rsidR="00503DB4" w:rsidRPr="00503DB4">
              <w:rPr>
                <w:rFonts w:ascii="Open Sans" w:hAnsi="Open Sans" w:cs="Open Sans"/>
                <w:i/>
                <w:lang w:val="en-US"/>
              </w:rPr>
              <w:t>closed the meeting, wishing a fruitful chairmanship to Marta.</w:t>
            </w:r>
          </w:p>
          <w:p w:rsidR="00503DB4" w:rsidRPr="00503DB4" w:rsidRDefault="00DC45F7" w:rsidP="00BB2354">
            <w:pPr>
              <w:spacing w:before="240"/>
              <w:jc w:val="both"/>
              <w:rPr>
                <w:rFonts w:ascii="Open Sans" w:hAnsi="Open Sans" w:cs="Open Sans"/>
                <w:i/>
                <w:lang w:val="en-US"/>
              </w:rPr>
            </w:pPr>
            <w:proofErr w:type="gramStart"/>
            <w:r w:rsidRPr="00DC45F7">
              <w:rPr>
                <w:rFonts w:ascii="Open Sans" w:hAnsi="Open Sans" w:cs="Open Sans"/>
                <w:b/>
                <w:i/>
                <w:lang w:val="en-US"/>
              </w:rPr>
              <w:t>Note :</w:t>
            </w:r>
            <w:proofErr w:type="gramEnd"/>
            <w:r>
              <w:rPr>
                <w:rFonts w:ascii="Open Sans" w:hAnsi="Open Sans" w:cs="Open Sans"/>
                <w:i/>
                <w:lang w:val="en-US"/>
              </w:rPr>
              <w:t xml:space="preserve"> </w:t>
            </w:r>
            <w:r w:rsidR="00503DB4">
              <w:rPr>
                <w:rFonts w:ascii="Open Sans" w:hAnsi="Open Sans" w:cs="Open Sans"/>
                <w:i/>
                <w:lang w:val="en-US"/>
              </w:rPr>
              <w:t>The actions proposed by ICCWG-5 can be found in the MBSHC21 list of actions.</w:t>
            </w:r>
          </w:p>
        </w:tc>
      </w:tr>
    </w:tbl>
    <w:p w:rsidR="00574168" w:rsidRPr="00E0142A" w:rsidRDefault="00574168" w:rsidP="00BB2354">
      <w:pPr>
        <w:jc w:val="both"/>
        <w:rPr>
          <w:rFonts w:ascii="Open Sans" w:hAnsi="Open Sans" w:cs="Open Sans"/>
          <w:sz w:val="2"/>
          <w:szCs w:val="2"/>
          <w:lang w:val="en-US"/>
        </w:rPr>
      </w:pPr>
    </w:p>
    <w:sectPr w:rsidR="00574168" w:rsidRPr="00E0142A" w:rsidSect="0022059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ahoma"/>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576"/>
    <w:multiLevelType w:val="hybridMultilevel"/>
    <w:tmpl w:val="67AA4CC6"/>
    <w:lvl w:ilvl="0" w:tplc="172C6D9C">
      <w:numFmt w:val="bullet"/>
      <w:lvlText w:val="-"/>
      <w:lvlJc w:val="left"/>
      <w:pPr>
        <w:ind w:left="720" w:hanging="360"/>
      </w:pPr>
      <w:rPr>
        <w:rFonts w:ascii="Open Sans" w:eastAsia="MS Mincho"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9A31E8"/>
    <w:multiLevelType w:val="hybridMultilevel"/>
    <w:tmpl w:val="84B6E380"/>
    <w:lvl w:ilvl="0" w:tplc="43C667A2">
      <w:start w:val="1"/>
      <w:numFmt w:val="bullet"/>
      <w:lvlText w:val="•"/>
      <w:lvlJc w:val="left"/>
      <w:pPr>
        <w:tabs>
          <w:tab w:val="num" w:pos="720"/>
        </w:tabs>
        <w:ind w:left="720" w:hanging="360"/>
      </w:pPr>
      <w:rPr>
        <w:rFonts w:ascii="Arial" w:hAnsi="Arial" w:hint="default"/>
      </w:rPr>
    </w:lvl>
    <w:lvl w:ilvl="1" w:tplc="52D63040" w:tentative="1">
      <w:start w:val="1"/>
      <w:numFmt w:val="bullet"/>
      <w:lvlText w:val="•"/>
      <w:lvlJc w:val="left"/>
      <w:pPr>
        <w:tabs>
          <w:tab w:val="num" w:pos="1440"/>
        </w:tabs>
        <w:ind w:left="1440" w:hanging="360"/>
      </w:pPr>
      <w:rPr>
        <w:rFonts w:ascii="Arial" w:hAnsi="Arial" w:hint="default"/>
      </w:rPr>
    </w:lvl>
    <w:lvl w:ilvl="2" w:tplc="8724E99E" w:tentative="1">
      <w:start w:val="1"/>
      <w:numFmt w:val="bullet"/>
      <w:lvlText w:val="•"/>
      <w:lvlJc w:val="left"/>
      <w:pPr>
        <w:tabs>
          <w:tab w:val="num" w:pos="2160"/>
        </w:tabs>
        <w:ind w:left="2160" w:hanging="360"/>
      </w:pPr>
      <w:rPr>
        <w:rFonts w:ascii="Arial" w:hAnsi="Arial" w:hint="default"/>
      </w:rPr>
    </w:lvl>
    <w:lvl w:ilvl="3" w:tplc="E42CEF7C" w:tentative="1">
      <w:start w:val="1"/>
      <w:numFmt w:val="bullet"/>
      <w:lvlText w:val="•"/>
      <w:lvlJc w:val="left"/>
      <w:pPr>
        <w:tabs>
          <w:tab w:val="num" w:pos="2880"/>
        </w:tabs>
        <w:ind w:left="2880" w:hanging="360"/>
      </w:pPr>
      <w:rPr>
        <w:rFonts w:ascii="Arial" w:hAnsi="Arial" w:hint="default"/>
      </w:rPr>
    </w:lvl>
    <w:lvl w:ilvl="4" w:tplc="314229AE" w:tentative="1">
      <w:start w:val="1"/>
      <w:numFmt w:val="bullet"/>
      <w:lvlText w:val="•"/>
      <w:lvlJc w:val="left"/>
      <w:pPr>
        <w:tabs>
          <w:tab w:val="num" w:pos="3600"/>
        </w:tabs>
        <w:ind w:left="3600" w:hanging="360"/>
      </w:pPr>
      <w:rPr>
        <w:rFonts w:ascii="Arial" w:hAnsi="Arial" w:hint="default"/>
      </w:rPr>
    </w:lvl>
    <w:lvl w:ilvl="5" w:tplc="84785102" w:tentative="1">
      <w:start w:val="1"/>
      <w:numFmt w:val="bullet"/>
      <w:lvlText w:val="•"/>
      <w:lvlJc w:val="left"/>
      <w:pPr>
        <w:tabs>
          <w:tab w:val="num" w:pos="4320"/>
        </w:tabs>
        <w:ind w:left="4320" w:hanging="360"/>
      </w:pPr>
      <w:rPr>
        <w:rFonts w:ascii="Arial" w:hAnsi="Arial" w:hint="default"/>
      </w:rPr>
    </w:lvl>
    <w:lvl w:ilvl="6" w:tplc="3B8E258E" w:tentative="1">
      <w:start w:val="1"/>
      <w:numFmt w:val="bullet"/>
      <w:lvlText w:val="•"/>
      <w:lvlJc w:val="left"/>
      <w:pPr>
        <w:tabs>
          <w:tab w:val="num" w:pos="5040"/>
        </w:tabs>
        <w:ind w:left="5040" w:hanging="360"/>
      </w:pPr>
      <w:rPr>
        <w:rFonts w:ascii="Arial" w:hAnsi="Arial" w:hint="default"/>
      </w:rPr>
    </w:lvl>
    <w:lvl w:ilvl="7" w:tplc="1F7AE76C" w:tentative="1">
      <w:start w:val="1"/>
      <w:numFmt w:val="bullet"/>
      <w:lvlText w:val="•"/>
      <w:lvlJc w:val="left"/>
      <w:pPr>
        <w:tabs>
          <w:tab w:val="num" w:pos="5760"/>
        </w:tabs>
        <w:ind w:left="5760" w:hanging="360"/>
      </w:pPr>
      <w:rPr>
        <w:rFonts w:ascii="Arial" w:hAnsi="Arial" w:hint="default"/>
      </w:rPr>
    </w:lvl>
    <w:lvl w:ilvl="8" w:tplc="A04AAC1E" w:tentative="1">
      <w:start w:val="1"/>
      <w:numFmt w:val="bullet"/>
      <w:lvlText w:val="•"/>
      <w:lvlJc w:val="left"/>
      <w:pPr>
        <w:tabs>
          <w:tab w:val="num" w:pos="6480"/>
        </w:tabs>
        <w:ind w:left="6480" w:hanging="360"/>
      </w:pPr>
      <w:rPr>
        <w:rFonts w:ascii="Arial" w:hAnsi="Arial" w:hint="default"/>
      </w:rPr>
    </w:lvl>
  </w:abstractNum>
  <w:abstractNum w:abstractNumId="2">
    <w:nsid w:val="180947C0"/>
    <w:multiLevelType w:val="hybridMultilevel"/>
    <w:tmpl w:val="CCFA1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286A95"/>
    <w:multiLevelType w:val="hybridMultilevel"/>
    <w:tmpl w:val="1538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A623D3"/>
    <w:multiLevelType w:val="hybridMultilevel"/>
    <w:tmpl w:val="1B5E5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802720"/>
    <w:multiLevelType w:val="hybridMultilevel"/>
    <w:tmpl w:val="75C8F09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B8513C0"/>
    <w:multiLevelType w:val="hybridMultilevel"/>
    <w:tmpl w:val="DA2A3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20485A"/>
    <w:multiLevelType w:val="hybridMultilevel"/>
    <w:tmpl w:val="B14EA3C6"/>
    <w:lvl w:ilvl="0" w:tplc="F754012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93E0782"/>
    <w:multiLevelType w:val="hybridMultilevel"/>
    <w:tmpl w:val="697C3FEA"/>
    <w:lvl w:ilvl="0" w:tplc="54FA6968">
      <w:start w:val="1"/>
      <w:numFmt w:val="bullet"/>
      <w:lvlText w:val="-"/>
      <w:lvlJc w:val="left"/>
      <w:pPr>
        <w:tabs>
          <w:tab w:val="num" w:pos="720"/>
        </w:tabs>
        <w:ind w:left="720" w:hanging="360"/>
      </w:pPr>
      <w:rPr>
        <w:rFonts w:ascii="Calibri" w:hAnsi="Calibri" w:hint="default"/>
      </w:rPr>
    </w:lvl>
    <w:lvl w:ilvl="1" w:tplc="384C0982" w:tentative="1">
      <w:start w:val="1"/>
      <w:numFmt w:val="bullet"/>
      <w:lvlText w:val="-"/>
      <w:lvlJc w:val="left"/>
      <w:pPr>
        <w:tabs>
          <w:tab w:val="num" w:pos="1440"/>
        </w:tabs>
        <w:ind w:left="1440" w:hanging="360"/>
      </w:pPr>
      <w:rPr>
        <w:rFonts w:ascii="Calibri" w:hAnsi="Calibri" w:hint="default"/>
      </w:rPr>
    </w:lvl>
    <w:lvl w:ilvl="2" w:tplc="269A6FE4" w:tentative="1">
      <w:start w:val="1"/>
      <w:numFmt w:val="bullet"/>
      <w:lvlText w:val="-"/>
      <w:lvlJc w:val="left"/>
      <w:pPr>
        <w:tabs>
          <w:tab w:val="num" w:pos="2160"/>
        </w:tabs>
        <w:ind w:left="2160" w:hanging="360"/>
      </w:pPr>
      <w:rPr>
        <w:rFonts w:ascii="Calibri" w:hAnsi="Calibri" w:hint="default"/>
      </w:rPr>
    </w:lvl>
    <w:lvl w:ilvl="3" w:tplc="1A78EDB4" w:tentative="1">
      <w:start w:val="1"/>
      <w:numFmt w:val="bullet"/>
      <w:lvlText w:val="-"/>
      <w:lvlJc w:val="left"/>
      <w:pPr>
        <w:tabs>
          <w:tab w:val="num" w:pos="2880"/>
        </w:tabs>
        <w:ind w:left="2880" w:hanging="360"/>
      </w:pPr>
      <w:rPr>
        <w:rFonts w:ascii="Calibri" w:hAnsi="Calibri" w:hint="default"/>
      </w:rPr>
    </w:lvl>
    <w:lvl w:ilvl="4" w:tplc="C5E0A07A" w:tentative="1">
      <w:start w:val="1"/>
      <w:numFmt w:val="bullet"/>
      <w:lvlText w:val="-"/>
      <w:lvlJc w:val="left"/>
      <w:pPr>
        <w:tabs>
          <w:tab w:val="num" w:pos="3600"/>
        </w:tabs>
        <w:ind w:left="3600" w:hanging="360"/>
      </w:pPr>
      <w:rPr>
        <w:rFonts w:ascii="Calibri" w:hAnsi="Calibri" w:hint="default"/>
      </w:rPr>
    </w:lvl>
    <w:lvl w:ilvl="5" w:tplc="1AA69F12" w:tentative="1">
      <w:start w:val="1"/>
      <w:numFmt w:val="bullet"/>
      <w:lvlText w:val="-"/>
      <w:lvlJc w:val="left"/>
      <w:pPr>
        <w:tabs>
          <w:tab w:val="num" w:pos="4320"/>
        </w:tabs>
        <w:ind w:left="4320" w:hanging="360"/>
      </w:pPr>
      <w:rPr>
        <w:rFonts w:ascii="Calibri" w:hAnsi="Calibri" w:hint="default"/>
      </w:rPr>
    </w:lvl>
    <w:lvl w:ilvl="6" w:tplc="F2B4AB62" w:tentative="1">
      <w:start w:val="1"/>
      <w:numFmt w:val="bullet"/>
      <w:lvlText w:val="-"/>
      <w:lvlJc w:val="left"/>
      <w:pPr>
        <w:tabs>
          <w:tab w:val="num" w:pos="5040"/>
        </w:tabs>
        <w:ind w:left="5040" w:hanging="360"/>
      </w:pPr>
      <w:rPr>
        <w:rFonts w:ascii="Calibri" w:hAnsi="Calibri" w:hint="default"/>
      </w:rPr>
    </w:lvl>
    <w:lvl w:ilvl="7" w:tplc="68A03BA4" w:tentative="1">
      <w:start w:val="1"/>
      <w:numFmt w:val="bullet"/>
      <w:lvlText w:val="-"/>
      <w:lvlJc w:val="left"/>
      <w:pPr>
        <w:tabs>
          <w:tab w:val="num" w:pos="5760"/>
        </w:tabs>
        <w:ind w:left="5760" w:hanging="360"/>
      </w:pPr>
      <w:rPr>
        <w:rFonts w:ascii="Calibri" w:hAnsi="Calibri" w:hint="default"/>
      </w:rPr>
    </w:lvl>
    <w:lvl w:ilvl="8" w:tplc="7B201A8E" w:tentative="1">
      <w:start w:val="1"/>
      <w:numFmt w:val="bullet"/>
      <w:lvlText w:val="-"/>
      <w:lvlJc w:val="left"/>
      <w:pPr>
        <w:tabs>
          <w:tab w:val="num" w:pos="6480"/>
        </w:tabs>
        <w:ind w:left="6480" w:hanging="360"/>
      </w:pPr>
      <w:rPr>
        <w:rFonts w:ascii="Calibri" w:hAnsi="Calibri" w:hint="default"/>
      </w:rPr>
    </w:lvl>
  </w:abstractNum>
  <w:abstractNum w:abstractNumId="9">
    <w:nsid w:val="5C6435D4"/>
    <w:multiLevelType w:val="hybridMultilevel"/>
    <w:tmpl w:val="AAC622F2"/>
    <w:lvl w:ilvl="0" w:tplc="FC68BA7A">
      <w:start w:val="1"/>
      <w:numFmt w:val="bullet"/>
      <w:lvlText w:val="•"/>
      <w:lvlJc w:val="left"/>
      <w:pPr>
        <w:tabs>
          <w:tab w:val="num" w:pos="720"/>
        </w:tabs>
        <w:ind w:left="720" w:hanging="360"/>
      </w:pPr>
      <w:rPr>
        <w:rFonts w:ascii="Arial" w:hAnsi="Arial" w:hint="default"/>
      </w:rPr>
    </w:lvl>
    <w:lvl w:ilvl="1" w:tplc="836C4FF4" w:tentative="1">
      <w:start w:val="1"/>
      <w:numFmt w:val="bullet"/>
      <w:lvlText w:val="•"/>
      <w:lvlJc w:val="left"/>
      <w:pPr>
        <w:tabs>
          <w:tab w:val="num" w:pos="1440"/>
        </w:tabs>
        <w:ind w:left="1440" w:hanging="360"/>
      </w:pPr>
      <w:rPr>
        <w:rFonts w:ascii="Arial" w:hAnsi="Arial" w:hint="default"/>
      </w:rPr>
    </w:lvl>
    <w:lvl w:ilvl="2" w:tplc="931E4932" w:tentative="1">
      <w:start w:val="1"/>
      <w:numFmt w:val="bullet"/>
      <w:lvlText w:val="•"/>
      <w:lvlJc w:val="left"/>
      <w:pPr>
        <w:tabs>
          <w:tab w:val="num" w:pos="2160"/>
        </w:tabs>
        <w:ind w:left="2160" w:hanging="360"/>
      </w:pPr>
      <w:rPr>
        <w:rFonts w:ascii="Arial" w:hAnsi="Arial" w:hint="default"/>
      </w:rPr>
    </w:lvl>
    <w:lvl w:ilvl="3" w:tplc="647A3C82" w:tentative="1">
      <w:start w:val="1"/>
      <w:numFmt w:val="bullet"/>
      <w:lvlText w:val="•"/>
      <w:lvlJc w:val="left"/>
      <w:pPr>
        <w:tabs>
          <w:tab w:val="num" w:pos="2880"/>
        </w:tabs>
        <w:ind w:left="2880" w:hanging="360"/>
      </w:pPr>
      <w:rPr>
        <w:rFonts w:ascii="Arial" w:hAnsi="Arial" w:hint="default"/>
      </w:rPr>
    </w:lvl>
    <w:lvl w:ilvl="4" w:tplc="A366F6AA" w:tentative="1">
      <w:start w:val="1"/>
      <w:numFmt w:val="bullet"/>
      <w:lvlText w:val="•"/>
      <w:lvlJc w:val="left"/>
      <w:pPr>
        <w:tabs>
          <w:tab w:val="num" w:pos="3600"/>
        </w:tabs>
        <w:ind w:left="3600" w:hanging="360"/>
      </w:pPr>
      <w:rPr>
        <w:rFonts w:ascii="Arial" w:hAnsi="Arial" w:hint="default"/>
      </w:rPr>
    </w:lvl>
    <w:lvl w:ilvl="5" w:tplc="9E9411E6" w:tentative="1">
      <w:start w:val="1"/>
      <w:numFmt w:val="bullet"/>
      <w:lvlText w:val="•"/>
      <w:lvlJc w:val="left"/>
      <w:pPr>
        <w:tabs>
          <w:tab w:val="num" w:pos="4320"/>
        </w:tabs>
        <w:ind w:left="4320" w:hanging="360"/>
      </w:pPr>
      <w:rPr>
        <w:rFonts w:ascii="Arial" w:hAnsi="Arial" w:hint="default"/>
      </w:rPr>
    </w:lvl>
    <w:lvl w:ilvl="6" w:tplc="201EAB2E" w:tentative="1">
      <w:start w:val="1"/>
      <w:numFmt w:val="bullet"/>
      <w:lvlText w:val="•"/>
      <w:lvlJc w:val="left"/>
      <w:pPr>
        <w:tabs>
          <w:tab w:val="num" w:pos="5040"/>
        </w:tabs>
        <w:ind w:left="5040" w:hanging="360"/>
      </w:pPr>
      <w:rPr>
        <w:rFonts w:ascii="Arial" w:hAnsi="Arial" w:hint="default"/>
      </w:rPr>
    </w:lvl>
    <w:lvl w:ilvl="7" w:tplc="97C4E6D2" w:tentative="1">
      <w:start w:val="1"/>
      <w:numFmt w:val="bullet"/>
      <w:lvlText w:val="•"/>
      <w:lvlJc w:val="left"/>
      <w:pPr>
        <w:tabs>
          <w:tab w:val="num" w:pos="5760"/>
        </w:tabs>
        <w:ind w:left="5760" w:hanging="360"/>
      </w:pPr>
      <w:rPr>
        <w:rFonts w:ascii="Arial" w:hAnsi="Arial" w:hint="default"/>
      </w:rPr>
    </w:lvl>
    <w:lvl w:ilvl="8" w:tplc="9C70129A" w:tentative="1">
      <w:start w:val="1"/>
      <w:numFmt w:val="bullet"/>
      <w:lvlText w:val="•"/>
      <w:lvlJc w:val="left"/>
      <w:pPr>
        <w:tabs>
          <w:tab w:val="num" w:pos="6480"/>
        </w:tabs>
        <w:ind w:left="6480" w:hanging="360"/>
      </w:pPr>
      <w:rPr>
        <w:rFonts w:ascii="Arial" w:hAnsi="Arial" w:hint="default"/>
      </w:rPr>
    </w:lvl>
  </w:abstractNum>
  <w:abstractNum w:abstractNumId="10">
    <w:nsid w:val="5CB131F5"/>
    <w:multiLevelType w:val="hybridMultilevel"/>
    <w:tmpl w:val="D80CD0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C741B6"/>
    <w:multiLevelType w:val="hybridMultilevel"/>
    <w:tmpl w:val="53B81D08"/>
    <w:lvl w:ilvl="0" w:tplc="F754012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0"/>
  </w:num>
  <w:num w:numId="6">
    <w:abstractNumId w:val="11"/>
  </w:num>
  <w:num w:numId="7">
    <w:abstractNumId w:val="5"/>
  </w:num>
  <w:num w:numId="8">
    <w:abstractNumId w:val="9"/>
  </w:num>
  <w:num w:numId="9">
    <w:abstractNumId w:val="3"/>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11"/>
    <w:rsid w:val="000271C6"/>
    <w:rsid w:val="0002777A"/>
    <w:rsid w:val="00037BB6"/>
    <w:rsid w:val="00050DDA"/>
    <w:rsid w:val="00061838"/>
    <w:rsid w:val="00065BBD"/>
    <w:rsid w:val="000666A1"/>
    <w:rsid w:val="00096A35"/>
    <w:rsid w:val="000D6EB5"/>
    <w:rsid w:val="000E2756"/>
    <w:rsid w:val="000E62B4"/>
    <w:rsid w:val="00103240"/>
    <w:rsid w:val="00104250"/>
    <w:rsid w:val="0011208B"/>
    <w:rsid w:val="00112A6A"/>
    <w:rsid w:val="0014203D"/>
    <w:rsid w:val="0015045C"/>
    <w:rsid w:val="001B15A5"/>
    <w:rsid w:val="001E2A50"/>
    <w:rsid w:val="001E4354"/>
    <w:rsid w:val="001F0B40"/>
    <w:rsid w:val="001F4D4A"/>
    <w:rsid w:val="001F6DC7"/>
    <w:rsid w:val="00205F1F"/>
    <w:rsid w:val="00211531"/>
    <w:rsid w:val="00220597"/>
    <w:rsid w:val="0022412B"/>
    <w:rsid w:val="002349D1"/>
    <w:rsid w:val="00243A47"/>
    <w:rsid w:val="00245F60"/>
    <w:rsid w:val="002507D3"/>
    <w:rsid w:val="00253C7C"/>
    <w:rsid w:val="00260B94"/>
    <w:rsid w:val="00261F4F"/>
    <w:rsid w:val="0026338D"/>
    <w:rsid w:val="002704C6"/>
    <w:rsid w:val="00282EFE"/>
    <w:rsid w:val="00286650"/>
    <w:rsid w:val="0028784D"/>
    <w:rsid w:val="00293609"/>
    <w:rsid w:val="002C0349"/>
    <w:rsid w:val="002C227B"/>
    <w:rsid w:val="002C4013"/>
    <w:rsid w:val="002C76C0"/>
    <w:rsid w:val="002C77D4"/>
    <w:rsid w:val="002D1359"/>
    <w:rsid w:val="002D4B8A"/>
    <w:rsid w:val="002E0822"/>
    <w:rsid w:val="002E5CEF"/>
    <w:rsid w:val="00300E70"/>
    <w:rsid w:val="00301EE1"/>
    <w:rsid w:val="00310A78"/>
    <w:rsid w:val="00311E71"/>
    <w:rsid w:val="00315CCA"/>
    <w:rsid w:val="0032083D"/>
    <w:rsid w:val="0032440C"/>
    <w:rsid w:val="00330ED0"/>
    <w:rsid w:val="00336F4C"/>
    <w:rsid w:val="003403E2"/>
    <w:rsid w:val="00364B48"/>
    <w:rsid w:val="00371D1C"/>
    <w:rsid w:val="00382E9A"/>
    <w:rsid w:val="0038390A"/>
    <w:rsid w:val="003915C1"/>
    <w:rsid w:val="00397C55"/>
    <w:rsid w:val="003A7A07"/>
    <w:rsid w:val="003B21CF"/>
    <w:rsid w:val="003B77E6"/>
    <w:rsid w:val="003C608C"/>
    <w:rsid w:val="003C7AD7"/>
    <w:rsid w:val="003C7E81"/>
    <w:rsid w:val="003D1F4A"/>
    <w:rsid w:val="003E3F15"/>
    <w:rsid w:val="004001A1"/>
    <w:rsid w:val="00401459"/>
    <w:rsid w:val="00412215"/>
    <w:rsid w:val="004264EB"/>
    <w:rsid w:val="00437841"/>
    <w:rsid w:val="004702F9"/>
    <w:rsid w:val="0048297C"/>
    <w:rsid w:val="004913AF"/>
    <w:rsid w:val="004924A4"/>
    <w:rsid w:val="004945FD"/>
    <w:rsid w:val="004B6448"/>
    <w:rsid w:val="004C180E"/>
    <w:rsid w:val="004D76C0"/>
    <w:rsid w:val="004E37BC"/>
    <w:rsid w:val="004E4161"/>
    <w:rsid w:val="004E70FE"/>
    <w:rsid w:val="004E75F5"/>
    <w:rsid w:val="004F5CC3"/>
    <w:rsid w:val="00503DB4"/>
    <w:rsid w:val="005119B2"/>
    <w:rsid w:val="00520896"/>
    <w:rsid w:val="00521926"/>
    <w:rsid w:val="005248E1"/>
    <w:rsid w:val="00531285"/>
    <w:rsid w:val="00552A04"/>
    <w:rsid w:val="00553B73"/>
    <w:rsid w:val="005551A3"/>
    <w:rsid w:val="0056432E"/>
    <w:rsid w:val="00564641"/>
    <w:rsid w:val="00565320"/>
    <w:rsid w:val="00574168"/>
    <w:rsid w:val="005749AA"/>
    <w:rsid w:val="00587F5D"/>
    <w:rsid w:val="005A3C68"/>
    <w:rsid w:val="005B412C"/>
    <w:rsid w:val="005C2529"/>
    <w:rsid w:val="005D502A"/>
    <w:rsid w:val="005D6B96"/>
    <w:rsid w:val="005E3611"/>
    <w:rsid w:val="005F1BE9"/>
    <w:rsid w:val="006169F6"/>
    <w:rsid w:val="006216EA"/>
    <w:rsid w:val="006242A3"/>
    <w:rsid w:val="0064293A"/>
    <w:rsid w:val="006450CC"/>
    <w:rsid w:val="00656D33"/>
    <w:rsid w:val="00661BCB"/>
    <w:rsid w:val="00673295"/>
    <w:rsid w:val="00673465"/>
    <w:rsid w:val="00675224"/>
    <w:rsid w:val="006A0953"/>
    <w:rsid w:val="006C665E"/>
    <w:rsid w:val="006D134E"/>
    <w:rsid w:val="006D581D"/>
    <w:rsid w:val="006E0652"/>
    <w:rsid w:val="006E1DCD"/>
    <w:rsid w:val="00714AE9"/>
    <w:rsid w:val="00716734"/>
    <w:rsid w:val="007253F3"/>
    <w:rsid w:val="00741081"/>
    <w:rsid w:val="00752251"/>
    <w:rsid w:val="00766E64"/>
    <w:rsid w:val="007949C5"/>
    <w:rsid w:val="007A1949"/>
    <w:rsid w:val="007C29CC"/>
    <w:rsid w:val="007C4A30"/>
    <w:rsid w:val="007D2C34"/>
    <w:rsid w:val="007F78F5"/>
    <w:rsid w:val="00802B7B"/>
    <w:rsid w:val="008059E8"/>
    <w:rsid w:val="008062DF"/>
    <w:rsid w:val="00815F73"/>
    <w:rsid w:val="0082595F"/>
    <w:rsid w:val="00836716"/>
    <w:rsid w:val="00842EBC"/>
    <w:rsid w:val="00843AA5"/>
    <w:rsid w:val="00846CCB"/>
    <w:rsid w:val="008568CF"/>
    <w:rsid w:val="008639AA"/>
    <w:rsid w:val="00873773"/>
    <w:rsid w:val="0088215E"/>
    <w:rsid w:val="0089734F"/>
    <w:rsid w:val="008A10AC"/>
    <w:rsid w:val="008C0B37"/>
    <w:rsid w:val="008D6A05"/>
    <w:rsid w:val="008E2B17"/>
    <w:rsid w:val="008E43F6"/>
    <w:rsid w:val="008E799E"/>
    <w:rsid w:val="008F13C4"/>
    <w:rsid w:val="00903E97"/>
    <w:rsid w:val="009075FE"/>
    <w:rsid w:val="009400EC"/>
    <w:rsid w:val="00953C40"/>
    <w:rsid w:val="00956B1B"/>
    <w:rsid w:val="009631BF"/>
    <w:rsid w:val="00981645"/>
    <w:rsid w:val="0098619D"/>
    <w:rsid w:val="0098754B"/>
    <w:rsid w:val="00995CDE"/>
    <w:rsid w:val="009B0A26"/>
    <w:rsid w:val="009B6258"/>
    <w:rsid w:val="009C4911"/>
    <w:rsid w:val="009F2695"/>
    <w:rsid w:val="00A17925"/>
    <w:rsid w:val="00A22B33"/>
    <w:rsid w:val="00A2789A"/>
    <w:rsid w:val="00A36DA3"/>
    <w:rsid w:val="00A4367F"/>
    <w:rsid w:val="00A74327"/>
    <w:rsid w:val="00A811FA"/>
    <w:rsid w:val="00A83619"/>
    <w:rsid w:val="00A83E4C"/>
    <w:rsid w:val="00A8779D"/>
    <w:rsid w:val="00A95DFB"/>
    <w:rsid w:val="00AA5BF4"/>
    <w:rsid w:val="00AA7C4B"/>
    <w:rsid w:val="00AB21D8"/>
    <w:rsid w:val="00AB491D"/>
    <w:rsid w:val="00AE67F8"/>
    <w:rsid w:val="00AF479D"/>
    <w:rsid w:val="00B30264"/>
    <w:rsid w:val="00B504D1"/>
    <w:rsid w:val="00B54E36"/>
    <w:rsid w:val="00B63E17"/>
    <w:rsid w:val="00B64030"/>
    <w:rsid w:val="00B7353C"/>
    <w:rsid w:val="00B77156"/>
    <w:rsid w:val="00B83495"/>
    <w:rsid w:val="00B8567C"/>
    <w:rsid w:val="00B91C0D"/>
    <w:rsid w:val="00B966C0"/>
    <w:rsid w:val="00B96BA0"/>
    <w:rsid w:val="00BB2354"/>
    <w:rsid w:val="00BB4025"/>
    <w:rsid w:val="00BB52D9"/>
    <w:rsid w:val="00BB692F"/>
    <w:rsid w:val="00BC1A3B"/>
    <w:rsid w:val="00BE200E"/>
    <w:rsid w:val="00BE3B9F"/>
    <w:rsid w:val="00BE4DF6"/>
    <w:rsid w:val="00BE4E6F"/>
    <w:rsid w:val="00BE549C"/>
    <w:rsid w:val="00BE5E5A"/>
    <w:rsid w:val="00BF58DA"/>
    <w:rsid w:val="00C137DF"/>
    <w:rsid w:val="00C36B79"/>
    <w:rsid w:val="00C4524A"/>
    <w:rsid w:val="00C45C18"/>
    <w:rsid w:val="00C465C5"/>
    <w:rsid w:val="00C5138B"/>
    <w:rsid w:val="00C526A3"/>
    <w:rsid w:val="00C64D2A"/>
    <w:rsid w:val="00C657AF"/>
    <w:rsid w:val="00C8009E"/>
    <w:rsid w:val="00C82AE3"/>
    <w:rsid w:val="00C83E1B"/>
    <w:rsid w:val="00CA3B60"/>
    <w:rsid w:val="00CC4F63"/>
    <w:rsid w:val="00CD0D7F"/>
    <w:rsid w:val="00CD57A1"/>
    <w:rsid w:val="00CD676F"/>
    <w:rsid w:val="00CF1F8C"/>
    <w:rsid w:val="00CF2462"/>
    <w:rsid w:val="00D02CA4"/>
    <w:rsid w:val="00D0385D"/>
    <w:rsid w:val="00D22294"/>
    <w:rsid w:val="00D43D6A"/>
    <w:rsid w:val="00D51428"/>
    <w:rsid w:val="00D55177"/>
    <w:rsid w:val="00D554E5"/>
    <w:rsid w:val="00D57968"/>
    <w:rsid w:val="00D729F8"/>
    <w:rsid w:val="00D8129C"/>
    <w:rsid w:val="00D93C5E"/>
    <w:rsid w:val="00DC45F7"/>
    <w:rsid w:val="00DC7692"/>
    <w:rsid w:val="00DD58E2"/>
    <w:rsid w:val="00DD733B"/>
    <w:rsid w:val="00DE10E0"/>
    <w:rsid w:val="00DF284E"/>
    <w:rsid w:val="00DF6498"/>
    <w:rsid w:val="00E0142A"/>
    <w:rsid w:val="00E0419E"/>
    <w:rsid w:val="00E13293"/>
    <w:rsid w:val="00E30C98"/>
    <w:rsid w:val="00E83196"/>
    <w:rsid w:val="00E9725A"/>
    <w:rsid w:val="00EA2007"/>
    <w:rsid w:val="00EC5A7A"/>
    <w:rsid w:val="00EF1484"/>
    <w:rsid w:val="00EF15CE"/>
    <w:rsid w:val="00EF4776"/>
    <w:rsid w:val="00F02C8D"/>
    <w:rsid w:val="00F0504F"/>
    <w:rsid w:val="00F0532B"/>
    <w:rsid w:val="00F17EEC"/>
    <w:rsid w:val="00F25E9E"/>
    <w:rsid w:val="00F35132"/>
    <w:rsid w:val="00F374EE"/>
    <w:rsid w:val="00F40DA3"/>
    <w:rsid w:val="00F50135"/>
    <w:rsid w:val="00F6197D"/>
    <w:rsid w:val="00F75D31"/>
    <w:rsid w:val="00F84DBB"/>
    <w:rsid w:val="00F916B6"/>
    <w:rsid w:val="00FA370E"/>
    <w:rsid w:val="00FA54D9"/>
    <w:rsid w:val="00FA6B62"/>
    <w:rsid w:val="00FB47F1"/>
    <w:rsid w:val="00FC23DE"/>
    <w:rsid w:val="00FC31BC"/>
    <w:rsid w:val="00FD2FC9"/>
    <w:rsid w:val="00FD3775"/>
    <w:rsid w:val="00FD4A23"/>
    <w:rsid w:val="00FD7D72"/>
    <w:rsid w:val="00FE5F94"/>
    <w:rsid w:val="00FE6F24"/>
    <w:rsid w:val="00FF27E6"/>
    <w:rsid w:val="00FF3874"/>
    <w:rsid w:val="00FF39E5"/>
    <w:rsid w:val="00FF58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12800-9167-4A92-9A7E-702832FE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E3"/>
    <w:rPr>
      <w:rFonts w:ascii="Times New Roman" w:eastAsia="MS Mincho" w:hAnsi="Times New Roman"/>
      <w:sz w:val="24"/>
      <w:szCs w:val="24"/>
      <w:lang w:val="en-GB" w:eastAsia="en-GB"/>
    </w:rPr>
  </w:style>
  <w:style w:type="paragraph" w:styleId="Heading1">
    <w:name w:val="heading 1"/>
    <w:basedOn w:val="Normal"/>
    <w:next w:val="Normal"/>
    <w:link w:val="Heading1Char"/>
    <w:qFormat/>
    <w:rsid w:val="00C82AE3"/>
    <w:pPr>
      <w:keepNext/>
      <w:autoSpaceDE w:val="0"/>
      <w:autoSpaceDN w:val="0"/>
      <w:outlineLvl w:val="0"/>
    </w:pPr>
    <w:rPr>
      <w:b/>
      <w:bCs/>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2AE3"/>
    <w:rPr>
      <w:rFonts w:ascii="Times New Roman" w:eastAsia="MS Mincho" w:hAnsi="Times New Roman" w:cs="Times New Roman"/>
      <w:b/>
      <w:bCs/>
      <w:sz w:val="24"/>
      <w:szCs w:val="24"/>
      <w:lang w:val="en-GB" w:eastAsia="fi-FI"/>
    </w:rPr>
  </w:style>
  <w:style w:type="paragraph" w:styleId="NoSpacing">
    <w:name w:val="No Spacing"/>
    <w:uiPriority w:val="1"/>
    <w:qFormat/>
    <w:rsid w:val="00C82AE3"/>
    <w:rPr>
      <w:rFonts w:ascii="Times New Roman" w:eastAsia="MS Mincho" w:hAnsi="Times New Roman"/>
      <w:sz w:val="24"/>
      <w:szCs w:val="24"/>
      <w:lang w:val="en-GB" w:eastAsia="en-GB"/>
    </w:rPr>
  </w:style>
  <w:style w:type="table" w:styleId="TableGrid">
    <w:name w:val="Table Grid"/>
    <w:basedOn w:val="TableNormal"/>
    <w:uiPriority w:val="59"/>
    <w:rsid w:val="00FF5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568CF"/>
    <w:rPr>
      <w:color w:val="0000FF"/>
      <w:u w:val="single"/>
    </w:rPr>
  </w:style>
  <w:style w:type="character" w:styleId="FollowedHyperlink">
    <w:name w:val="FollowedHyperlink"/>
    <w:uiPriority w:val="99"/>
    <w:semiHidden/>
    <w:unhideWhenUsed/>
    <w:rsid w:val="00FF3874"/>
    <w:rPr>
      <w:color w:val="800080"/>
      <w:u w:val="single"/>
    </w:rPr>
  </w:style>
  <w:style w:type="paragraph" w:styleId="Quote">
    <w:name w:val="Quote"/>
    <w:basedOn w:val="Normal"/>
    <w:next w:val="Normal"/>
    <w:link w:val="QuoteChar"/>
    <w:uiPriority w:val="29"/>
    <w:qFormat/>
    <w:rsid w:val="002D1359"/>
    <w:rPr>
      <w:i/>
      <w:iCs/>
      <w:color w:val="000000"/>
    </w:rPr>
  </w:style>
  <w:style w:type="character" w:customStyle="1" w:styleId="QuoteChar">
    <w:name w:val="Quote Char"/>
    <w:link w:val="Quote"/>
    <w:uiPriority w:val="29"/>
    <w:rsid w:val="002D1359"/>
    <w:rPr>
      <w:rFonts w:ascii="Times New Roman" w:eastAsia="MS Mincho" w:hAnsi="Times New Roman"/>
      <w:i/>
      <w:iCs/>
      <w:color w:val="000000"/>
      <w:sz w:val="24"/>
      <w:szCs w:val="24"/>
    </w:rPr>
  </w:style>
  <w:style w:type="paragraph" w:styleId="BalloonText">
    <w:name w:val="Balloon Text"/>
    <w:basedOn w:val="Normal"/>
    <w:link w:val="BalloonTextChar"/>
    <w:uiPriority w:val="99"/>
    <w:semiHidden/>
    <w:unhideWhenUsed/>
    <w:rsid w:val="002D1359"/>
    <w:rPr>
      <w:rFonts w:ascii="Tahoma" w:hAnsi="Tahoma" w:cs="Tahoma"/>
      <w:sz w:val="16"/>
      <w:szCs w:val="16"/>
    </w:rPr>
  </w:style>
  <w:style w:type="character" w:customStyle="1" w:styleId="BalloonTextChar">
    <w:name w:val="Balloon Text Char"/>
    <w:link w:val="BalloonText"/>
    <w:uiPriority w:val="99"/>
    <w:semiHidden/>
    <w:rsid w:val="002D1359"/>
    <w:rPr>
      <w:rFonts w:ascii="Tahoma" w:eastAsia="MS Mincho" w:hAnsi="Tahoma" w:cs="Tahoma"/>
      <w:sz w:val="16"/>
      <w:szCs w:val="16"/>
    </w:rPr>
  </w:style>
  <w:style w:type="character" w:styleId="CommentReference">
    <w:name w:val="annotation reference"/>
    <w:uiPriority w:val="99"/>
    <w:semiHidden/>
    <w:unhideWhenUsed/>
    <w:rsid w:val="002D1359"/>
    <w:rPr>
      <w:sz w:val="16"/>
      <w:szCs w:val="16"/>
    </w:rPr>
  </w:style>
  <w:style w:type="paragraph" w:styleId="CommentText">
    <w:name w:val="annotation text"/>
    <w:basedOn w:val="Normal"/>
    <w:link w:val="CommentTextChar"/>
    <w:uiPriority w:val="99"/>
    <w:semiHidden/>
    <w:unhideWhenUsed/>
    <w:rsid w:val="002D1359"/>
    <w:rPr>
      <w:sz w:val="20"/>
      <w:szCs w:val="20"/>
    </w:rPr>
  </w:style>
  <w:style w:type="character" w:customStyle="1" w:styleId="CommentTextChar">
    <w:name w:val="Comment Text Char"/>
    <w:link w:val="CommentText"/>
    <w:uiPriority w:val="99"/>
    <w:semiHidden/>
    <w:rsid w:val="002D1359"/>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2D1359"/>
    <w:rPr>
      <w:b/>
      <w:bCs/>
    </w:rPr>
  </w:style>
  <w:style w:type="character" w:customStyle="1" w:styleId="CommentSubjectChar">
    <w:name w:val="Comment Subject Char"/>
    <w:link w:val="CommentSubject"/>
    <w:uiPriority w:val="99"/>
    <w:semiHidden/>
    <w:rsid w:val="002D1359"/>
    <w:rPr>
      <w:rFonts w:ascii="Times New Roman" w:eastAsia="MS Mincho" w:hAnsi="Times New Roman"/>
      <w:b/>
      <w:bCs/>
    </w:rPr>
  </w:style>
  <w:style w:type="paragraph" w:styleId="Revision">
    <w:name w:val="Revision"/>
    <w:hidden/>
    <w:uiPriority w:val="99"/>
    <w:semiHidden/>
    <w:rsid w:val="00065BBD"/>
    <w:rPr>
      <w:rFonts w:ascii="Times New Roman" w:eastAsia="MS Mincho" w:hAnsi="Times New Roman"/>
      <w:sz w:val="24"/>
      <w:szCs w:val="24"/>
      <w:lang w:val="en-GB" w:eastAsia="en-GB"/>
    </w:rPr>
  </w:style>
  <w:style w:type="paragraph" w:styleId="ListParagraph">
    <w:name w:val="List Paragraph"/>
    <w:basedOn w:val="Normal"/>
    <w:uiPriority w:val="34"/>
    <w:qFormat/>
    <w:rsid w:val="004E70FE"/>
    <w:pPr>
      <w:ind w:left="720"/>
      <w:contextualSpacing/>
    </w:pPr>
  </w:style>
  <w:style w:type="paragraph" w:styleId="NormalWeb">
    <w:name w:val="Normal (Web)"/>
    <w:basedOn w:val="Normal"/>
    <w:uiPriority w:val="99"/>
    <w:semiHidden/>
    <w:unhideWhenUsed/>
    <w:rsid w:val="008E43F6"/>
    <w:pPr>
      <w:spacing w:before="100" w:beforeAutospacing="1" w:after="100" w:afterAutospacing="1"/>
    </w:pPr>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3495">
      <w:bodyDiv w:val="1"/>
      <w:marLeft w:val="0"/>
      <w:marRight w:val="0"/>
      <w:marTop w:val="0"/>
      <w:marBottom w:val="0"/>
      <w:divBdr>
        <w:top w:val="none" w:sz="0" w:space="0" w:color="auto"/>
        <w:left w:val="none" w:sz="0" w:space="0" w:color="auto"/>
        <w:bottom w:val="none" w:sz="0" w:space="0" w:color="auto"/>
        <w:right w:val="none" w:sz="0" w:space="0" w:color="auto"/>
      </w:divBdr>
    </w:div>
    <w:div w:id="457334757">
      <w:bodyDiv w:val="1"/>
      <w:marLeft w:val="0"/>
      <w:marRight w:val="0"/>
      <w:marTop w:val="0"/>
      <w:marBottom w:val="0"/>
      <w:divBdr>
        <w:top w:val="none" w:sz="0" w:space="0" w:color="auto"/>
        <w:left w:val="none" w:sz="0" w:space="0" w:color="auto"/>
        <w:bottom w:val="none" w:sz="0" w:space="0" w:color="auto"/>
        <w:right w:val="none" w:sz="0" w:space="0" w:color="auto"/>
      </w:divBdr>
    </w:div>
    <w:div w:id="487483035">
      <w:bodyDiv w:val="1"/>
      <w:marLeft w:val="0"/>
      <w:marRight w:val="0"/>
      <w:marTop w:val="0"/>
      <w:marBottom w:val="0"/>
      <w:divBdr>
        <w:top w:val="none" w:sz="0" w:space="0" w:color="auto"/>
        <w:left w:val="none" w:sz="0" w:space="0" w:color="auto"/>
        <w:bottom w:val="none" w:sz="0" w:space="0" w:color="auto"/>
        <w:right w:val="none" w:sz="0" w:space="0" w:color="auto"/>
      </w:divBdr>
    </w:div>
    <w:div w:id="511649764">
      <w:bodyDiv w:val="1"/>
      <w:marLeft w:val="0"/>
      <w:marRight w:val="0"/>
      <w:marTop w:val="0"/>
      <w:marBottom w:val="0"/>
      <w:divBdr>
        <w:top w:val="none" w:sz="0" w:space="0" w:color="auto"/>
        <w:left w:val="none" w:sz="0" w:space="0" w:color="auto"/>
        <w:bottom w:val="none" w:sz="0" w:space="0" w:color="auto"/>
        <w:right w:val="none" w:sz="0" w:space="0" w:color="auto"/>
      </w:divBdr>
    </w:div>
    <w:div w:id="527916486">
      <w:bodyDiv w:val="1"/>
      <w:marLeft w:val="0"/>
      <w:marRight w:val="0"/>
      <w:marTop w:val="0"/>
      <w:marBottom w:val="0"/>
      <w:divBdr>
        <w:top w:val="none" w:sz="0" w:space="0" w:color="auto"/>
        <w:left w:val="none" w:sz="0" w:space="0" w:color="auto"/>
        <w:bottom w:val="none" w:sz="0" w:space="0" w:color="auto"/>
        <w:right w:val="none" w:sz="0" w:space="0" w:color="auto"/>
      </w:divBdr>
    </w:div>
    <w:div w:id="577597743">
      <w:bodyDiv w:val="1"/>
      <w:marLeft w:val="0"/>
      <w:marRight w:val="0"/>
      <w:marTop w:val="0"/>
      <w:marBottom w:val="0"/>
      <w:divBdr>
        <w:top w:val="none" w:sz="0" w:space="0" w:color="auto"/>
        <w:left w:val="none" w:sz="0" w:space="0" w:color="auto"/>
        <w:bottom w:val="none" w:sz="0" w:space="0" w:color="auto"/>
        <w:right w:val="none" w:sz="0" w:space="0" w:color="auto"/>
      </w:divBdr>
      <w:divsChild>
        <w:div w:id="2097479938">
          <w:marLeft w:val="360"/>
          <w:marRight w:val="0"/>
          <w:marTop w:val="0"/>
          <w:marBottom w:val="240"/>
          <w:divBdr>
            <w:top w:val="none" w:sz="0" w:space="0" w:color="auto"/>
            <w:left w:val="none" w:sz="0" w:space="0" w:color="auto"/>
            <w:bottom w:val="none" w:sz="0" w:space="0" w:color="auto"/>
            <w:right w:val="none" w:sz="0" w:space="0" w:color="auto"/>
          </w:divBdr>
        </w:div>
      </w:divsChild>
    </w:div>
    <w:div w:id="675232969">
      <w:bodyDiv w:val="1"/>
      <w:marLeft w:val="0"/>
      <w:marRight w:val="0"/>
      <w:marTop w:val="0"/>
      <w:marBottom w:val="0"/>
      <w:divBdr>
        <w:top w:val="none" w:sz="0" w:space="0" w:color="auto"/>
        <w:left w:val="none" w:sz="0" w:space="0" w:color="auto"/>
        <w:bottom w:val="none" w:sz="0" w:space="0" w:color="auto"/>
        <w:right w:val="none" w:sz="0" w:space="0" w:color="auto"/>
      </w:divBdr>
    </w:div>
    <w:div w:id="909579214">
      <w:bodyDiv w:val="1"/>
      <w:marLeft w:val="0"/>
      <w:marRight w:val="0"/>
      <w:marTop w:val="0"/>
      <w:marBottom w:val="0"/>
      <w:divBdr>
        <w:top w:val="none" w:sz="0" w:space="0" w:color="auto"/>
        <w:left w:val="none" w:sz="0" w:space="0" w:color="auto"/>
        <w:bottom w:val="none" w:sz="0" w:space="0" w:color="auto"/>
        <w:right w:val="none" w:sz="0" w:space="0" w:color="auto"/>
      </w:divBdr>
      <w:divsChild>
        <w:div w:id="1139417582">
          <w:marLeft w:val="360"/>
          <w:marRight w:val="0"/>
          <w:marTop w:val="0"/>
          <w:marBottom w:val="240"/>
          <w:divBdr>
            <w:top w:val="none" w:sz="0" w:space="0" w:color="auto"/>
            <w:left w:val="none" w:sz="0" w:space="0" w:color="auto"/>
            <w:bottom w:val="none" w:sz="0" w:space="0" w:color="auto"/>
            <w:right w:val="none" w:sz="0" w:space="0" w:color="auto"/>
          </w:divBdr>
        </w:div>
      </w:divsChild>
    </w:div>
    <w:div w:id="946348224">
      <w:bodyDiv w:val="1"/>
      <w:marLeft w:val="0"/>
      <w:marRight w:val="0"/>
      <w:marTop w:val="0"/>
      <w:marBottom w:val="0"/>
      <w:divBdr>
        <w:top w:val="none" w:sz="0" w:space="0" w:color="auto"/>
        <w:left w:val="none" w:sz="0" w:space="0" w:color="auto"/>
        <w:bottom w:val="none" w:sz="0" w:space="0" w:color="auto"/>
        <w:right w:val="none" w:sz="0" w:space="0" w:color="auto"/>
      </w:divBdr>
      <w:divsChild>
        <w:div w:id="1239435998">
          <w:marLeft w:val="720"/>
          <w:marRight w:val="0"/>
          <w:marTop w:val="120"/>
          <w:marBottom w:val="120"/>
          <w:divBdr>
            <w:top w:val="none" w:sz="0" w:space="0" w:color="auto"/>
            <w:left w:val="none" w:sz="0" w:space="0" w:color="auto"/>
            <w:bottom w:val="none" w:sz="0" w:space="0" w:color="auto"/>
            <w:right w:val="none" w:sz="0" w:space="0" w:color="auto"/>
          </w:divBdr>
        </w:div>
      </w:divsChild>
    </w:div>
    <w:div w:id="1175144392">
      <w:bodyDiv w:val="1"/>
      <w:marLeft w:val="0"/>
      <w:marRight w:val="0"/>
      <w:marTop w:val="0"/>
      <w:marBottom w:val="0"/>
      <w:divBdr>
        <w:top w:val="none" w:sz="0" w:space="0" w:color="auto"/>
        <w:left w:val="none" w:sz="0" w:space="0" w:color="auto"/>
        <w:bottom w:val="none" w:sz="0" w:space="0" w:color="auto"/>
        <w:right w:val="none" w:sz="0" w:space="0" w:color="auto"/>
      </w:divBdr>
    </w:div>
    <w:div w:id="1231699583">
      <w:bodyDiv w:val="1"/>
      <w:marLeft w:val="0"/>
      <w:marRight w:val="0"/>
      <w:marTop w:val="0"/>
      <w:marBottom w:val="0"/>
      <w:divBdr>
        <w:top w:val="none" w:sz="0" w:space="0" w:color="auto"/>
        <w:left w:val="none" w:sz="0" w:space="0" w:color="auto"/>
        <w:bottom w:val="none" w:sz="0" w:space="0" w:color="auto"/>
        <w:right w:val="none" w:sz="0" w:space="0" w:color="auto"/>
      </w:divBdr>
    </w:div>
    <w:div w:id="1322465600">
      <w:bodyDiv w:val="1"/>
      <w:marLeft w:val="0"/>
      <w:marRight w:val="0"/>
      <w:marTop w:val="0"/>
      <w:marBottom w:val="0"/>
      <w:divBdr>
        <w:top w:val="none" w:sz="0" w:space="0" w:color="auto"/>
        <w:left w:val="none" w:sz="0" w:space="0" w:color="auto"/>
        <w:bottom w:val="none" w:sz="0" w:space="0" w:color="auto"/>
        <w:right w:val="none" w:sz="0" w:space="0" w:color="auto"/>
      </w:divBdr>
    </w:div>
    <w:div w:id="1366516414">
      <w:bodyDiv w:val="1"/>
      <w:marLeft w:val="0"/>
      <w:marRight w:val="0"/>
      <w:marTop w:val="0"/>
      <w:marBottom w:val="0"/>
      <w:divBdr>
        <w:top w:val="none" w:sz="0" w:space="0" w:color="auto"/>
        <w:left w:val="none" w:sz="0" w:space="0" w:color="auto"/>
        <w:bottom w:val="none" w:sz="0" w:space="0" w:color="auto"/>
        <w:right w:val="none" w:sz="0" w:space="0" w:color="auto"/>
      </w:divBdr>
    </w:div>
    <w:div w:id="1504663833">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sChild>
        <w:div w:id="531112948">
          <w:marLeft w:val="547"/>
          <w:marRight w:val="0"/>
          <w:marTop w:val="0"/>
          <w:marBottom w:val="0"/>
          <w:divBdr>
            <w:top w:val="none" w:sz="0" w:space="0" w:color="auto"/>
            <w:left w:val="none" w:sz="0" w:space="0" w:color="auto"/>
            <w:bottom w:val="none" w:sz="0" w:space="0" w:color="auto"/>
            <w:right w:val="none" w:sz="0" w:space="0" w:color="auto"/>
          </w:divBdr>
        </w:div>
        <w:div w:id="1296376183">
          <w:marLeft w:val="547"/>
          <w:marRight w:val="0"/>
          <w:marTop w:val="0"/>
          <w:marBottom w:val="0"/>
          <w:divBdr>
            <w:top w:val="none" w:sz="0" w:space="0" w:color="auto"/>
            <w:left w:val="none" w:sz="0" w:space="0" w:color="auto"/>
            <w:bottom w:val="none" w:sz="0" w:space="0" w:color="auto"/>
            <w:right w:val="none" w:sz="0" w:space="0" w:color="auto"/>
          </w:divBdr>
        </w:div>
      </w:divsChild>
    </w:div>
    <w:div w:id="1858107988">
      <w:bodyDiv w:val="1"/>
      <w:marLeft w:val="0"/>
      <w:marRight w:val="0"/>
      <w:marTop w:val="0"/>
      <w:marBottom w:val="0"/>
      <w:divBdr>
        <w:top w:val="none" w:sz="0" w:space="0" w:color="auto"/>
        <w:left w:val="none" w:sz="0" w:space="0" w:color="auto"/>
        <w:bottom w:val="none" w:sz="0" w:space="0" w:color="auto"/>
        <w:right w:val="none" w:sz="0" w:space="0" w:color="auto"/>
      </w:divBdr>
      <w:divsChild>
        <w:div w:id="196043285">
          <w:marLeft w:val="720"/>
          <w:marRight w:val="0"/>
          <w:marTop w:val="120"/>
          <w:marBottom w:val="120"/>
          <w:divBdr>
            <w:top w:val="none" w:sz="0" w:space="0" w:color="auto"/>
            <w:left w:val="none" w:sz="0" w:space="0" w:color="auto"/>
            <w:bottom w:val="none" w:sz="0" w:space="0" w:color="auto"/>
            <w:right w:val="none" w:sz="0" w:space="0" w:color="auto"/>
          </w:divBdr>
        </w:div>
      </w:divsChild>
    </w:div>
    <w:div w:id="2055041240">
      <w:bodyDiv w:val="1"/>
      <w:marLeft w:val="0"/>
      <w:marRight w:val="0"/>
      <w:marTop w:val="0"/>
      <w:marBottom w:val="0"/>
      <w:divBdr>
        <w:top w:val="none" w:sz="0" w:space="0" w:color="auto"/>
        <w:left w:val="none" w:sz="0" w:space="0" w:color="auto"/>
        <w:bottom w:val="none" w:sz="0" w:space="0" w:color="auto"/>
        <w:right w:val="none" w:sz="0" w:space="0" w:color="auto"/>
      </w:divBdr>
    </w:div>
    <w:div w:id="2093621350">
      <w:bodyDiv w:val="1"/>
      <w:marLeft w:val="0"/>
      <w:marRight w:val="0"/>
      <w:marTop w:val="0"/>
      <w:marBottom w:val="0"/>
      <w:divBdr>
        <w:top w:val="none" w:sz="0" w:space="0" w:color="auto"/>
        <w:left w:val="none" w:sz="0" w:space="0" w:color="auto"/>
        <w:bottom w:val="none" w:sz="0" w:space="0" w:color="auto"/>
        <w:right w:val="none" w:sz="0" w:space="0" w:color="auto"/>
      </w:divBdr>
      <w:divsChild>
        <w:div w:id="1331716223">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C7A9-513D-4B21-B808-37924C59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1934</Words>
  <Characters>11024</Characters>
  <Application>Microsoft Office Word</Application>
  <DocSecurity>0</DocSecurity>
  <Lines>91</Lines>
  <Paragraphs>25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SHOM</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Langlois</dc:creator>
  <cp:lastModifiedBy>YG</cp:lastModifiedBy>
  <cp:revision>2</cp:revision>
  <cp:lastPrinted>2018-03-06T07:24:00Z</cp:lastPrinted>
  <dcterms:created xsi:type="dcterms:W3CDTF">2021-05-14T06:06:00Z</dcterms:created>
  <dcterms:modified xsi:type="dcterms:W3CDTF">2021-05-14T06:06:00Z</dcterms:modified>
</cp:coreProperties>
</file>