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E6A" w14:textId="77777777" w:rsidR="00F548ED" w:rsidRPr="00C33011" w:rsidRDefault="00F548ED" w:rsidP="00256607">
      <w:pPr>
        <w:spacing w:after="0" w:line="240" w:lineRule="auto"/>
        <w:jc w:val="center"/>
        <w:rPr>
          <w:b/>
          <w:sz w:val="24"/>
          <w:szCs w:val="24"/>
        </w:rPr>
      </w:pPr>
    </w:p>
    <w:p w14:paraId="59F71A07" w14:textId="2FB0F972" w:rsidR="00921512" w:rsidRDefault="00921512" w:rsidP="00921512">
      <w:pPr>
        <w:spacing w:after="0" w:line="240" w:lineRule="auto"/>
        <w:jc w:val="center"/>
        <w:rPr>
          <w:b/>
          <w:sz w:val="24"/>
          <w:szCs w:val="24"/>
        </w:rPr>
      </w:pPr>
      <w:r>
        <w:rPr>
          <w:b/>
          <w:sz w:val="24"/>
          <w:szCs w:val="24"/>
        </w:rPr>
        <w:t>1</w:t>
      </w:r>
      <w:r w:rsidR="00887C5A">
        <w:rPr>
          <w:b/>
          <w:sz w:val="24"/>
          <w:szCs w:val="24"/>
        </w:rPr>
        <w:t>9</w:t>
      </w:r>
      <w:r w:rsidRPr="00F7515C">
        <w:rPr>
          <w:b/>
          <w:sz w:val="24"/>
          <w:szCs w:val="24"/>
          <w:vertAlign w:val="superscript"/>
        </w:rPr>
        <w:t>TH</w:t>
      </w:r>
      <w:r>
        <w:rPr>
          <w:b/>
          <w:sz w:val="24"/>
          <w:szCs w:val="24"/>
        </w:rPr>
        <w:t xml:space="preserve"> MEETING OF THE </w:t>
      </w:r>
      <w:proofErr w:type="gramStart"/>
      <w:r>
        <w:rPr>
          <w:b/>
          <w:sz w:val="24"/>
          <w:szCs w:val="24"/>
        </w:rPr>
        <w:t>SOUTH WEST</w:t>
      </w:r>
      <w:proofErr w:type="gramEnd"/>
      <w:r>
        <w:rPr>
          <w:b/>
          <w:sz w:val="24"/>
          <w:szCs w:val="24"/>
        </w:rPr>
        <w:t xml:space="preserve"> PACIFIC HYDROGRAPHIC COMMISSION (SWPHC1</w:t>
      </w:r>
      <w:r w:rsidR="00887C5A">
        <w:rPr>
          <w:b/>
          <w:sz w:val="24"/>
          <w:szCs w:val="24"/>
        </w:rPr>
        <w:t>9</w:t>
      </w:r>
      <w:r>
        <w:rPr>
          <w:b/>
          <w:sz w:val="24"/>
          <w:szCs w:val="24"/>
        </w:rPr>
        <w:t>)</w:t>
      </w:r>
    </w:p>
    <w:p w14:paraId="77AE705B" w14:textId="4AF7D56F" w:rsidR="00921512" w:rsidRDefault="00992164" w:rsidP="00921512">
      <w:pPr>
        <w:spacing w:after="0" w:line="240" w:lineRule="auto"/>
        <w:jc w:val="center"/>
        <w:rPr>
          <w:b/>
          <w:sz w:val="24"/>
          <w:szCs w:val="24"/>
        </w:rPr>
      </w:pPr>
      <w:r>
        <w:rPr>
          <w:b/>
          <w:sz w:val="24"/>
          <w:szCs w:val="24"/>
        </w:rPr>
        <w:t>VTC</w:t>
      </w:r>
      <w:r w:rsidR="0046069F">
        <w:rPr>
          <w:b/>
          <w:sz w:val="24"/>
          <w:szCs w:val="24"/>
        </w:rPr>
        <w:t xml:space="preserve">, </w:t>
      </w:r>
      <w:r w:rsidR="00887C5A">
        <w:rPr>
          <w:b/>
          <w:sz w:val="24"/>
          <w:szCs w:val="24"/>
        </w:rPr>
        <w:t>23</w:t>
      </w:r>
      <w:r w:rsidR="0046069F">
        <w:rPr>
          <w:b/>
          <w:sz w:val="24"/>
          <w:szCs w:val="24"/>
        </w:rPr>
        <w:t>-</w:t>
      </w:r>
      <w:r w:rsidR="00887C5A">
        <w:rPr>
          <w:b/>
          <w:sz w:val="24"/>
          <w:szCs w:val="24"/>
        </w:rPr>
        <w:t>25</w:t>
      </w:r>
      <w:r w:rsidR="0046069F">
        <w:rPr>
          <w:b/>
          <w:sz w:val="24"/>
          <w:szCs w:val="24"/>
        </w:rPr>
        <w:t xml:space="preserve"> February 202</w:t>
      </w:r>
      <w:r w:rsidR="00887C5A">
        <w:rPr>
          <w:b/>
          <w:sz w:val="24"/>
          <w:szCs w:val="24"/>
        </w:rPr>
        <w:t>2</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1724CD9F" w:rsidR="00256607" w:rsidRPr="00C33011" w:rsidRDefault="00C33011" w:rsidP="00256607">
      <w:pPr>
        <w:spacing w:after="0" w:line="240" w:lineRule="auto"/>
        <w:jc w:val="center"/>
        <w:rPr>
          <w:b/>
          <w:sz w:val="24"/>
          <w:szCs w:val="24"/>
        </w:rPr>
      </w:pPr>
      <w:r>
        <w:rPr>
          <w:b/>
          <w:sz w:val="24"/>
          <w:szCs w:val="24"/>
        </w:rPr>
        <w:t>NATIONAL REPORT FROM [</w:t>
      </w:r>
      <w:r>
        <w:rPr>
          <w:i/>
          <w:sz w:val="24"/>
          <w:szCs w:val="24"/>
        </w:rPr>
        <w:t>Name of the Country</w:t>
      </w:r>
      <w:r w:rsidR="00F7515C">
        <w:rPr>
          <w:b/>
          <w:sz w:val="24"/>
          <w:szCs w:val="24"/>
        </w:rPr>
        <w:t xml:space="preserve">] TO THE </w:t>
      </w:r>
      <w:r w:rsidR="00921512">
        <w:rPr>
          <w:b/>
          <w:sz w:val="24"/>
          <w:szCs w:val="24"/>
        </w:rPr>
        <w:t>SWPHC1</w:t>
      </w:r>
      <w:r w:rsidR="00887C5A">
        <w:rPr>
          <w:b/>
          <w:sz w:val="24"/>
          <w:szCs w:val="24"/>
        </w:rPr>
        <w:t>9</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w:t>
        </w:r>
        <w:r w:rsidR="00017FFE" w:rsidRPr="00923889">
          <w:rPr>
            <w:rStyle w:val="Hyperlink"/>
            <w:sz w:val="24"/>
            <w:szCs w:val="24"/>
          </w:rPr>
          <w:t>nnex A</w:t>
        </w:r>
      </w:hyperlink>
      <w:r w:rsidR="00017FFE" w:rsidRPr="00923889">
        <w:rPr>
          <w:color w:val="FF0000"/>
          <w:sz w:val="24"/>
          <w:szCs w:val="24"/>
        </w:rPr>
        <w:t>)</w:t>
      </w:r>
    </w:p>
    <w:p w14:paraId="231603CE" w14:textId="2E7858EF"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w:t>
        </w:r>
        <w:r w:rsidRPr="00923889">
          <w:rPr>
            <w:rStyle w:val="Hyperlink"/>
            <w:sz w:val="24"/>
            <w:szCs w:val="24"/>
          </w:rPr>
          <w:t>n</w:t>
        </w:r>
        <w:r w:rsidRPr="00923889">
          <w:rPr>
            <w:rStyle w:val="Hyperlink"/>
            <w:sz w:val="24"/>
            <w:szCs w:val="24"/>
          </w:rPr>
          <w:t>k</w:t>
        </w:r>
      </w:hyperlink>
    </w:p>
    <w:p w14:paraId="7BA7ED44" w14:textId="4BFD5643" w:rsidR="00923889" w:rsidRDefault="00923889" w:rsidP="00923889">
      <w:pPr>
        <w:pStyle w:val="ListParagraph"/>
        <w:spacing w:after="0" w:line="240" w:lineRule="auto"/>
        <w:jc w:val="both"/>
        <w:rPr>
          <w:rStyle w:val="Hyperlink"/>
          <w:sz w:val="24"/>
          <w:szCs w:val="24"/>
        </w:rPr>
      </w:pPr>
      <w:r>
        <w:rPr>
          <w:sz w:val="24"/>
          <w:szCs w:val="24"/>
        </w:rPr>
        <w:t xml:space="preserve">Online system for C-55 (Status of Surveys and Charting Worldwide): </w:t>
      </w:r>
      <w:hyperlink r:id="rId11" w:history="1">
        <w:r w:rsidRPr="00923889">
          <w:rPr>
            <w:rStyle w:val="Hyperlink"/>
            <w:sz w:val="24"/>
            <w:szCs w:val="24"/>
          </w:rPr>
          <w:t>lin</w:t>
        </w:r>
        <w:r w:rsidRPr="00923889">
          <w:rPr>
            <w:rStyle w:val="Hyperlink"/>
            <w:sz w:val="24"/>
            <w:szCs w:val="24"/>
          </w:rPr>
          <w:t>k</w:t>
        </w:r>
      </w:hyperlink>
    </w:p>
    <w:p w14:paraId="50E3319D" w14:textId="093FE92B" w:rsidR="004904A6" w:rsidRPr="009A2149" w:rsidRDefault="004904A6" w:rsidP="004904A6">
      <w:pPr>
        <w:pStyle w:val="ListParagraph"/>
        <w:numPr>
          <w:ilvl w:val="0"/>
          <w:numId w:val="48"/>
        </w:numPr>
        <w:spacing w:after="0" w:line="240" w:lineRule="auto"/>
        <w:jc w:val="both"/>
        <w:rPr>
          <w:rStyle w:val="Hyperlink"/>
          <w:color w:val="FF0000"/>
          <w:sz w:val="24"/>
          <w:szCs w:val="24"/>
          <w:u w:val="none"/>
        </w:rPr>
      </w:pPr>
      <w:r w:rsidRPr="009A2149">
        <w:rPr>
          <w:rStyle w:val="Hyperlink"/>
          <w:color w:val="auto"/>
          <w:sz w:val="24"/>
          <w:szCs w:val="24"/>
          <w:u w:val="none"/>
        </w:rPr>
        <w:t>IHO Strategic Plan</w:t>
      </w:r>
      <w:r w:rsidR="00ED7690" w:rsidRPr="009A2149">
        <w:rPr>
          <w:rStyle w:val="Hyperlink"/>
          <w:color w:val="auto"/>
          <w:sz w:val="24"/>
          <w:szCs w:val="24"/>
          <w:u w:val="none"/>
        </w:rPr>
        <w:t>:</w:t>
      </w:r>
      <w:r w:rsidR="00ED7690" w:rsidRPr="009A2149">
        <w:rPr>
          <w:rStyle w:val="Hyperlink"/>
          <w:color w:val="auto"/>
          <w:sz w:val="24"/>
          <w:szCs w:val="24"/>
        </w:rPr>
        <w:t xml:space="preserve"> </w:t>
      </w:r>
      <w:hyperlink r:id="rId12" w:history="1">
        <w:r w:rsidR="00ED7690" w:rsidRPr="00ED7690">
          <w:rPr>
            <w:rStyle w:val="Hyperlink"/>
            <w:sz w:val="24"/>
            <w:szCs w:val="24"/>
          </w:rPr>
          <w:t>link</w:t>
        </w:r>
      </w:hyperlink>
    </w:p>
    <w:p w14:paraId="73E0CBD1" w14:textId="5C62611D" w:rsidR="005075E3" w:rsidRPr="00923889" w:rsidRDefault="005075E3" w:rsidP="009A2149">
      <w:pPr>
        <w:pStyle w:val="ListParagraph"/>
        <w:numPr>
          <w:ilvl w:val="0"/>
          <w:numId w:val="48"/>
        </w:numPr>
        <w:spacing w:after="0" w:line="240" w:lineRule="auto"/>
        <w:jc w:val="both"/>
        <w:rPr>
          <w:color w:val="FF0000"/>
          <w:sz w:val="24"/>
          <w:szCs w:val="24"/>
        </w:rPr>
      </w:pPr>
      <w:r w:rsidRPr="009A2149">
        <w:rPr>
          <w:rStyle w:val="Hyperlink"/>
          <w:color w:val="auto"/>
          <w:sz w:val="24"/>
          <w:szCs w:val="24"/>
          <w:u w:val="none"/>
        </w:rPr>
        <w:t xml:space="preserve">IHO IRCC CL 01/2021 </w:t>
      </w:r>
      <w:r w:rsidRPr="009A2149">
        <w:rPr>
          <w:rStyle w:val="Hyperlink"/>
          <w:color w:val="auto"/>
          <w:sz w:val="24"/>
          <w:szCs w:val="24"/>
          <w:u w:val="none"/>
        </w:rPr>
        <w:t>IHO Strategic Plan for 2021-2026 – Procedure for measuring the Strategic Performance Indicator (SPI) allocated to IRCC</w:t>
      </w:r>
      <w:r w:rsidRPr="009A2149">
        <w:rPr>
          <w:rStyle w:val="Hyperlink"/>
          <w:color w:val="auto"/>
          <w:sz w:val="24"/>
          <w:szCs w:val="24"/>
          <w:u w:val="none"/>
        </w:rPr>
        <w:t>:</w:t>
      </w:r>
      <w:r w:rsidRPr="009A2149">
        <w:rPr>
          <w:rStyle w:val="Hyperlink"/>
          <w:color w:val="auto"/>
          <w:sz w:val="24"/>
          <w:szCs w:val="24"/>
        </w:rPr>
        <w:t xml:space="preserve"> </w:t>
      </w:r>
      <w:hyperlink r:id="rId13" w:history="1">
        <w:r w:rsidRPr="005075E3">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24E0D2E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14:paraId="6006AEB2"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xml:space="preserve">, including updates for the IHO Yearbook </w:t>
      </w:r>
      <w:proofErr w:type="gramStart"/>
      <w:r w:rsidR="003B6CB8" w:rsidRPr="00B31FEE">
        <w:rPr>
          <w:i/>
          <w:sz w:val="24"/>
          <w:szCs w:val="24"/>
        </w:rPr>
        <w:t>e.g.</w:t>
      </w:r>
      <w:proofErr w:type="gramEnd"/>
      <w:r w:rsidR="003B6CB8" w:rsidRPr="00B31FEE">
        <w:rPr>
          <w:i/>
          <w:sz w:val="24"/>
          <w:szCs w:val="24"/>
        </w:rPr>
        <w:t xml:space="preserve"> reorganization</w:t>
      </w:r>
      <w:r w:rsidRPr="00B31FEE">
        <w:rPr>
          <w:sz w:val="24"/>
          <w:szCs w:val="24"/>
        </w:rPr>
        <w:t>]</w:t>
      </w:r>
    </w:p>
    <w:p w14:paraId="7B68BBE6"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742368C8"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0D77BE64" w14:textId="77777777"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14:paraId="45CFAE03" w14:textId="77777777"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14:paraId="4B537EF5" w14:textId="77777777"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w:t>
      </w:r>
      <w:proofErr w:type="gramStart"/>
      <w:r w:rsidR="00834CD5">
        <w:rPr>
          <w:sz w:val="24"/>
          <w:szCs w:val="24"/>
        </w:rPr>
        <w:t>gaps</w:t>
      </w:r>
      <w:proofErr w:type="gramEnd"/>
      <w:r w:rsidR="00834CD5">
        <w:rPr>
          <w:sz w:val="24"/>
          <w:szCs w:val="24"/>
        </w:rPr>
        <w:t xml:space="preserve"> and overlaps</w:t>
      </w:r>
    </w:p>
    <w:p w14:paraId="348243A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14:paraId="046A63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00693CA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6047D84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14:paraId="3F42372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Other charts, </w:t>
      </w:r>
      <w:proofErr w:type="gramStart"/>
      <w:r w:rsidRPr="00C33011">
        <w:rPr>
          <w:sz w:val="24"/>
          <w:szCs w:val="24"/>
        </w:rPr>
        <w:t>e.g.</w:t>
      </w:r>
      <w:proofErr w:type="gramEnd"/>
      <w:r w:rsidRPr="00C33011">
        <w:rPr>
          <w:sz w:val="24"/>
          <w:szCs w:val="24"/>
        </w:rPr>
        <w:t xml:space="preserve"> for pleasure craft</w:t>
      </w:r>
    </w:p>
    <w:p w14:paraId="6A4A9CF8" w14:textId="77777777" w:rsidR="003B6CB8" w:rsidRDefault="00834CD5" w:rsidP="00E05067">
      <w:pPr>
        <w:pStyle w:val="ListParagraph"/>
        <w:numPr>
          <w:ilvl w:val="0"/>
          <w:numId w:val="37"/>
        </w:numPr>
        <w:tabs>
          <w:tab w:val="left" w:pos="357"/>
        </w:tabs>
        <w:spacing w:after="0" w:line="240" w:lineRule="auto"/>
        <w:rPr>
          <w:sz w:val="24"/>
          <w:szCs w:val="24"/>
        </w:rPr>
      </w:pPr>
      <w:r>
        <w:rPr>
          <w:sz w:val="24"/>
          <w:szCs w:val="24"/>
        </w:rPr>
        <w:lastRenderedPageBreak/>
        <w:t>Challenges and achievements</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4F0529F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142710EB"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 xml:space="preserve">Means of delivery, </w:t>
      </w:r>
      <w:proofErr w:type="gramStart"/>
      <w:r w:rsidRPr="00C33011">
        <w:rPr>
          <w:sz w:val="24"/>
          <w:szCs w:val="24"/>
        </w:rPr>
        <w:t>e.g.</w:t>
      </w:r>
      <w:proofErr w:type="gramEnd"/>
      <w:r w:rsidRPr="00C33011">
        <w:rPr>
          <w:sz w:val="24"/>
          <w:szCs w:val="24"/>
        </w:rPr>
        <w:t xml:space="preserve"> paper, digital</w:t>
      </w:r>
    </w:p>
    <w:p w14:paraId="39C0BF58" w14:textId="77777777"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3F1280A6" w14:textId="77777777"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14:paraId="43DE496E" w14:textId="77777777"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14:paraId="41B3D4BB"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2AF4E69F" w14:textId="77777777"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4F1A29C1" w14:textId="02A93729" w:rsidR="003B6CB8"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0B5CD87" w14:textId="203C96C2" w:rsidR="00D97056" w:rsidRDefault="00D97056" w:rsidP="004C4803">
      <w:pPr>
        <w:pStyle w:val="ListParagraph"/>
        <w:tabs>
          <w:tab w:val="left" w:pos="357"/>
        </w:tabs>
        <w:spacing w:after="0" w:line="240" w:lineRule="auto"/>
        <w:ind w:left="360"/>
        <w:jc w:val="both"/>
        <w:rPr>
          <w:sz w:val="24"/>
          <w:szCs w:val="24"/>
        </w:rPr>
      </w:pPr>
    </w:p>
    <w:p w14:paraId="7C600C58" w14:textId="77777777" w:rsidR="00BD5D33" w:rsidRDefault="00BD5D33" w:rsidP="004C4803">
      <w:pPr>
        <w:pStyle w:val="ListParagraph"/>
        <w:tabs>
          <w:tab w:val="left" w:pos="357"/>
        </w:tabs>
        <w:spacing w:after="0" w:line="240" w:lineRule="auto"/>
        <w:ind w:left="360"/>
        <w:jc w:val="both"/>
        <w:rPr>
          <w:sz w:val="28"/>
          <w:szCs w:val="28"/>
        </w:rPr>
      </w:pPr>
      <w:r>
        <w:rPr>
          <w:sz w:val="24"/>
          <w:szCs w:val="24"/>
        </w:rPr>
        <w:t>P</w:t>
      </w:r>
      <w:r w:rsidR="005075E3">
        <w:rPr>
          <w:sz w:val="24"/>
          <w:szCs w:val="24"/>
        </w:rPr>
        <w:t xml:space="preserve">lease </w:t>
      </w:r>
      <w:r w:rsidR="006C435E">
        <w:rPr>
          <w:sz w:val="24"/>
          <w:szCs w:val="24"/>
        </w:rPr>
        <w:t xml:space="preserve">provide a table of </w:t>
      </w:r>
      <w:r w:rsidR="00D97056" w:rsidRPr="00D97056">
        <w:rPr>
          <w:sz w:val="24"/>
          <w:szCs w:val="24"/>
        </w:rPr>
        <w:t>navigationally significant areas (e.g.</w:t>
      </w:r>
      <w:r w:rsidR="00D97056">
        <w:rPr>
          <w:sz w:val="24"/>
          <w:szCs w:val="24"/>
        </w:rPr>
        <w:t>,</w:t>
      </w:r>
      <w:r w:rsidR="00D97056" w:rsidRPr="00D97056">
        <w:rPr>
          <w:sz w:val="24"/>
          <w:szCs w:val="24"/>
        </w:rPr>
        <w:t xml:space="preserve"> Charted traffic separation schemes, </w:t>
      </w:r>
      <w:proofErr w:type="gramStart"/>
      <w:r w:rsidR="00D97056" w:rsidRPr="00D97056">
        <w:rPr>
          <w:sz w:val="24"/>
          <w:szCs w:val="24"/>
        </w:rPr>
        <w:t>anchorages</w:t>
      </w:r>
      <w:proofErr w:type="gramEnd"/>
      <w:r w:rsidR="00D97056" w:rsidRPr="00D97056">
        <w:rPr>
          <w:sz w:val="24"/>
          <w:szCs w:val="24"/>
        </w:rPr>
        <w:t xml:space="preserve"> and channels) </w:t>
      </w:r>
      <w:r w:rsidR="007B7B4D">
        <w:rPr>
          <w:sz w:val="24"/>
          <w:szCs w:val="24"/>
        </w:rPr>
        <w:t xml:space="preserve">within your area of jurisdiction. Please reference geographical locations as per largest scale chart. </w:t>
      </w:r>
      <w:r w:rsidR="00B128C5">
        <w:rPr>
          <w:sz w:val="24"/>
          <w:szCs w:val="24"/>
        </w:rPr>
        <w:t xml:space="preserve">This information will be used to derive an </w:t>
      </w:r>
      <w:r w:rsidR="00B128C5" w:rsidRPr="00B128C5">
        <w:rPr>
          <w:sz w:val="24"/>
          <w:szCs w:val="24"/>
        </w:rPr>
        <w:t xml:space="preserve">estimate </w:t>
      </w:r>
      <w:r w:rsidR="00B128C5">
        <w:rPr>
          <w:sz w:val="24"/>
          <w:szCs w:val="24"/>
        </w:rPr>
        <w:t xml:space="preserve">% </w:t>
      </w:r>
      <w:r w:rsidR="00B128C5" w:rsidRPr="00B128C5">
        <w:rPr>
          <w:sz w:val="24"/>
          <w:szCs w:val="24"/>
        </w:rPr>
        <w:t xml:space="preserve">figure for the </w:t>
      </w:r>
      <w:r w:rsidR="00B128C5">
        <w:rPr>
          <w:sz w:val="24"/>
          <w:szCs w:val="24"/>
        </w:rPr>
        <w:t>Region. Examples are provided in the table below.</w:t>
      </w:r>
      <w:r w:rsidRPr="009A2149">
        <w:rPr>
          <w:sz w:val="28"/>
          <w:szCs w:val="28"/>
        </w:rPr>
        <w:t xml:space="preserve"> </w:t>
      </w:r>
    </w:p>
    <w:p w14:paraId="20FEF630" w14:textId="5B3E340F" w:rsidR="00B977FA" w:rsidRDefault="00BD5D33" w:rsidP="004C4803">
      <w:pPr>
        <w:pStyle w:val="ListParagraph"/>
        <w:tabs>
          <w:tab w:val="left" w:pos="357"/>
        </w:tabs>
        <w:spacing w:after="0" w:line="240" w:lineRule="auto"/>
        <w:ind w:left="360"/>
        <w:jc w:val="both"/>
        <w:rPr>
          <w:sz w:val="24"/>
          <w:szCs w:val="24"/>
        </w:rPr>
      </w:pPr>
      <w:r w:rsidRPr="009A2149">
        <w:rPr>
          <w:sz w:val="18"/>
          <w:szCs w:val="18"/>
        </w:rPr>
        <w:t xml:space="preserve">Ref. IHO </w:t>
      </w:r>
      <w:r w:rsidRPr="009A2149">
        <w:rPr>
          <w:sz w:val="18"/>
          <w:szCs w:val="18"/>
        </w:rPr>
        <w:t>Strategic Plan</w:t>
      </w:r>
      <w:r w:rsidRPr="009A2149">
        <w:rPr>
          <w:sz w:val="18"/>
          <w:szCs w:val="18"/>
        </w:rPr>
        <w:t xml:space="preserve">, Goal 1, </w:t>
      </w:r>
      <w:r w:rsidRPr="009A2149">
        <w:rPr>
          <w:sz w:val="18"/>
          <w:szCs w:val="18"/>
        </w:rPr>
        <w:t>Target 1.2, SPI 1.2.2</w:t>
      </w:r>
      <w:r w:rsidRPr="009A2149">
        <w:rPr>
          <w:sz w:val="18"/>
          <w:szCs w:val="18"/>
        </w:rPr>
        <w:t>.</w:t>
      </w:r>
    </w:p>
    <w:p w14:paraId="2B3FC143" w14:textId="008259D1" w:rsidR="00B977FA" w:rsidRDefault="00B977FA" w:rsidP="004C4803">
      <w:pPr>
        <w:pStyle w:val="ListParagraph"/>
        <w:tabs>
          <w:tab w:val="left" w:pos="357"/>
        </w:tabs>
        <w:spacing w:after="0" w:line="240" w:lineRule="auto"/>
        <w:ind w:left="360"/>
        <w:jc w:val="both"/>
        <w:rPr>
          <w:sz w:val="24"/>
          <w:szCs w:val="24"/>
        </w:rPr>
      </w:pPr>
    </w:p>
    <w:tbl>
      <w:tblPr>
        <w:tblStyle w:val="TableGrid"/>
        <w:tblW w:w="8707" w:type="dxa"/>
        <w:tblInd w:w="360" w:type="dxa"/>
        <w:tblLook w:val="04A0" w:firstRow="1" w:lastRow="0" w:firstColumn="1" w:lastColumn="0" w:noHBand="0" w:noVBand="1"/>
      </w:tblPr>
      <w:tblGrid>
        <w:gridCol w:w="3321"/>
        <w:gridCol w:w="3827"/>
        <w:gridCol w:w="1559"/>
        <w:tblGridChange w:id="0">
          <w:tblGrid>
            <w:gridCol w:w="3321"/>
            <w:gridCol w:w="3827"/>
            <w:gridCol w:w="1559"/>
          </w:tblGrid>
        </w:tblGridChange>
      </w:tblGrid>
      <w:tr w:rsidR="003675C7" w14:paraId="497E9D36" w14:textId="77777777" w:rsidTr="009A2149">
        <w:tc>
          <w:tcPr>
            <w:tcW w:w="3321" w:type="dxa"/>
          </w:tcPr>
          <w:p w14:paraId="7D822E67" w14:textId="11887787" w:rsidR="003675C7" w:rsidRPr="009A2149" w:rsidRDefault="003675C7" w:rsidP="004C4803">
            <w:pPr>
              <w:pStyle w:val="ListParagraph"/>
              <w:tabs>
                <w:tab w:val="left" w:pos="357"/>
              </w:tabs>
              <w:spacing w:after="0" w:line="240" w:lineRule="auto"/>
              <w:ind w:left="0"/>
              <w:jc w:val="both"/>
              <w:rPr>
                <w:rFonts w:ascii="Times New Roman" w:hAnsi="Times New Roman"/>
                <w:b/>
                <w:bCs/>
                <w:sz w:val="24"/>
                <w:szCs w:val="24"/>
                <w:lang w:eastAsia="en-US"/>
              </w:rPr>
            </w:pPr>
            <w:r w:rsidRPr="009A2149">
              <w:rPr>
                <w:rFonts w:ascii="Times New Roman" w:hAnsi="Times New Roman"/>
                <w:b/>
                <w:bCs/>
                <w:sz w:val="24"/>
                <w:szCs w:val="24"/>
                <w:lang w:eastAsia="en-US"/>
              </w:rPr>
              <w:t>Navigationally significant area</w:t>
            </w:r>
          </w:p>
        </w:tc>
        <w:tc>
          <w:tcPr>
            <w:tcW w:w="3827" w:type="dxa"/>
          </w:tcPr>
          <w:p w14:paraId="063B1BCF" w14:textId="5217848B" w:rsidR="003675C7" w:rsidRPr="009A2149" w:rsidRDefault="003675C7" w:rsidP="004C4803">
            <w:pPr>
              <w:pStyle w:val="ListParagraph"/>
              <w:tabs>
                <w:tab w:val="left" w:pos="357"/>
              </w:tabs>
              <w:spacing w:after="0" w:line="240" w:lineRule="auto"/>
              <w:ind w:left="0"/>
              <w:jc w:val="both"/>
              <w:rPr>
                <w:rFonts w:ascii="Times New Roman" w:hAnsi="Times New Roman"/>
                <w:b/>
                <w:bCs/>
                <w:sz w:val="24"/>
                <w:szCs w:val="24"/>
                <w:lang w:eastAsia="en-US"/>
              </w:rPr>
            </w:pPr>
            <w:r w:rsidRPr="009A2149">
              <w:rPr>
                <w:rFonts w:ascii="Times New Roman" w:hAnsi="Times New Roman"/>
                <w:b/>
                <w:bCs/>
                <w:sz w:val="24"/>
                <w:szCs w:val="24"/>
                <w:lang w:eastAsia="en-US"/>
              </w:rPr>
              <w:t>Location</w:t>
            </w:r>
          </w:p>
        </w:tc>
        <w:tc>
          <w:tcPr>
            <w:tcW w:w="1559" w:type="dxa"/>
          </w:tcPr>
          <w:p w14:paraId="24A68761" w14:textId="42836006" w:rsidR="003675C7" w:rsidRPr="009A2149" w:rsidRDefault="003675C7" w:rsidP="004C4803">
            <w:pPr>
              <w:pStyle w:val="ListParagraph"/>
              <w:tabs>
                <w:tab w:val="left" w:pos="357"/>
              </w:tabs>
              <w:spacing w:after="0" w:line="240" w:lineRule="auto"/>
              <w:ind w:left="0"/>
              <w:jc w:val="both"/>
              <w:rPr>
                <w:rFonts w:ascii="Times New Roman" w:hAnsi="Times New Roman"/>
                <w:b/>
                <w:bCs/>
                <w:sz w:val="24"/>
                <w:szCs w:val="24"/>
                <w:lang w:eastAsia="en-US"/>
              </w:rPr>
            </w:pPr>
            <w:r w:rsidRPr="009A2149">
              <w:rPr>
                <w:rFonts w:ascii="Times New Roman" w:hAnsi="Times New Roman"/>
                <w:b/>
                <w:bCs/>
                <w:sz w:val="24"/>
                <w:szCs w:val="24"/>
                <w:lang w:eastAsia="en-US"/>
              </w:rPr>
              <w:t>Chart</w:t>
            </w:r>
          </w:p>
        </w:tc>
      </w:tr>
      <w:tr w:rsidR="003675C7" w14:paraId="0162339D" w14:textId="77777777" w:rsidTr="009A2149">
        <w:tc>
          <w:tcPr>
            <w:tcW w:w="3321" w:type="dxa"/>
          </w:tcPr>
          <w:p w14:paraId="70B92524" w14:textId="66168858" w:rsidR="003675C7" w:rsidRPr="009A2149" w:rsidRDefault="003675C7" w:rsidP="004C4803">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Anchorages 1 to 11</w:t>
            </w:r>
          </w:p>
        </w:tc>
        <w:tc>
          <w:tcPr>
            <w:tcW w:w="3827" w:type="dxa"/>
          </w:tcPr>
          <w:p w14:paraId="09D2C92C" w14:textId="4AE3BA81" w:rsidR="003675C7" w:rsidRPr="009A2149" w:rsidRDefault="003675C7" w:rsidP="004C4803">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Hauraki Gulf, Auckland</w:t>
            </w:r>
          </w:p>
        </w:tc>
        <w:tc>
          <w:tcPr>
            <w:tcW w:w="1559" w:type="dxa"/>
          </w:tcPr>
          <w:p w14:paraId="767C5075" w14:textId="51DD429D" w:rsidR="003675C7" w:rsidRPr="009A2149" w:rsidRDefault="003675C7" w:rsidP="004C4803">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NZ 532</w:t>
            </w:r>
          </w:p>
        </w:tc>
      </w:tr>
      <w:tr w:rsidR="003675C7" w14:paraId="525D83F4" w14:textId="77777777" w:rsidTr="009A2149">
        <w:tc>
          <w:tcPr>
            <w:tcW w:w="3321" w:type="dxa"/>
          </w:tcPr>
          <w:p w14:paraId="7AE0D7AB" w14:textId="74C12751" w:rsidR="003675C7" w:rsidRPr="009A2149" w:rsidRDefault="003675C7"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Rangitoto Channel</w:t>
            </w:r>
          </w:p>
        </w:tc>
        <w:tc>
          <w:tcPr>
            <w:tcW w:w="3827" w:type="dxa"/>
          </w:tcPr>
          <w:p w14:paraId="1EBEBDA6" w14:textId="0F0DDAA0" w:rsidR="003675C7" w:rsidRPr="009A2149" w:rsidRDefault="003675C7"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Hauraki Gulf</w:t>
            </w:r>
            <w:r w:rsidRPr="009A2149">
              <w:rPr>
                <w:rFonts w:ascii="Times New Roman" w:hAnsi="Times New Roman"/>
                <w:i/>
                <w:iCs/>
                <w:color w:val="BFBFBF" w:themeColor="background1" w:themeShade="BF"/>
                <w:szCs w:val="20"/>
              </w:rPr>
              <w:t>, Auckland</w:t>
            </w:r>
          </w:p>
        </w:tc>
        <w:tc>
          <w:tcPr>
            <w:tcW w:w="1559" w:type="dxa"/>
          </w:tcPr>
          <w:p w14:paraId="167E4CF8" w14:textId="637C5246" w:rsidR="003675C7" w:rsidRPr="009A2149" w:rsidRDefault="003675C7"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NZ 532</w:t>
            </w:r>
          </w:p>
        </w:tc>
      </w:tr>
      <w:tr w:rsidR="003675C7" w14:paraId="40A302BA" w14:textId="77777777" w:rsidTr="009A2149">
        <w:tc>
          <w:tcPr>
            <w:tcW w:w="3321" w:type="dxa"/>
          </w:tcPr>
          <w:p w14:paraId="7E734649" w14:textId="2A9B7ACE" w:rsidR="003675C7" w:rsidRPr="009A2149" w:rsidRDefault="00AA7479"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Main channel, preferred route</w:t>
            </w:r>
          </w:p>
        </w:tc>
        <w:tc>
          <w:tcPr>
            <w:tcW w:w="3827" w:type="dxa"/>
          </w:tcPr>
          <w:p w14:paraId="275C574E" w14:textId="5ED23823" w:rsidR="003675C7" w:rsidRPr="009A2149" w:rsidRDefault="00AA7479"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Wellington Harbour</w:t>
            </w:r>
          </w:p>
        </w:tc>
        <w:tc>
          <w:tcPr>
            <w:tcW w:w="1559" w:type="dxa"/>
          </w:tcPr>
          <w:p w14:paraId="1C8E1DAF" w14:textId="7D008249" w:rsidR="003675C7" w:rsidRPr="009A2149" w:rsidRDefault="00AA7479" w:rsidP="00DA6698">
            <w:pPr>
              <w:pStyle w:val="ListParagraph"/>
              <w:tabs>
                <w:tab w:val="left" w:pos="357"/>
              </w:tabs>
              <w:spacing w:after="0" w:line="240" w:lineRule="auto"/>
              <w:ind w:left="0"/>
              <w:jc w:val="both"/>
              <w:rPr>
                <w:rFonts w:ascii="Times New Roman" w:hAnsi="Times New Roman"/>
                <w:i/>
                <w:iCs/>
                <w:color w:val="BFBFBF" w:themeColor="background1" w:themeShade="BF"/>
                <w:szCs w:val="20"/>
              </w:rPr>
            </w:pPr>
            <w:r w:rsidRPr="009A2149">
              <w:rPr>
                <w:rFonts w:ascii="Times New Roman" w:hAnsi="Times New Roman"/>
                <w:i/>
                <w:iCs/>
                <w:color w:val="BFBFBF" w:themeColor="background1" w:themeShade="BF"/>
                <w:szCs w:val="20"/>
              </w:rPr>
              <w:t>NZ 4634</w:t>
            </w:r>
          </w:p>
        </w:tc>
      </w:tr>
      <w:tr w:rsidR="00693BE0" w14:paraId="70A9DAA6" w14:textId="77777777" w:rsidTr="003675C7">
        <w:tc>
          <w:tcPr>
            <w:tcW w:w="3321" w:type="dxa"/>
          </w:tcPr>
          <w:p w14:paraId="139E0F3F" w14:textId="7420C4AA" w:rsidR="00693BE0" w:rsidRPr="009A2149" w:rsidRDefault="00693BE0" w:rsidP="00693BE0">
            <w:pPr>
              <w:pStyle w:val="ListParagraph"/>
              <w:tabs>
                <w:tab w:val="left" w:pos="357"/>
              </w:tabs>
              <w:spacing w:after="0" w:line="240" w:lineRule="auto"/>
              <w:ind w:left="0"/>
              <w:jc w:val="both"/>
              <w:rPr>
                <w:rFonts w:ascii="Times New Roman" w:hAnsi="Times New Roman"/>
                <w:szCs w:val="20"/>
                <w:lang w:eastAsia="en-US"/>
              </w:rPr>
            </w:pPr>
            <w:r w:rsidRPr="009A2149">
              <w:rPr>
                <w:rFonts w:ascii="Times New Roman" w:hAnsi="Times New Roman"/>
                <w:szCs w:val="20"/>
                <w:lang w:eastAsia="en-US"/>
              </w:rPr>
              <w:t>…</w:t>
            </w:r>
          </w:p>
        </w:tc>
        <w:tc>
          <w:tcPr>
            <w:tcW w:w="3827" w:type="dxa"/>
          </w:tcPr>
          <w:p w14:paraId="31BBA48D" w14:textId="282598FB" w:rsidR="00693BE0" w:rsidRPr="009A2149" w:rsidRDefault="00693BE0" w:rsidP="00693BE0">
            <w:pPr>
              <w:pStyle w:val="ListParagraph"/>
              <w:tabs>
                <w:tab w:val="left" w:pos="357"/>
              </w:tabs>
              <w:spacing w:after="0" w:line="240" w:lineRule="auto"/>
              <w:ind w:left="0"/>
              <w:jc w:val="both"/>
              <w:rPr>
                <w:rFonts w:ascii="Times New Roman" w:hAnsi="Times New Roman"/>
                <w:szCs w:val="20"/>
                <w:lang w:eastAsia="en-US"/>
              </w:rPr>
            </w:pPr>
            <w:r w:rsidRPr="009A2149">
              <w:rPr>
                <w:rFonts w:ascii="Times New Roman" w:hAnsi="Times New Roman"/>
                <w:szCs w:val="20"/>
                <w:lang w:eastAsia="en-US"/>
              </w:rPr>
              <w:t>…</w:t>
            </w:r>
          </w:p>
        </w:tc>
        <w:tc>
          <w:tcPr>
            <w:tcW w:w="1559" w:type="dxa"/>
          </w:tcPr>
          <w:p w14:paraId="06A485B3" w14:textId="456AAC53" w:rsidR="00693BE0" w:rsidRPr="009A2149" w:rsidRDefault="00693BE0" w:rsidP="00693BE0">
            <w:pPr>
              <w:pStyle w:val="ListParagraph"/>
              <w:tabs>
                <w:tab w:val="left" w:pos="357"/>
              </w:tabs>
              <w:spacing w:after="0" w:line="240" w:lineRule="auto"/>
              <w:ind w:left="0"/>
              <w:jc w:val="both"/>
              <w:rPr>
                <w:rFonts w:ascii="Times New Roman" w:hAnsi="Times New Roman"/>
                <w:szCs w:val="20"/>
                <w:lang w:eastAsia="en-US"/>
              </w:rPr>
            </w:pPr>
            <w:r w:rsidRPr="009A2149">
              <w:rPr>
                <w:rFonts w:ascii="Times New Roman" w:hAnsi="Times New Roman"/>
                <w:szCs w:val="20"/>
                <w:lang w:eastAsia="en-US"/>
              </w:rPr>
              <w:t>…</w:t>
            </w:r>
          </w:p>
        </w:tc>
      </w:tr>
    </w:tbl>
    <w:p w14:paraId="23BC6917" w14:textId="77777777" w:rsidR="00B977FA" w:rsidRDefault="00B977FA" w:rsidP="004C4803">
      <w:pPr>
        <w:pStyle w:val="ListParagraph"/>
        <w:tabs>
          <w:tab w:val="left" w:pos="357"/>
        </w:tabs>
        <w:spacing w:after="0" w:line="240" w:lineRule="auto"/>
        <w:ind w:left="360"/>
        <w:jc w:val="both"/>
        <w:rPr>
          <w:sz w:val="24"/>
          <w:szCs w:val="24"/>
        </w:rPr>
      </w:pPr>
    </w:p>
    <w:p w14:paraId="6649B781" w14:textId="77777777" w:rsidR="00B977FA" w:rsidRDefault="00B977FA" w:rsidP="004C4803">
      <w:pPr>
        <w:pStyle w:val="ListParagraph"/>
        <w:tabs>
          <w:tab w:val="left" w:pos="357"/>
        </w:tabs>
        <w:spacing w:after="0" w:line="240" w:lineRule="auto"/>
        <w:ind w:left="360"/>
        <w:jc w:val="both"/>
        <w:rPr>
          <w:sz w:val="24"/>
          <w:szCs w:val="24"/>
        </w:rPr>
      </w:pPr>
    </w:p>
    <w:p w14:paraId="39C0B7F4" w14:textId="15893200"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77777777"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14:paraId="43902A86"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0CBC2CDA"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w:t>
      </w:r>
      <w:proofErr w:type="gramStart"/>
      <w:r w:rsidRPr="00C33011">
        <w:rPr>
          <w:sz w:val="24"/>
          <w:szCs w:val="24"/>
        </w:rPr>
        <w:t>multilateral</w:t>
      </w:r>
      <w:proofErr w:type="gramEnd"/>
      <w:r w:rsidRPr="00C33011">
        <w:rPr>
          <w:sz w:val="24"/>
          <w:szCs w:val="24"/>
        </w:rPr>
        <w:t xml:space="preserve"> or regional development projects with </w:t>
      </w:r>
      <w:r w:rsidR="00D1378D">
        <w:rPr>
          <w:sz w:val="24"/>
          <w:szCs w:val="24"/>
        </w:rPr>
        <w:t xml:space="preserve">a </w:t>
      </w:r>
      <w:r w:rsidRPr="00C33011">
        <w:rPr>
          <w:sz w:val="24"/>
          <w:szCs w:val="24"/>
        </w:rPr>
        <w:t>hydrographic component. (In progress, planned, under evaluation or study)</w:t>
      </w:r>
    </w:p>
    <w:p w14:paraId="2A115654" w14:textId="5D16109B"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lastRenderedPageBreak/>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6206778E" w14:textId="077F0A8F"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p>
    <w:p w14:paraId="0CA1FD11" w14:textId="7CAFB507"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p>
    <w:p w14:paraId="2D256A4A" w14:textId="00CB26F4"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14:paraId="0F6B5B5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249C1D3B" w14:textId="77777777"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14:paraId="69CEEB9B"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14:paraId="42317B77"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14:paraId="7F5A5C1E"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14:paraId="488CED93" w14:textId="04DBFC3A"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 xml:space="preserve">National implementation of the </w:t>
      </w:r>
      <w:hyperlink r:id="rId14" w:history="1">
        <w:r w:rsidR="00D12D53" w:rsidRPr="00D12D53">
          <w:rPr>
            <w:rStyle w:val="Hyperlink"/>
            <w:sz w:val="24"/>
            <w:szCs w:val="24"/>
          </w:rPr>
          <w:t>UN Statement of Shared Guiding Principles for Geospatial Information Management</w:t>
        </w:r>
      </w:hyperlink>
      <w:r w:rsidR="00D12D53">
        <w:rPr>
          <w:sz w:val="24"/>
          <w:szCs w:val="24"/>
        </w:rPr>
        <w:t xml:space="preserve"> </w:t>
      </w:r>
      <w:r w:rsidRPr="00834CD5">
        <w:rPr>
          <w:sz w:val="24"/>
          <w:szCs w:val="24"/>
        </w:rPr>
        <w:t xml:space="preserve"> – including any national data policy and impact on marine data.</w:t>
      </w:r>
      <w:r w:rsidR="000C67ED">
        <w:rPr>
          <w:sz w:val="24"/>
          <w:szCs w:val="24"/>
        </w:rPr>
        <w:t xml:space="preserve"> </w:t>
      </w:r>
      <w:r w:rsidR="000C67ED" w:rsidRPr="009A2149">
        <w:rPr>
          <w:sz w:val="18"/>
          <w:szCs w:val="18"/>
        </w:rPr>
        <w:t xml:space="preserve">Ref: </w:t>
      </w:r>
      <w:r w:rsidR="000C67ED" w:rsidRPr="009A2149">
        <w:rPr>
          <w:sz w:val="18"/>
          <w:szCs w:val="18"/>
        </w:rPr>
        <w:t>IHO S</w:t>
      </w:r>
      <w:r w:rsidR="000C67ED" w:rsidRPr="009A2149">
        <w:rPr>
          <w:sz w:val="18"/>
          <w:szCs w:val="18"/>
        </w:rPr>
        <w:t xml:space="preserve">trategic </w:t>
      </w:r>
      <w:r w:rsidR="000C67ED" w:rsidRPr="009A2149">
        <w:rPr>
          <w:sz w:val="18"/>
          <w:szCs w:val="18"/>
        </w:rPr>
        <w:t>P</w:t>
      </w:r>
      <w:r w:rsidR="000C67ED" w:rsidRPr="009A2149">
        <w:rPr>
          <w:sz w:val="18"/>
          <w:szCs w:val="18"/>
        </w:rPr>
        <w:t>lan</w:t>
      </w:r>
      <w:r w:rsidR="000C67ED" w:rsidRPr="009A2149">
        <w:rPr>
          <w:sz w:val="18"/>
          <w:szCs w:val="18"/>
        </w:rPr>
        <w:t>, G</w:t>
      </w:r>
      <w:r w:rsidR="000C67ED" w:rsidRPr="009A2149">
        <w:rPr>
          <w:sz w:val="18"/>
          <w:szCs w:val="18"/>
        </w:rPr>
        <w:t xml:space="preserve">oal </w:t>
      </w:r>
      <w:r w:rsidR="000C67ED" w:rsidRPr="009A2149">
        <w:rPr>
          <w:sz w:val="18"/>
          <w:szCs w:val="18"/>
        </w:rPr>
        <w:t>2, T</w:t>
      </w:r>
      <w:r w:rsidR="000C67ED" w:rsidRPr="009A2149">
        <w:rPr>
          <w:sz w:val="18"/>
          <w:szCs w:val="18"/>
        </w:rPr>
        <w:t xml:space="preserve">arget </w:t>
      </w:r>
      <w:r w:rsidR="000C67ED" w:rsidRPr="009A2149">
        <w:rPr>
          <w:sz w:val="18"/>
          <w:szCs w:val="18"/>
        </w:rPr>
        <w:t>2.3, SPI 2.3.1</w:t>
      </w:r>
      <w:r w:rsidR="000C67ED" w:rsidRPr="009A2149">
        <w:rPr>
          <w:sz w:val="18"/>
          <w:szCs w:val="18"/>
        </w:rPr>
        <w:t xml:space="preserve"> </w:t>
      </w:r>
      <w:r w:rsidR="000C67ED" w:rsidRPr="009A2149">
        <w:rPr>
          <w:sz w:val="18"/>
          <w:szCs w:val="18"/>
        </w:rPr>
        <w:t>Number of HOs reporting success applying the principles in their national contexts</w:t>
      </w:r>
      <w:r w:rsidR="000C67ED" w:rsidRPr="009A2149">
        <w:rPr>
          <w:sz w:val="18"/>
          <w:szCs w:val="18"/>
        </w:rPr>
        <w:t>.</w:t>
      </w:r>
    </w:p>
    <w:p w14:paraId="6182F1D9" w14:textId="222ED9D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14:paraId="7784FCAD"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14:paraId="43DE79CD" w14:textId="77777777"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14:paraId="48F3782D" w14:textId="77777777" w:rsidR="00834CD5" w:rsidRPr="00834CD5" w:rsidRDefault="00834CD5" w:rsidP="00834CD5">
      <w:pPr>
        <w:tabs>
          <w:tab w:val="left" w:pos="357"/>
        </w:tabs>
        <w:spacing w:after="0" w:line="240" w:lineRule="auto"/>
        <w:ind w:left="360"/>
        <w:rPr>
          <w:sz w:val="24"/>
          <w:szCs w:val="24"/>
        </w:rPr>
      </w:pPr>
    </w:p>
    <w:p w14:paraId="3F5633DC"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14:paraId="74D08B2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7F76ADA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06F0EE43" w14:textId="77777777"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14:paraId="63F126E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356F40D8"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14:paraId="081763C8" w14:textId="77777777"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14:paraId="045BA3C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14:paraId="4AA7FFDC"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14:paraId="2A0F7596"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39B65808"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235C0160"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14:paraId="1BAD8AE1" w14:textId="77777777"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14:paraId="6BB5ACC2" w14:textId="77777777" w:rsidR="00B642C1" w:rsidRDefault="00B642C1" w:rsidP="00B642C1">
      <w:pPr>
        <w:tabs>
          <w:tab w:val="left" w:pos="357"/>
        </w:tabs>
        <w:spacing w:after="0" w:line="240" w:lineRule="auto"/>
        <w:rPr>
          <w:sz w:val="24"/>
          <w:szCs w:val="24"/>
        </w:rPr>
      </w:pPr>
    </w:p>
    <w:p w14:paraId="33B17235" w14:textId="77777777" w:rsidR="00F50BFC" w:rsidRDefault="00F50BFC"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default" r:id="rId15"/>
          <w:pgSz w:w="11906" w:h="16838" w:code="9"/>
          <w:pgMar w:top="851" w:right="1418" w:bottom="1418" w:left="1418" w:header="709" w:footer="709" w:gutter="0"/>
          <w:cols w:space="708"/>
          <w:docGrid w:linePitch="360"/>
        </w:sectPr>
      </w:pP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49E5B03"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 xml:space="preserve">-Director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887C5A"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887C5A"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887C5A"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proofErr w:type="gramStart"/>
            <w:r w:rsidRPr="0058195A">
              <w:rPr>
                <w:color w:val="000000"/>
                <w:sz w:val="24"/>
                <w:szCs w:val="24"/>
                <w:lang w:val="en-US"/>
              </w:rPr>
              <w:t>informations</w:t>
            </w:r>
            <w:proofErr w:type="spellEnd"/>
            <w:proofErr w:type="gram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6"/>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17"/>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12E2F6B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D80E5D">
        <w:tc>
          <w:tcPr>
            <w:tcW w:w="2552" w:type="dxa"/>
          </w:tcPr>
          <w:p w14:paraId="49083943" w14:textId="77777777" w:rsidR="00B642C1" w:rsidRPr="00B642C1" w:rsidRDefault="00B642C1" w:rsidP="00B642C1">
            <w:pPr>
              <w:spacing w:after="0" w:line="240" w:lineRule="auto"/>
              <w:rPr>
                <w:sz w:val="24"/>
                <w:szCs w:val="24"/>
              </w:rPr>
            </w:pPr>
          </w:p>
        </w:tc>
        <w:tc>
          <w:tcPr>
            <w:tcW w:w="1928" w:type="dxa"/>
            <w:vAlign w:val="center"/>
          </w:tcPr>
          <w:p w14:paraId="5B898E3D" w14:textId="77777777" w:rsidR="00B642C1" w:rsidRPr="00B642C1" w:rsidRDefault="00B642C1" w:rsidP="00B642C1">
            <w:pPr>
              <w:spacing w:after="0" w:line="240" w:lineRule="auto"/>
              <w:rPr>
                <w:sz w:val="24"/>
                <w:szCs w:val="24"/>
              </w:rPr>
            </w:pPr>
          </w:p>
        </w:tc>
        <w:tc>
          <w:tcPr>
            <w:tcW w:w="1928" w:type="dxa"/>
            <w:vAlign w:val="center"/>
          </w:tcPr>
          <w:p w14:paraId="47229E44" w14:textId="77777777" w:rsidR="00B642C1" w:rsidRPr="00B642C1" w:rsidRDefault="00B642C1" w:rsidP="00B642C1">
            <w:pPr>
              <w:spacing w:after="0" w:line="240" w:lineRule="auto"/>
              <w:rPr>
                <w:sz w:val="24"/>
                <w:szCs w:val="24"/>
              </w:rPr>
            </w:pPr>
          </w:p>
        </w:tc>
        <w:tc>
          <w:tcPr>
            <w:tcW w:w="2835" w:type="dxa"/>
            <w:vAlign w:val="center"/>
          </w:tcPr>
          <w:p w14:paraId="161E63F5" w14:textId="77777777" w:rsidR="00B642C1" w:rsidRPr="00B642C1" w:rsidRDefault="00B642C1" w:rsidP="00B642C1">
            <w:pPr>
              <w:spacing w:after="0" w:line="240" w:lineRule="auto"/>
              <w:rPr>
                <w:sz w:val="24"/>
                <w:szCs w:val="24"/>
              </w:rPr>
            </w:pP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 xml:space="preserve">[Specifics of equipment used and software version with date </w:t>
      </w:r>
      <w:proofErr w:type="gramStart"/>
      <w:r w:rsidRPr="00B642C1">
        <w:rPr>
          <w:i/>
          <w:sz w:val="24"/>
          <w:szCs w:val="24"/>
        </w:rPr>
        <w:t>up-dated</w:t>
      </w:r>
      <w:proofErr w:type="gramEnd"/>
      <w:r w:rsidRPr="00B642C1">
        <w:rPr>
          <w:i/>
          <w:sz w:val="24"/>
          <w:szCs w:val="24"/>
        </w:rPr>
        <w:t>]</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1715ED1D" w14:textId="77777777" w:rsidR="00B642C1" w:rsidRPr="00B642C1" w:rsidRDefault="00B642C1" w:rsidP="00B642C1">
      <w:pPr>
        <w:spacing w:after="0" w:line="240" w:lineRule="auto"/>
        <w:rPr>
          <w:sz w:val="24"/>
          <w:szCs w:val="24"/>
        </w:rPr>
      </w:pPr>
    </w:p>
    <w:p w14:paraId="3F362ADB"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 xml:space="preserve">[Provide information regarding contingency plans that have been established and </w:t>
      </w:r>
      <w:proofErr w:type="gramStart"/>
      <w:r w:rsidRPr="00B642C1">
        <w:rPr>
          <w:i/>
          <w:sz w:val="24"/>
          <w:szCs w:val="24"/>
        </w:rPr>
        <w:t>future plans</w:t>
      </w:r>
      <w:proofErr w:type="gramEnd"/>
      <w:r w:rsidRPr="00B642C1">
        <w:rPr>
          <w:i/>
          <w:sz w:val="24"/>
          <w:szCs w:val="24"/>
        </w:rPr>
        <w:t xml:space="preserve">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04EE1CF1" w14:textId="77777777" w:rsidR="00B642C1" w:rsidRPr="00B642C1" w:rsidRDefault="00B642C1" w:rsidP="00B642C1">
      <w:pPr>
        <w:spacing w:after="0" w:line="240" w:lineRule="auto"/>
        <w:rPr>
          <w:sz w:val="24"/>
          <w:szCs w:val="24"/>
        </w:rPr>
      </w:pPr>
    </w:p>
    <w:p w14:paraId="3DD8F589" w14:textId="77777777" w:rsidR="00B642C1" w:rsidRPr="00B642C1" w:rsidRDefault="00B642C1" w:rsidP="00B642C1">
      <w:pPr>
        <w:spacing w:after="0" w:line="240" w:lineRule="auto"/>
        <w:jc w:val="both"/>
        <w:rPr>
          <w:i/>
          <w:sz w:val="24"/>
          <w:szCs w:val="24"/>
        </w:rPr>
      </w:pPr>
      <w:r w:rsidRPr="00B642C1">
        <w:rPr>
          <w:i/>
          <w:sz w:val="24"/>
          <w:szCs w:val="24"/>
        </w:rPr>
        <w:t xml:space="preserve">[Demands for Capacity Building, Training requested or received, any offered, status of national, bilateral, </w:t>
      </w:r>
      <w:proofErr w:type="gramStart"/>
      <w:r w:rsidRPr="00B642C1">
        <w:rPr>
          <w:i/>
          <w:sz w:val="24"/>
          <w:szCs w:val="24"/>
        </w:rPr>
        <w:t>multilateral</w:t>
      </w:r>
      <w:proofErr w:type="gramEnd"/>
      <w:r w:rsidRPr="00B642C1">
        <w:rPr>
          <w:i/>
          <w:sz w:val="24"/>
          <w:szCs w:val="24"/>
        </w:rPr>
        <w:t xml:space="preserve">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33328BBF" w14:textId="77777777" w:rsidR="00B642C1" w:rsidRPr="00B642C1" w:rsidRDefault="00B642C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43B573F1" w14:textId="77777777" w:rsidR="00B642C1" w:rsidRPr="00B642C1" w:rsidRDefault="00B642C1" w:rsidP="00B642C1">
      <w:pPr>
        <w:spacing w:after="0" w:line="240" w:lineRule="auto"/>
        <w:rPr>
          <w:sz w:val="24"/>
          <w:szCs w:val="24"/>
        </w:rPr>
      </w:pPr>
      <w:r w:rsidRPr="00B642C1">
        <w:rPr>
          <w:i/>
          <w:sz w:val="24"/>
          <w:szCs w:val="24"/>
        </w:rPr>
        <w:t>[If any]</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8A7D" w14:textId="77777777" w:rsidR="00D80C6F" w:rsidRDefault="00D80C6F" w:rsidP="00F257C8">
      <w:pPr>
        <w:spacing w:after="0" w:line="240" w:lineRule="auto"/>
      </w:pPr>
      <w:r>
        <w:separator/>
      </w:r>
    </w:p>
  </w:endnote>
  <w:endnote w:type="continuationSeparator" w:id="0">
    <w:p w14:paraId="41D3EC33" w14:textId="77777777" w:rsidR="00D80C6F" w:rsidRDefault="00D80C6F"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A45A" w14:textId="77777777" w:rsidR="00D80C6F" w:rsidRDefault="00D80C6F" w:rsidP="00F257C8">
      <w:pPr>
        <w:spacing w:after="0" w:line="240" w:lineRule="auto"/>
      </w:pPr>
      <w:r>
        <w:separator/>
      </w:r>
    </w:p>
  </w:footnote>
  <w:footnote w:type="continuationSeparator" w:id="0">
    <w:p w14:paraId="607CE43C" w14:textId="77777777" w:rsidR="00D80C6F" w:rsidRDefault="00D80C6F"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6FC6789" w:rsidR="00E26098" w:rsidRPr="00E26098" w:rsidRDefault="00921512" w:rsidP="00F7515C">
          <w:pPr>
            <w:pStyle w:val="Header"/>
            <w:rPr>
              <w:rFonts w:ascii="Times New Roman" w:hAnsi="Times New Roman"/>
              <w:sz w:val="22"/>
            </w:rPr>
          </w:pPr>
          <w:r>
            <w:rPr>
              <w:rFonts w:ascii="Times New Roman" w:hAnsi="Times New Roman"/>
              <w:sz w:val="22"/>
            </w:rPr>
            <w:t>SWPHC1</w:t>
          </w:r>
          <w:r w:rsidR="00887C5A">
            <w:rPr>
              <w:rFonts w:ascii="Times New Roman" w:hAnsi="Times New Roman"/>
              <w:sz w:val="22"/>
            </w:rPr>
            <w:t>9</w:t>
          </w:r>
          <w:r>
            <w:rPr>
              <w:rFonts w:ascii="Times New Roman" w:hAnsi="Times New Roman"/>
              <w:sz w:val="22"/>
            </w:rPr>
            <w:t>-07[</w:t>
          </w:r>
          <w:proofErr w:type="gramStart"/>
          <w:r>
            <w:rPr>
              <w:rFonts w:ascii="Times New Roman" w:hAnsi="Times New Roman"/>
              <w:sz w:val="22"/>
            </w:rPr>
            <w:t>8]</w:t>
          </w:r>
          <w:r w:rsidR="00F7515C">
            <w:rPr>
              <w:rFonts w:ascii="Times New Roman" w:hAnsi="Times New Roman"/>
              <w:sz w:val="22"/>
            </w:rPr>
            <w:t>xx</w:t>
          </w:r>
          <w:proofErr w:type="gramEnd"/>
        </w:p>
      </w:tc>
    </w:tr>
  </w:tbl>
  <w:p w14:paraId="2DE66F70" w14:textId="77777777"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3"/>
  </w:num>
  <w:num w:numId="3">
    <w:abstractNumId w:val="7"/>
  </w:num>
  <w:num w:numId="4">
    <w:abstractNumId w:val="4"/>
  </w:num>
  <w:num w:numId="5">
    <w:abstractNumId w:val="38"/>
  </w:num>
  <w:num w:numId="6">
    <w:abstractNumId w:val="47"/>
  </w:num>
  <w:num w:numId="7">
    <w:abstractNumId w:val="14"/>
  </w:num>
  <w:num w:numId="8">
    <w:abstractNumId w:val="42"/>
  </w:num>
  <w:num w:numId="9">
    <w:abstractNumId w:val="36"/>
  </w:num>
  <w:num w:numId="10">
    <w:abstractNumId w:val="32"/>
  </w:num>
  <w:num w:numId="11">
    <w:abstractNumId w:val="24"/>
  </w:num>
  <w:num w:numId="12">
    <w:abstractNumId w:val="8"/>
  </w:num>
  <w:num w:numId="13">
    <w:abstractNumId w:val="39"/>
  </w:num>
  <w:num w:numId="14">
    <w:abstractNumId w:val="18"/>
  </w:num>
  <w:num w:numId="15">
    <w:abstractNumId w:val="3"/>
  </w:num>
  <w:num w:numId="16">
    <w:abstractNumId w:val="41"/>
  </w:num>
  <w:num w:numId="17">
    <w:abstractNumId w:val="40"/>
  </w:num>
  <w:num w:numId="18">
    <w:abstractNumId w:val="34"/>
  </w:num>
  <w:num w:numId="19">
    <w:abstractNumId w:val="23"/>
  </w:num>
  <w:num w:numId="20">
    <w:abstractNumId w:val="17"/>
  </w:num>
  <w:num w:numId="21">
    <w:abstractNumId w:val="33"/>
  </w:num>
  <w:num w:numId="22">
    <w:abstractNumId w:val="30"/>
  </w:num>
  <w:num w:numId="23">
    <w:abstractNumId w:val="45"/>
  </w:num>
  <w:num w:numId="24">
    <w:abstractNumId w:val="22"/>
  </w:num>
  <w:num w:numId="25">
    <w:abstractNumId w:val="1"/>
  </w:num>
  <w:num w:numId="26">
    <w:abstractNumId w:val="0"/>
  </w:num>
  <w:num w:numId="27">
    <w:abstractNumId w:val="6"/>
  </w:num>
  <w:num w:numId="28">
    <w:abstractNumId w:val="31"/>
  </w:num>
  <w:num w:numId="29">
    <w:abstractNumId w:val="10"/>
  </w:num>
  <w:num w:numId="30">
    <w:abstractNumId w:val="46"/>
  </w:num>
  <w:num w:numId="31">
    <w:abstractNumId w:val="16"/>
  </w:num>
  <w:num w:numId="32">
    <w:abstractNumId w:val="44"/>
  </w:num>
  <w:num w:numId="33">
    <w:abstractNumId w:val="11"/>
  </w:num>
  <w:num w:numId="34">
    <w:abstractNumId w:val="28"/>
  </w:num>
  <w:num w:numId="35">
    <w:abstractNumId w:val="9"/>
  </w:num>
  <w:num w:numId="36">
    <w:abstractNumId w:val="21"/>
  </w:num>
  <w:num w:numId="37">
    <w:abstractNumId w:val="12"/>
  </w:num>
  <w:num w:numId="38">
    <w:abstractNumId w:val="5"/>
  </w:num>
  <w:num w:numId="39">
    <w:abstractNumId w:val="27"/>
  </w:num>
  <w:num w:numId="40">
    <w:abstractNumId w:val="13"/>
  </w:num>
  <w:num w:numId="41">
    <w:abstractNumId w:val="29"/>
  </w:num>
  <w:num w:numId="42">
    <w:abstractNumId w:val="35"/>
  </w:num>
  <w:num w:numId="43">
    <w:abstractNumId w:val="26"/>
  </w:num>
  <w:num w:numId="44">
    <w:abstractNumId w:val="20"/>
  </w:num>
  <w:num w:numId="45">
    <w:abstractNumId w:val="2"/>
  </w:num>
  <w:num w:numId="46">
    <w:abstractNumId w:val="37"/>
  </w:num>
  <w:num w:numId="47">
    <w:abstractNumId w:val="15"/>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C67ED"/>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675C7"/>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04A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075E3"/>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3A8D"/>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3BE0"/>
    <w:rsid w:val="00696868"/>
    <w:rsid w:val="00697F6F"/>
    <w:rsid w:val="006A395A"/>
    <w:rsid w:val="006A5899"/>
    <w:rsid w:val="006B10B2"/>
    <w:rsid w:val="006B11BD"/>
    <w:rsid w:val="006B4EEE"/>
    <w:rsid w:val="006B6520"/>
    <w:rsid w:val="006B7A1B"/>
    <w:rsid w:val="006C435E"/>
    <w:rsid w:val="006C48AC"/>
    <w:rsid w:val="006C6AC0"/>
    <w:rsid w:val="006D2373"/>
    <w:rsid w:val="006D3ECF"/>
    <w:rsid w:val="006D4356"/>
    <w:rsid w:val="006D6D18"/>
    <w:rsid w:val="006E1AC1"/>
    <w:rsid w:val="006E76AE"/>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21E"/>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B7B4D"/>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87C5A"/>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0FA9"/>
    <w:rsid w:val="00941189"/>
    <w:rsid w:val="00941CE7"/>
    <w:rsid w:val="0094410D"/>
    <w:rsid w:val="00946F7C"/>
    <w:rsid w:val="0094773A"/>
    <w:rsid w:val="009521BD"/>
    <w:rsid w:val="0095348C"/>
    <w:rsid w:val="009552C8"/>
    <w:rsid w:val="00956517"/>
    <w:rsid w:val="00962C77"/>
    <w:rsid w:val="0096555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149"/>
    <w:rsid w:val="009A26DB"/>
    <w:rsid w:val="009A34FB"/>
    <w:rsid w:val="009A4DFF"/>
    <w:rsid w:val="009A6E16"/>
    <w:rsid w:val="009B06BF"/>
    <w:rsid w:val="009B105D"/>
    <w:rsid w:val="009B7852"/>
    <w:rsid w:val="009C18BB"/>
    <w:rsid w:val="009D150E"/>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A7479"/>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28C5"/>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977FA"/>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D5D33"/>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2D53"/>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0C6F"/>
    <w:rsid w:val="00D825B0"/>
    <w:rsid w:val="00D83579"/>
    <w:rsid w:val="00D839B0"/>
    <w:rsid w:val="00D83F7F"/>
    <w:rsid w:val="00D86401"/>
    <w:rsid w:val="00D86ADD"/>
    <w:rsid w:val="00D96F2D"/>
    <w:rsid w:val="00D97056"/>
    <w:rsid w:val="00DA3428"/>
    <w:rsid w:val="00DA4B70"/>
    <w:rsid w:val="00DA6140"/>
    <w:rsid w:val="00DA6698"/>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D7690"/>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 w:type="paragraph" w:styleId="Revision">
    <w:name w:val="Revision"/>
    <w:hidden/>
    <w:uiPriority w:val="99"/>
    <w:semiHidden/>
    <w:rsid w:val="00D97056"/>
    <w:rPr>
      <w:szCs w:val="22"/>
      <w:lang w:val="en-GB"/>
    </w:rPr>
  </w:style>
  <w:style w:type="character" w:styleId="UnresolvedMention">
    <w:name w:val="Unresolved Mention"/>
    <w:basedOn w:val="DefaultParagraphFont"/>
    <w:uiPriority w:val="99"/>
    <w:semiHidden/>
    <w:unhideWhenUsed/>
    <w:rsid w:val="00ED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yperlink" Target="https://iho.int/uploads/user/Inter-Regional%20Coordination/IRCC/IRCC_Letters/IRCC_Letter_2021_01_SPI.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ho.int/en/iho-strategic-plan-and-work-program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ho.formstack.com/forms/web_form_p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ho.int/uploads/user/circular_letters/eng_2019/CL20_2019_EN_v1.pdf" TargetMode="External"/><Relationship Id="rId14" Type="http://schemas.openxmlformats.org/officeDocument/2006/relationships/hyperlink" Target="https://ggim.un.org/meetings/GGIM-committee/documents/GGIM5/statement%20of%20shared%20guiding%20principles%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DC9A-359D-45A0-AC66-751052C0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1799</Words>
  <Characters>11189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Stuart Caie</cp:lastModifiedBy>
  <cp:revision>18</cp:revision>
  <cp:lastPrinted>2015-07-14T12:27:00Z</cp:lastPrinted>
  <dcterms:created xsi:type="dcterms:W3CDTF">2020-11-27T14:47:00Z</dcterms:created>
  <dcterms:modified xsi:type="dcterms:W3CDTF">2021-12-20T02:59:00Z</dcterms:modified>
</cp:coreProperties>
</file>