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FE3F3" w14:textId="77777777" w:rsidR="008A02CC" w:rsidRPr="00B1263F" w:rsidRDefault="008A02CC" w:rsidP="008A02CC">
      <w:pPr>
        <w:jc w:val="both"/>
        <w:rPr>
          <w:b/>
          <w:sz w:val="21"/>
          <w:szCs w:val="21"/>
        </w:rPr>
      </w:pPr>
      <w:r>
        <w:rPr>
          <w:b/>
          <w:sz w:val="21"/>
          <w:szCs w:val="21"/>
        </w:rPr>
        <w:t>PRINCIPLES OF THE WEND FOR S-1XX PRODUCTS (WEND-100)</w:t>
      </w:r>
    </w:p>
    <w:p w14:paraId="5FA8C06F" w14:textId="77777777" w:rsidR="008A02CC" w:rsidRPr="00B1263F" w:rsidRDefault="008A02CC" w:rsidP="008A02CC">
      <w:pPr>
        <w:jc w:val="both"/>
        <w:rPr>
          <w:b/>
          <w:sz w:val="21"/>
          <w:szCs w:val="21"/>
        </w:rPr>
      </w:pPr>
    </w:p>
    <w:p w14:paraId="67EB5663" w14:textId="2F130F6D" w:rsidR="008A02CC" w:rsidRDefault="008A02CC" w:rsidP="008A02CC">
      <w:pPr>
        <w:jc w:val="both"/>
        <w:rPr>
          <w:sz w:val="21"/>
          <w:szCs w:val="21"/>
        </w:rPr>
      </w:pPr>
      <w:r w:rsidRPr="00B1263F">
        <w:rPr>
          <w:sz w:val="21"/>
          <w:szCs w:val="21"/>
        </w:rPr>
        <w:t>(</w:t>
      </w:r>
      <w:r>
        <w:rPr>
          <w:sz w:val="21"/>
          <w:szCs w:val="21"/>
        </w:rPr>
        <w:t xml:space="preserve">WEND-100 drafting group, version </w:t>
      </w:r>
      <w:r w:rsidR="006028AE">
        <w:rPr>
          <w:sz w:val="21"/>
          <w:szCs w:val="21"/>
        </w:rPr>
        <w:t>3.</w:t>
      </w:r>
      <w:r w:rsidR="00A66484">
        <w:rPr>
          <w:sz w:val="21"/>
          <w:szCs w:val="21"/>
        </w:rPr>
        <w:t>1</w:t>
      </w:r>
      <w:r w:rsidRPr="00B1263F">
        <w:rPr>
          <w:sz w:val="21"/>
          <w:szCs w:val="21"/>
        </w:rPr>
        <w:t>)</w:t>
      </w:r>
    </w:p>
    <w:p w14:paraId="4A5DFBAA" w14:textId="77777777" w:rsidR="008A02CC" w:rsidRDefault="008A02CC" w:rsidP="008A02CC">
      <w:pPr>
        <w:jc w:val="both"/>
        <w:rPr>
          <w:sz w:val="21"/>
          <w:szCs w:val="21"/>
        </w:rPr>
      </w:pPr>
    </w:p>
    <w:p w14:paraId="128C9196" w14:textId="77777777" w:rsidR="008A02CC" w:rsidRPr="005E31F5" w:rsidRDefault="008A02CC" w:rsidP="008A02CC">
      <w:pPr>
        <w:jc w:val="both"/>
        <w:rPr>
          <w:b/>
          <w:sz w:val="21"/>
          <w:szCs w:val="21"/>
        </w:rPr>
      </w:pPr>
      <w:r w:rsidRPr="005E31F5">
        <w:rPr>
          <w:b/>
          <w:sz w:val="21"/>
          <w:szCs w:val="21"/>
        </w:rPr>
        <w:t>1. Introduction</w:t>
      </w:r>
    </w:p>
    <w:p w14:paraId="35B9DF64" w14:textId="77777777" w:rsidR="008A02CC" w:rsidRPr="00B1263F" w:rsidRDefault="008A02CC" w:rsidP="008A02CC">
      <w:pPr>
        <w:jc w:val="both"/>
        <w:rPr>
          <w:sz w:val="21"/>
          <w:szCs w:val="21"/>
        </w:rPr>
      </w:pPr>
    </w:p>
    <w:p w14:paraId="36BBC623" w14:textId="3FBBCE61" w:rsidR="008A02CC" w:rsidRPr="00956498" w:rsidRDefault="008A02CC" w:rsidP="008A02CC">
      <w:pPr>
        <w:jc w:val="both"/>
        <w:rPr>
          <w:sz w:val="21"/>
          <w:szCs w:val="21"/>
        </w:rPr>
      </w:pPr>
      <w:r w:rsidRPr="000E7735">
        <w:rPr>
          <w:sz w:val="21"/>
          <w:szCs w:val="21"/>
        </w:rPr>
        <w:t>1.</w:t>
      </w:r>
      <w:r>
        <w:rPr>
          <w:sz w:val="21"/>
          <w:szCs w:val="21"/>
        </w:rPr>
        <w:t xml:space="preserve">1. </w:t>
      </w:r>
      <w:r w:rsidRPr="00956498">
        <w:rPr>
          <w:sz w:val="21"/>
          <w:szCs w:val="21"/>
        </w:rPr>
        <w:t xml:space="preserve">The purpose of </w:t>
      </w:r>
      <w:r>
        <w:rPr>
          <w:sz w:val="21"/>
          <w:szCs w:val="21"/>
        </w:rPr>
        <w:t>WEND-100</w:t>
      </w:r>
      <w:r w:rsidRPr="00956498">
        <w:rPr>
          <w:sz w:val="21"/>
          <w:szCs w:val="21"/>
        </w:rPr>
        <w:t xml:space="preserve"> is to ensure a world-wide consistent level of  high-quality, updated official </w:t>
      </w:r>
      <w:r>
        <w:rPr>
          <w:sz w:val="21"/>
          <w:szCs w:val="21"/>
        </w:rPr>
        <w:t xml:space="preserve">‘nautical and hydrographic </w:t>
      </w:r>
      <w:r w:rsidRPr="00956498">
        <w:rPr>
          <w:sz w:val="21"/>
          <w:szCs w:val="21"/>
        </w:rPr>
        <w:t>S-1</w:t>
      </w:r>
      <w:r>
        <w:rPr>
          <w:sz w:val="21"/>
          <w:szCs w:val="21"/>
        </w:rPr>
        <w:t>00</w:t>
      </w:r>
      <w:r w:rsidRPr="00956498">
        <w:rPr>
          <w:sz w:val="21"/>
          <w:szCs w:val="21"/>
        </w:rPr>
        <w:t xml:space="preserve"> </w:t>
      </w:r>
      <w:r>
        <w:rPr>
          <w:sz w:val="21"/>
          <w:szCs w:val="21"/>
        </w:rPr>
        <w:t>based</w:t>
      </w:r>
      <w:r w:rsidRPr="00956498">
        <w:rPr>
          <w:sz w:val="21"/>
          <w:szCs w:val="21"/>
        </w:rPr>
        <w:t xml:space="preserve"> products</w:t>
      </w:r>
      <w:r>
        <w:rPr>
          <w:sz w:val="21"/>
          <w:szCs w:val="21"/>
        </w:rPr>
        <w:t xml:space="preserve"> (S-1XX products)</w:t>
      </w:r>
      <w:r w:rsidR="009077B8">
        <w:rPr>
          <w:rStyle w:val="FootnoteReference"/>
          <w:sz w:val="21"/>
          <w:szCs w:val="21"/>
        </w:rPr>
        <w:footnoteReference w:id="1"/>
      </w:r>
      <w:r>
        <w:rPr>
          <w:sz w:val="21"/>
          <w:szCs w:val="21"/>
        </w:rPr>
        <w:t>’</w:t>
      </w:r>
      <w:r w:rsidRPr="00956498">
        <w:rPr>
          <w:sz w:val="21"/>
          <w:szCs w:val="21"/>
        </w:rPr>
        <w:t xml:space="preserve"> through </w:t>
      </w:r>
      <w:r>
        <w:rPr>
          <w:sz w:val="21"/>
          <w:szCs w:val="21"/>
        </w:rPr>
        <w:t>integrated</w:t>
      </w:r>
      <w:r>
        <w:rPr>
          <w:rStyle w:val="FootnoteReference"/>
          <w:sz w:val="21"/>
          <w:szCs w:val="21"/>
        </w:rPr>
        <w:footnoteReference w:id="2"/>
      </w:r>
      <w:r>
        <w:rPr>
          <w:sz w:val="21"/>
          <w:szCs w:val="21"/>
        </w:rPr>
        <w:t xml:space="preserve"> </w:t>
      </w:r>
      <w:r w:rsidRPr="00956498">
        <w:rPr>
          <w:sz w:val="21"/>
          <w:szCs w:val="21"/>
        </w:rPr>
        <w:t>dissemination services</w:t>
      </w:r>
      <w:r>
        <w:rPr>
          <w:sz w:val="21"/>
          <w:szCs w:val="21"/>
        </w:rPr>
        <w:t xml:space="preserve"> that</w:t>
      </w:r>
      <w:r w:rsidRPr="00956498">
        <w:rPr>
          <w:sz w:val="21"/>
          <w:szCs w:val="21"/>
        </w:rPr>
        <w:t xml:space="preserve"> support </w:t>
      </w:r>
      <w:r>
        <w:rPr>
          <w:sz w:val="21"/>
          <w:szCs w:val="21"/>
        </w:rPr>
        <w:t xml:space="preserve">current and </w:t>
      </w:r>
      <w:r w:rsidRPr="00956498">
        <w:rPr>
          <w:sz w:val="21"/>
          <w:szCs w:val="21"/>
        </w:rPr>
        <w:t xml:space="preserve">future hydrographic carriage requirements of Safety of Life at Sea (SOLAS) Chapter V (SOLAS/V) and </w:t>
      </w:r>
      <w:r>
        <w:rPr>
          <w:sz w:val="21"/>
          <w:szCs w:val="21"/>
        </w:rPr>
        <w:t xml:space="preserve">other </w:t>
      </w:r>
      <w:r w:rsidRPr="00956498">
        <w:rPr>
          <w:sz w:val="21"/>
          <w:szCs w:val="21"/>
        </w:rPr>
        <w:t>requirements of the International Maritime Organization (IMO)</w:t>
      </w:r>
      <w:r>
        <w:rPr>
          <w:sz w:val="21"/>
          <w:szCs w:val="21"/>
        </w:rPr>
        <w:t>, in particular</w:t>
      </w:r>
      <w:r w:rsidRPr="00956498">
        <w:rPr>
          <w:sz w:val="21"/>
          <w:szCs w:val="21"/>
        </w:rPr>
        <w:t xml:space="preserve"> </w:t>
      </w:r>
      <w:r>
        <w:rPr>
          <w:sz w:val="21"/>
          <w:szCs w:val="21"/>
        </w:rPr>
        <w:t xml:space="preserve">the </w:t>
      </w:r>
      <w:r w:rsidRPr="00956498">
        <w:rPr>
          <w:sz w:val="21"/>
          <w:szCs w:val="21"/>
        </w:rPr>
        <w:t xml:space="preserve">Performance Standards for Electronic Chart Display and Information Systems (ECDIS). In addition, </w:t>
      </w:r>
      <w:r>
        <w:rPr>
          <w:sz w:val="21"/>
          <w:szCs w:val="21"/>
        </w:rPr>
        <w:t>the same integrated</w:t>
      </w:r>
      <w:r w:rsidRPr="00956498">
        <w:rPr>
          <w:sz w:val="21"/>
          <w:szCs w:val="21"/>
        </w:rPr>
        <w:t xml:space="preserve"> services should be available for mariners not subject to carriage requirement and the provisions of ECDIS, and </w:t>
      </w:r>
      <w:r>
        <w:rPr>
          <w:sz w:val="21"/>
          <w:szCs w:val="21"/>
        </w:rPr>
        <w:t xml:space="preserve">to all </w:t>
      </w:r>
      <w:r w:rsidRPr="00956498">
        <w:rPr>
          <w:sz w:val="21"/>
          <w:szCs w:val="21"/>
        </w:rPr>
        <w:t xml:space="preserve">other </w:t>
      </w:r>
      <w:r>
        <w:rPr>
          <w:sz w:val="21"/>
          <w:szCs w:val="21"/>
        </w:rPr>
        <w:t xml:space="preserve">users </w:t>
      </w:r>
      <w:r w:rsidRPr="00956498">
        <w:rPr>
          <w:sz w:val="21"/>
          <w:szCs w:val="21"/>
        </w:rPr>
        <w:t xml:space="preserve">supporting maritime activities. </w:t>
      </w:r>
    </w:p>
    <w:p w14:paraId="5CACF924" w14:textId="77777777" w:rsidR="008A02CC" w:rsidRPr="00B1263F" w:rsidRDefault="008A02CC" w:rsidP="008A02CC">
      <w:pPr>
        <w:jc w:val="both"/>
        <w:rPr>
          <w:sz w:val="21"/>
          <w:szCs w:val="21"/>
        </w:rPr>
      </w:pPr>
    </w:p>
    <w:p w14:paraId="72DEBE68" w14:textId="2CE7EEE7" w:rsidR="008A02CC" w:rsidRDefault="008A02CC" w:rsidP="008A02CC">
      <w:pPr>
        <w:jc w:val="both"/>
        <w:rPr>
          <w:sz w:val="21"/>
          <w:szCs w:val="21"/>
        </w:rPr>
      </w:pPr>
      <w:r>
        <w:rPr>
          <w:sz w:val="21"/>
          <w:szCs w:val="21"/>
        </w:rPr>
        <w:t xml:space="preserve">1.2. </w:t>
      </w:r>
      <w:r w:rsidRPr="00B1263F">
        <w:rPr>
          <w:sz w:val="21"/>
          <w:szCs w:val="21"/>
        </w:rPr>
        <w:t>SOLAS/V</w:t>
      </w:r>
      <w:r>
        <w:rPr>
          <w:sz w:val="21"/>
          <w:szCs w:val="21"/>
        </w:rPr>
        <w:t xml:space="preserve"> regulation 9</w:t>
      </w:r>
      <w:r w:rsidRPr="00B1263F">
        <w:rPr>
          <w:sz w:val="21"/>
          <w:szCs w:val="21"/>
        </w:rPr>
        <w:t xml:space="preserve"> requires </w:t>
      </w:r>
      <w:r>
        <w:rPr>
          <w:sz w:val="21"/>
          <w:szCs w:val="21"/>
        </w:rPr>
        <w:t>contracting Governments</w:t>
      </w:r>
      <w:r w:rsidRPr="00B1263F">
        <w:rPr>
          <w:sz w:val="21"/>
          <w:szCs w:val="21"/>
        </w:rPr>
        <w:t xml:space="preserve"> to </w:t>
      </w:r>
      <w:r>
        <w:rPr>
          <w:sz w:val="21"/>
          <w:szCs w:val="21"/>
        </w:rPr>
        <w:t>“arrange for the collection and compilation of hydrographic data and the publication, dissemination and keeping up to date of all nautical information for safe navigation”</w:t>
      </w:r>
      <w:r w:rsidRPr="00B1263F">
        <w:rPr>
          <w:sz w:val="21"/>
          <w:szCs w:val="21"/>
        </w:rPr>
        <w:t xml:space="preserve">. </w:t>
      </w:r>
      <w:r>
        <w:rPr>
          <w:sz w:val="21"/>
          <w:szCs w:val="21"/>
        </w:rPr>
        <w:t xml:space="preserve">For this purpose, </w:t>
      </w:r>
      <w:r w:rsidRPr="006C41DE">
        <w:rPr>
          <w:sz w:val="21"/>
          <w:szCs w:val="21"/>
        </w:rPr>
        <w:t>and taking into account the implementation of maritime services in the context of e-navigation</w:t>
      </w:r>
      <w:r>
        <w:rPr>
          <w:sz w:val="21"/>
          <w:szCs w:val="21"/>
        </w:rPr>
        <w:t>, t</w:t>
      </w:r>
      <w:r w:rsidRPr="00B1263F">
        <w:rPr>
          <w:sz w:val="21"/>
          <w:szCs w:val="21"/>
        </w:rPr>
        <w:t xml:space="preserve">he International Hydrographic Organization (IHO) and partners have developed </w:t>
      </w:r>
      <w:r>
        <w:rPr>
          <w:sz w:val="21"/>
          <w:szCs w:val="21"/>
        </w:rPr>
        <w:t xml:space="preserve">the S-100 Universal Hydrographic Data </w:t>
      </w:r>
      <w:r w:rsidR="00383ADC">
        <w:rPr>
          <w:sz w:val="21"/>
          <w:szCs w:val="21"/>
        </w:rPr>
        <w:t>M</w:t>
      </w:r>
      <w:r>
        <w:rPr>
          <w:sz w:val="21"/>
          <w:szCs w:val="21"/>
        </w:rPr>
        <w:t>odel and S-100</w:t>
      </w:r>
      <w:r w:rsidR="00383ADC">
        <w:rPr>
          <w:sz w:val="21"/>
          <w:szCs w:val="21"/>
        </w:rPr>
        <w:t xml:space="preserve"> products </w:t>
      </w:r>
      <w:r>
        <w:rPr>
          <w:sz w:val="21"/>
          <w:szCs w:val="21"/>
        </w:rPr>
        <w:t xml:space="preserve">specifications to be used </w:t>
      </w:r>
      <w:r w:rsidRPr="00B1263F">
        <w:rPr>
          <w:sz w:val="21"/>
          <w:szCs w:val="21"/>
        </w:rPr>
        <w:t xml:space="preserve">for digital </w:t>
      </w:r>
      <w:r>
        <w:rPr>
          <w:sz w:val="21"/>
          <w:szCs w:val="21"/>
        </w:rPr>
        <w:t xml:space="preserve">nautical and </w:t>
      </w:r>
      <w:r w:rsidRPr="00B1263F">
        <w:rPr>
          <w:sz w:val="21"/>
          <w:szCs w:val="21"/>
        </w:rPr>
        <w:t xml:space="preserve">hydrographic </w:t>
      </w:r>
      <w:r>
        <w:rPr>
          <w:sz w:val="21"/>
          <w:szCs w:val="21"/>
        </w:rPr>
        <w:t xml:space="preserve">S-1XX products </w:t>
      </w:r>
      <w:r w:rsidRPr="00B1263F">
        <w:rPr>
          <w:sz w:val="21"/>
          <w:szCs w:val="21"/>
        </w:rPr>
        <w:t xml:space="preserve">that can functionally replace their analog </w:t>
      </w:r>
      <w:r>
        <w:rPr>
          <w:sz w:val="21"/>
          <w:szCs w:val="21"/>
        </w:rPr>
        <w:t xml:space="preserve">and digital </w:t>
      </w:r>
      <w:r w:rsidRPr="00B1263F">
        <w:rPr>
          <w:sz w:val="21"/>
          <w:szCs w:val="21"/>
        </w:rPr>
        <w:t xml:space="preserve">predecessors. </w:t>
      </w:r>
      <w:r>
        <w:rPr>
          <w:sz w:val="21"/>
          <w:szCs w:val="21"/>
        </w:rPr>
        <w:t xml:space="preserve">The dissemination services encompass reliable, integrated and secure delivery of these S-1XX products </w:t>
      </w:r>
      <w:r w:rsidRPr="006C41DE">
        <w:rPr>
          <w:sz w:val="21"/>
          <w:szCs w:val="21"/>
        </w:rPr>
        <w:t xml:space="preserve">(including their updates) </w:t>
      </w:r>
      <w:r>
        <w:rPr>
          <w:sz w:val="21"/>
          <w:szCs w:val="21"/>
        </w:rPr>
        <w:t>to the end-user</w:t>
      </w:r>
      <w:r w:rsidRPr="00C221A3">
        <w:rPr>
          <w:sz w:val="21"/>
          <w:szCs w:val="21"/>
        </w:rPr>
        <w:t xml:space="preserve"> </w:t>
      </w:r>
      <w:r>
        <w:rPr>
          <w:sz w:val="21"/>
          <w:szCs w:val="21"/>
        </w:rPr>
        <w:t xml:space="preserve">as part of “publication, dissemination and keeping up to date of all nautical information”. </w:t>
      </w:r>
      <w:r w:rsidRPr="00B1263F">
        <w:rPr>
          <w:sz w:val="21"/>
          <w:szCs w:val="21"/>
        </w:rPr>
        <w:t xml:space="preserve"> </w:t>
      </w:r>
    </w:p>
    <w:p w14:paraId="663B7DEF" w14:textId="77777777" w:rsidR="008A02CC" w:rsidRDefault="008A02CC" w:rsidP="008A02CC">
      <w:pPr>
        <w:jc w:val="both"/>
        <w:rPr>
          <w:sz w:val="21"/>
          <w:szCs w:val="21"/>
        </w:rPr>
      </w:pPr>
    </w:p>
    <w:p w14:paraId="135B383B" w14:textId="77777777" w:rsidR="008A02CC" w:rsidRPr="00B1263F" w:rsidRDefault="008A02CC" w:rsidP="008A02CC">
      <w:pPr>
        <w:jc w:val="both"/>
        <w:rPr>
          <w:b/>
          <w:sz w:val="21"/>
          <w:szCs w:val="21"/>
        </w:rPr>
      </w:pPr>
      <w:r>
        <w:rPr>
          <w:b/>
          <w:sz w:val="21"/>
          <w:szCs w:val="21"/>
        </w:rPr>
        <w:t xml:space="preserve">2. </w:t>
      </w:r>
      <w:r w:rsidRPr="00B1263F">
        <w:rPr>
          <w:b/>
          <w:sz w:val="21"/>
          <w:szCs w:val="21"/>
        </w:rPr>
        <w:t>Applicability</w:t>
      </w:r>
    </w:p>
    <w:p w14:paraId="2D88F352" w14:textId="77777777" w:rsidR="008A02CC" w:rsidRDefault="008A02CC" w:rsidP="008A02CC">
      <w:pPr>
        <w:jc w:val="both"/>
        <w:rPr>
          <w:color w:val="000000"/>
          <w:kern w:val="24"/>
          <w:sz w:val="21"/>
          <w:szCs w:val="21"/>
        </w:rPr>
      </w:pPr>
    </w:p>
    <w:p w14:paraId="79EB59FE" w14:textId="58C4EB6F" w:rsidR="008A02CC" w:rsidRDefault="008A02CC" w:rsidP="008A02CC">
      <w:pPr>
        <w:jc w:val="both"/>
        <w:rPr>
          <w:sz w:val="21"/>
          <w:szCs w:val="21"/>
        </w:rPr>
      </w:pPr>
      <w:r>
        <w:rPr>
          <w:color w:val="000000"/>
          <w:kern w:val="24"/>
          <w:sz w:val="21"/>
          <w:szCs w:val="21"/>
        </w:rPr>
        <w:t xml:space="preserve">2.1. The WEND-100 principles are aimed at those S-1XX products that are under the purview of the IHO, for </w:t>
      </w:r>
      <w:r w:rsidRPr="00976DA2">
        <w:rPr>
          <w:color w:val="000000"/>
          <w:kern w:val="24"/>
          <w:sz w:val="21"/>
          <w:szCs w:val="21"/>
        </w:rPr>
        <w:t>instance</w:t>
      </w:r>
      <w:r>
        <w:rPr>
          <w:color w:val="000000"/>
          <w:kern w:val="24"/>
          <w:sz w:val="21"/>
          <w:szCs w:val="21"/>
        </w:rPr>
        <w:t xml:space="preserve"> those </w:t>
      </w:r>
      <w:r w:rsidRPr="00A035BA">
        <w:rPr>
          <w:sz w:val="21"/>
          <w:szCs w:val="21"/>
        </w:rPr>
        <w:t xml:space="preserve">to be provided </w:t>
      </w:r>
      <w:r w:rsidRPr="005E31F5">
        <w:rPr>
          <w:sz w:val="21"/>
          <w:szCs w:val="21"/>
        </w:rPr>
        <w:t xml:space="preserve">as part of the </w:t>
      </w:r>
      <w:r>
        <w:rPr>
          <w:sz w:val="21"/>
          <w:szCs w:val="21"/>
        </w:rPr>
        <w:t>m</w:t>
      </w:r>
      <w:r w:rsidRPr="005E31F5">
        <w:rPr>
          <w:sz w:val="21"/>
          <w:szCs w:val="21"/>
        </w:rPr>
        <w:t xml:space="preserve">aritime </w:t>
      </w:r>
      <w:r>
        <w:rPr>
          <w:sz w:val="21"/>
          <w:szCs w:val="21"/>
        </w:rPr>
        <w:t>s</w:t>
      </w:r>
      <w:r w:rsidRPr="005E31F5">
        <w:rPr>
          <w:sz w:val="21"/>
          <w:szCs w:val="21"/>
        </w:rPr>
        <w:t>ervice</w:t>
      </w:r>
      <w:r>
        <w:rPr>
          <w:sz w:val="21"/>
          <w:szCs w:val="21"/>
        </w:rPr>
        <w:t>s</w:t>
      </w:r>
      <w:r w:rsidRPr="005E31F5">
        <w:rPr>
          <w:sz w:val="21"/>
          <w:szCs w:val="21"/>
        </w:rPr>
        <w:t xml:space="preserve"> </w:t>
      </w:r>
      <w:r w:rsidRPr="006A1BA3">
        <w:rPr>
          <w:sz w:val="21"/>
          <w:szCs w:val="21"/>
        </w:rPr>
        <w:t xml:space="preserve">in </w:t>
      </w:r>
      <w:r>
        <w:rPr>
          <w:sz w:val="21"/>
          <w:szCs w:val="21"/>
        </w:rPr>
        <w:t xml:space="preserve">the </w:t>
      </w:r>
      <w:r w:rsidRPr="006A1BA3">
        <w:rPr>
          <w:sz w:val="21"/>
          <w:szCs w:val="21"/>
        </w:rPr>
        <w:t>context of e-Navigation</w:t>
      </w:r>
      <w:r>
        <w:rPr>
          <w:sz w:val="21"/>
          <w:szCs w:val="21"/>
        </w:rPr>
        <w:t xml:space="preserve"> of </w:t>
      </w:r>
      <w:r w:rsidRPr="0041634C">
        <w:rPr>
          <w:sz w:val="21"/>
          <w:szCs w:val="21"/>
        </w:rPr>
        <w:t>the IMO e-</w:t>
      </w:r>
      <w:r w:rsidRPr="006028AE">
        <w:rPr>
          <w:color w:val="000000"/>
          <w:kern w:val="24"/>
          <w:sz w:val="21"/>
          <w:szCs w:val="21"/>
        </w:rPr>
        <w:t>Navigation Strategy</w:t>
      </w:r>
      <w:r w:rsidRPr="002472D1">
        <w:rPr>
          <w:rStyle w:val="FootnoteReference"/>
          <w:sz w:val="21"/>
          <w:szCs w:val="21"/>
        </w:rPr>
        <w:footnoteReference w:id="3"/>
      </w:r>
      <w:r w:rsidR="002472D1" w:rsidRPr="006028AE">
        <w:rPr>
          <w:rStyle w:val="FootnoteReference"/>
        </w:rPr>
        <w:t xml:space="preserve"> </w:t>
      </w:r>
      <w:r w:rsidR="002472D1" w:rsidRPr="006028AE">
        <w:rPr>
          <w:color w:val="000000"/>
          <w:kern w:val="24"/>
          <w:sz w:val="21"/>
          <w:szCs w:val="21"/>
        </w:rPr>
        <w:t>including support to route monitoring and voyage planning</w:t>
      </w:r>
      <w:r w:rsidRPr="006028AE">
        <w:rPr>
          <w:color w:val="000000"/>
          <w:kern w:val="24"/>
          <w:sz w:val="21"/>
          <w:szCs w:val="21"/>
        </w:rPr>
        <w:t>. This does</w:t>
      </w:r>
      <w:r>
        <w:rPr>
          <w:sz w:val="21"/>
          <w:szCs w:val="21"/>
        </w:rPr>
        <w:t xml:space="preserve"> not, however, preclude other </w:t>
      </w:r>
      <w:r w:rsidR="004551CD">
        <w:rPr>
          <w:sz w:val="21"/>
          <w:szCs w:val="21"/>
        </w:rPr>
        <w:t xml:space="preserve">S-100 based </w:t>
      </w:r>
      <w:r>
        <w:rPr>
          <w:sz w:val="21"/>
          <w:szCs w:val="21"/>
        </w:rPr>
        <w:t>products to align with these principles, for instance those under purview of the WMO.</w:t>
      </w:r>
    </w:p>
    <w:p w14:paraId="54E850DF" w14:textId="77777777" w:rsidR="008A02CC" w:rsidRDefault="008A02CC" w:rsidP="008A02CC">
      <w:pPr>
        <w:jc w:val="both"/>
        <w:rPr>
          <w:color w:val="000000"/>
          <w:kern w:val="24"/>
          <w:sz w:val="21"/>
          <w:szCs w:val="21"/>
        </w:rPr>
      </w:pPr>
    </w:p>
    <w:p w14:paraId="6F734E8E" w14:textId="1588E129" w:rsidR="008A02CC" w:rsidRPr="00C57A1B" w:rsidRDefault="008A02CC" w:rsidP="008A02CC">
      <w:pPr>
        <w:jc w:val="both"/>
        <w:rPr>
          <w:color w:val="000000"/>
          <w:kern w:val="24"/>
          <w:sz w:val="21"/>
          <w:szCs w:val="21"/>
        </w:rPr>
      </w:pPr>
      <w:r>
        <w:rPr>
          <w:color w:val="000000"/>
          <w:kern w:val="24"/>
          <w:sz w:val="21"/>
          <w:szCs w:val="21"/>
        </w:rPr>
        <w:t>2.2. The framework for the WEND-100 principles</w:t>
      </w:r>
      <w:r w:rsidRPr="00995A00">
        <w:rPr>
          <w:color w:val="000000"/>
          <w:kern w:val="24"/>
          <w:sz w:val="21"/>
          <w:szCs w:val="21"/>
        </w:rPr>
        <w:t xml:space="preserve"> </w:t>
      </w:r>
      <w:r>
        <w:rPr>
          <w:color w:val="000000"/>
          <w:kern w:val="24"/>
          <w:sz w:val="21"/>
          <w:szCs w:val="21"/>
        </w:rPr>
        <w:t xml:space="preserve">is provided by </w:t>
      </w:r>
      <w:r w:rsidR="001C17CA">
        <w:rPr>
          <w:color w:val="000000"/>
          <w:kern w:val="24"/>
          <w:sz w:val="21"/>
          <w:szCs w:val="21"/>
        </w:rPr>
        <w:t>this resolution</w:t>
      </w:r>
      <w:r>
        <w:rPr>
          <w:color w:val="000000"/>
          <w:kern w:val="24"/>
          <w:sz w:val="21"/>
          <w:szCs w:val="21"/>
        </w:rPr>
        <w:t>. S</w:t>
      </w:r>
      <w:r w:rsidRPr="000E1CAB">
        <w:rPr>
          <w:color w:val="000000"/>
          <w:kern w:val="24"/>
          <w:sz w:val="21"/>
          <w:szCs w:val="21"/>
        </w:rPr>
        <w:t>ubject to the characteristics and maturity</w:t>
      </w:r>
      <w:r>
        <w:rPr>
          <w:rStyle w:val="FootnoteReference"/>
          <w:sz w:val="21"/>
          <w:szCs w:val="21"/>
        </w:rPr>
        <w:footnoteReference w:id="4"/>
      </w:r>
      <w:r w:rsidRPr="000E1CAB">
        <w:rPr>
          <w:color w:val="000000"/>
          <w:kern w:val="24"/>
          <w:sz w:val="21"/>
          <w:szCs w:val="21"/>
        </w:rPr>
        <w:t>of the S-1XX products</w:t>
      </w:r>
      <w:r w:rsidR="00AB484D">
        <w:rPr>
          <w:color w:val="000000"/>
          <w:kern w:val="24"/>
          <w:sz w:val="21"/>
          <w:szCs w:val="21"/>
        </w:rPr>
        <w:t>,</w:t>
      </w:r>
      <w:r w:rsidRPr="000E1CAB">
        <w:rPr>
          <w:color w:val="000000"/>
          <w:kern w:val="24"/>
          <w:sz w:val="21"/>
          <w:szCs w:val="21"/>
        </w:rPr>
        <w:t xml:space="preserve"> specifications </w:t>
      </w:r>
      <w:r>
        <w:rPr>
          <w:color w:val="000000"/>
          <w:kern w:val="24"/>
          <w:sz w:val="21"/>
          <w:szCs w:val="21"/>
        </w:rPr>
        <w:t>a</w:t>
      </w:r>
      <w:r w:rsidRPr="000E1CAB">
        <w:rPr>
          <w:color w:val="000000"/>
          <w:kern w:val="24"/>
          <w:sz w:val="21"/>
          <w:szCs w:val="21"/>
        </w:rPr>
        <w:t xml:space="preserve"> transitional approach is used to apply th</w:t>
      </w:r>
      <w:r>
        <w:rPr>
          <w:color w:val="000000"/>
          <w:kern w:val="24"/>
          <w:sz w:val="21"/>
          <w:szCs w:val="21"/>
        </w:rPr>
        <w:t>ose</w:t>
      </w:r>
      <w:r w:rsidRPr="000E1CAB">
        <w:rPr>
          <w:color w:val="000000"/>
          <w:kern w:val="24"/>
          <w:sz w:val="21"/>
          <w:szCs w:val="21"/>
        </w:rPr>
        <w:t xml:space="preserve"> WEND-100 principles</w:t>
      </w:r>
      <w:r>
        <w:rPr>
          <w:color w:val="000000"/>
          <w:kern w:val="24"/>
          <w:sz w:val="21"/>
          <w:szCs w:val="21"/>
        </w:rPr>
        <w:t xml:space="preserve"> to S-1XX products. </w:t>
      </w:r>
    </w:p>
    <w:p w14:paraId="35998BBB" w14:textId="77777777" w:rsidR="008A02CC" w:rsidRDefault="008A02CC" w:rsidP="008A02CC">
      <w:pPr>
        <w:jc w:val="both"/>
        <w:rPr>
          <w:color w:val="000000"/>
          <w:kern w:val="24"/>
          <w:sz w:val="21"/>
          <w:szCs w:val="21"/>
        </w:rPr>
      </w:pPr>
    </w:p>
    <w:p w14:paraId="5E925F5F" w14:textId="41C06F82" w:rsidR="008A02CC" w:rsidRPr="00D41A19" w:rsidRDefault="007656FC" w:rsidP="008A02CC">
      <w:pPr>
        <w:pStyle w:val="ListParagraph"/>
        <w:numPr>
          <w:ilvl w:val="0"/>
          <w:numId w:val="23"/>
        </w:numPr>
        <w:ind w:left="357" w:hanging="357"/>
        <w:jc w:val="both"/>
        <w:rPr>
          <w:color w:val="000000"/>
          <w:kern w:val="24"/>
          <w:sz w:val="21"/>
          <w:szCs w:val="21"/>
        </w:rPr>
      </w:pPr>
      <w:r>
        <w:rPr>
          <w:sz w:val="21"/>
          <w:szCs w:val="21"/>
        </w:rPr>
        <w:t>T</w:t>
      </w:r>
      <w:r w:rsidR="008A02CC" w:rsidRPr="00D41A19">
        <w:rPr>
          <w:color w:val="000000"/>
          <w:kern w:val="24"/>
          <w:sz w:val="21"/>
          <w:szCs w:val="21"/>
        </w:rPr>
        <w:t>he full extent of the WEND-100 principles</w:t>
      </w:r>
      <w:r w:rsidR="008A02CC" w:rsidRPr="00D41A19">
        <w:rPr>
          <w:sz w:val="21"/>
          <w:szCs w:val="21"/>
        </w:rPr>
        <w:t xml:space="preserve"> applies to the production and the dissemination of S-101</w:t>
      </w:r>
      <w:r w:rsidR="008A02CC">
        <w:rPr>
          <w:sz w:val="21"/>
          <w:szCs w:val="21"/>
        </w:rPr>
        <w:t xml:space="preserve"> </w:t>
      </w:r>
      <w:r w:rsidR="008A02CC" w:rsidRPr="00D41A19">
        <w:rPr>
          <w:sz w:val="21"/>
          <w:szCs w:val="21"/>
        </w:rPr>
        <w:t xml:space="preserve">ENCs. Until the </w:t>
      </w:r>
      <w:r w:rsidR="00AB484D">
        <w:rPr>
          <w:sz w:val="21"/>
          <w:szCs w:val="21"/>
        </w:rPr>
        <w:t>full retirement</w:t>
      </w:r>
      <w:r w:rsidR="008A02CC" w:rsidRPr="00D41A19">
        <w:rPr>
          <w:sz w:val="21"/>
          <w:szCs w:val="21"/>
        </w:rPr>
        <w:t xml:space="preserve"> of the earlier S-57 ENCs, the existing WEND principles will continue to apply for S57-ENCs</w:t>
      </w:r>
      <w:r w:rsidR="008A02CC" w:rsidRPr="00D41A19">
        <w:rPr>
          <w:rStyle w:val="FootnoteReference"/>
          <w:sz w:val="21"/>
          <w:szCs w:val="21"/>
        </w:rPr>
        <w:footnoteReference w:id="5"/>
      </w:r>
      <w:r w:rsidR="008A02CC" w:rsidRPr="00D41A19">
        <w:rPr>
          <w:rStyle w:val="FootnoteReference"/>
        </w:rPr>
        <w:t xml:space="preserve"> </w:t>
      </w:r>
      <w:r w:rsidR="008A02CC" w:rsidRPr="00D41A19">
        <w:rPr>
          <w:sz w:val="21"/>
          <w:szCs w:val="21"/>
        </w:rPr>
        <w:t>and these WEND-100 principles will apply for S-101 ENCs</w:t>
      </w:r>
      <w:r w:rsidR="00663AE4">
        <w:rPr>
          <w:rStyle w:val="FootnoteReference"/>
          <w:sz w:val="21"/>
          <w:szCs w:val="21"/>
        </w:rPr>
        <w:footnoteReference w:id="6"/>
      </w:r>
      <w:r w:rsidR="008A02CC" w:rsidRPr="00D41A19">
        <w:rPr>
          <w:color w:val="000000"/>
          <w:kern w:val="24"/>
          <w:sz w:val="21"/>
          <w:szCs w:val="21"/>
        </w:rPr>
        <w:t>.</w:t>
      </w:r>
    </w:p>
    <w:p w14:paraId="3061A291" w14:textId="77777777" w:rsidR="008A02CC" w:rsidRDefault="008A02CC" w:rsidP="008A02CC">
      <w:pPr>
        <w:jc w:val="both"/>
        <w:rPr>
          <w:color w:val="000000"/>
          <w:kern w:val="24"/>
          <w:sz w:val="21"/>
          <w:szCs w:val="21"/>
        </w:rPr>
      </w:pPr>
    </w:p>
    <w:p w14:paraId="09AA930A" w14:textId="77777777" w:rsidR="00F047DB" w:rsidRDefault="008A02CC">
      <w:pPr>
        <w:pStyle w:val="ListParagraph"/>
        <w:numPr>
          <w:ilvl w:val="0"/>
          <w:numId w:val="23"/>
        </w:numPr>
        <w:jc w:val="both"/>
        <w:rPr>
          <w:color w:val="000000"/>
          <w:kern w:val="24"/>
          <w:sz w:val="21"/>
          <w:szCs w:val="21"/>
        </w:rPr>
      </w:pPr>
      <w:r>
        <w:rPr>
          <w:color w:val="000000"/>
          <w:kern w:val="24"/>
          <w:sz w:val="21"/>
          <w:szCs w:val="21"/>
        </w:rPr>
        <w:t xml:space="preserve">Incrementally </w:t>
      </w:r>
      <w:r w:rsidR="007656FC">
        <w:rPr>
          <w:color w:val="000000"/>
          <w:kern w:val="24"/>
          <w:sz w:val="21"/>
          <w:szCs w:val="21"/>
        </w:rPr>
        <w:t xml:space="preserve">the full extent or </w:t>
      </w:r>
      <w:r>
        <w:rPr>
          <w:color w:val="000000"/>
          <w:kern w:val="24"/>
          <w:sz w:val="21"/>
          <w:szCs w:val="21"/>
        </w:rPr>
        <w:t xml:space="preserve">specific sets of the </w:t>
      </w:r>
      <w:r w:rsidRPr="002B605C">
        <w:rPr>
          <w:color w:val="000000"/>
          <w:kern w:val="24"/>
          <w:sz w:val="21"/>
          <w:szCs w:val="21"/>
        </w:rPr>
        <w:t xml:space="preserve">WEND-100 Principles </w:t>
      </w:r>
      <w:r>
        <w:rPr>
          <w:color w:val="000000"/>
          <w:kern w:val="24"/>
          <w:sz w:val="21"/>
          <w:szCs w:val="21"/>
        </w:rPr>
        <w:t xml:space="preserve">will </w:t>
      </w:r>
      <w:r w:rsidRPr="002B605C">
        <w:rPr>
          <w:color w:val="000000"/>
          <w:kern w:val="24"/>
          <w:sz w:val="21"/>
          <w:szCs w:val="21"/>
        </w:rPr>
        <w:t xml:space="preserve">apply to </w:t>
      </w:r>
      <w:r>
        <w:rPr>
          <w:color w:val="000000"/>
          <w:kern w:val="24"/>
          <w:sz w:val="21"/>
          <w:szCs w:val="21"/>
        </w:rPr>
        <w:t xml:space="preserve">the </w:t>
      </w:r>
      <w:r w:rsidRPr="002B605C">
        <w:rPr>
          <w:color w:val="000000"/>
          <w:kern w:val="24"/>
          <w:sz w:val="21"/>
          <w:szCs w:val="21"/>
        </w:rPr>
        <w:t>other S-1XX products</w:t>
      </w:r>
      <w:r>
        <w:rPr>
          <w:color w:val="000000"/>
          <w:kern w:val="24"/>
          <w:sz w:val="21"/>
          <w:szCs w:val="21"/>
        </w:rPr>
        <w:t xml:space="preserve">. </w:t>
      </w:r>
    </w:p>
    <w:p w14:paraId="733A8192" w14:textId="77777777" w:rsidR="00F047DB" w:rsidRPr="001E0B9B" w:rsidRDefault="00F047DB" w:rsidP="001E0B9B">
      <w:pPr>
        <w:pStyle w:val="ListParagraph"/>
        <w:rPr>
          <w:color w:val="000000"/>
          <w:kern w:val="24"/>
          <w:sz w:val="21"/>
          <w:szCs w:val="21"/>
        </w:rPr>
      </w:pPr>
    </w:p>
    <w:p w14:paraId="2CA67376" w14:textId="158E8236" w:rsidR="008A02CC" w:rsidRPr="006028AE" w:rsidRDefault="002076DB" w:rsidP="006028AE">
      <w:pPr>
        <w:jc w:val="both"/>
        <w:rPr>
          <w:color w:val="000000"/>
          <w:kern w:val="24"/>
          <w:sz w:val="21"/>
          <w:szCs w:val="21"/>
        </w:rPr>
      </w:pPr>
      <w:r>
        <w:rPr>
          <w:color w:val="000000"/>
          <w:kern w:val="24"/>
          <w:sz w:val="21"/>
          <w:szCs w:val="21"/>
        </w:rPr>
        <w:lastRenderedPageBreak/>
        <w:t>2.3</w:t>
      </w:r>
      <w:r w:rsidR="003005A0">
        <w:rPr>
          <w:color w:val="000000"/>
          <w:kern w:val="24"/>
          <w:sz w:val="21"/>
          <w:szCs w:val="21"/>
        </w:rPr>
        <w:t>.</w:t>
      </w:r>
      <w:r w:rsidR="008A02CC" w:rsidRPr="006028AE">
        <w:rPr>
          <w:color w:val="000000"/>
          <w:kern w:val="24"/>
          <w:sz w:val="21"/>
          <w:szCs w:val="21"/>
        </w:rPr>
        <w:t xml:space="preserve"> </w:t>
      </w:r>
      <w:r>
        <w:rPr>
          <w:color w:val="000000"/>
          <w:kern w:val="24"/>
          <w:sz w:val="21"/>
          <w:szCs w:val="21"/>
        </w:rPr>
        <w:t>C</w:t>
      </w:r>
      <w:r w:rsidR="008A02CC" w:rsidRPr="006028AE">
        <w:rPr>
          <w:color w:val="000000"/>
          <w:kern w:val="24"/>
          <w:sz w:val="21"/>
          <w:szCs w:val="21"/>
        </w:rPr>
        <w:t xml:space="preserve">omplementary ‘Guidelines on the implementation of the WEND-100 Principles’ </w:t>
      </w:r>
      <w:r w:rsidR="00DF5ABE" w:rsidRPr="006028AE">
        <w:rPr>
          <w:color w:val="000000"/>
          <w:kern w:val="24"/>
          <w:sz w:val="21"/>
          <w:szCs w:val="21"/>
        </w:rPr>
        <w:t>will</w:t>
      </w:r>
      <w:r w:rsidR="008A02CC" w:rsidRPr="006028AE">
        <w:rPr>
          <w:color w:val="000000"/>
          <w:kern w:val="24"/>
          <w:sz w:val="21"/>
          <w:szCs w:val="21"/>
        </w:rPr>
        <w:t xml:space="preserve"> detail further the applicability of WEND-100 principles for S-1XX products</w:t>
      </w:r>
      <w:r>
        <w:rPr>
          <w:color w:val="000000"/>
          <w:kern w:val="24"/>
          <w:sz w:val="21"/>
          <w:szCs w:val="21"/>
        </w:rPr>
        <w:t xml:space="preserve"> other than S-101 ENC’s</w:t>
      </w:r>
      <w:r w:rsidR="003005A0">
        <w:rPr>
          <w:color w:val="000000"/>
          <w:kern w:val="24"/>
          <w:sz w:val="21"/>
          <w:szCs w:val="21"/>
        </w:rPr>
        <w:t>,</w:t>
      </w:r>
      <w:r w:rsidR="008A02CC" w:rsidRPr="006028AE">
        <w:rPr>
          <w:color w:val="000000"/>
          <w:kern w:val="24"/>
          <w:sz w:val="21"/>
          <w:szCs w:val="21"/>
        </w:rPr>
        <w:t xml:space="preserve"> and </w:t>
      </w:r>
      <w:r>
        <w:rPr>
          <w:color w:val="000000"/>
          <w:kern w:val="24"/>
          <w:sz w:val="21"/>
          <w:szCs w:val="21"/>
        </w:rPr>
        <w:t>will</w:t>
      </w:r>
      <w:r w:rsidR="008A02CC" w:rsidRPr="006028AE">
        <w:rPr>
          <w:color w:val="000000"/>
          <w:kern w:val="24"/>
          <w:sz w:val="21"/>
          <w:szCs w:val="21"/>
        </w:rPr>
        <w:t xml:space="preserve"> facilitate the provision of appropriate S-1XX products coverage within a suitable timeframe. As such the ‘Guidelines on the implementation of the WEND-100 Principles’ are iterative in nature in order to accommodate the transitional approach.</w:t>
      </w:r>
    </w:p>
    <w:p w14:paraId="08A84718" w14:textId="77777777" w:rsidR="008A02CC" w:rsidRDefault="008A02CC" w:rsidP="008A02CC">
      <w:pPr>
        <w:jc w:val="both"/>
        <w:rPr>
          <w:color w:val="000000"/>
          <w:kern w:val="24"/>
          <w:sz w:val="21"/>
          <w:szCs w:val="21"/>
        </w:rPr>
      </w:pPr>
    </w:p>
    <w:p w14:paraId="3ABC134D" w14:textId="47D96C2E" w:rsidR="008A02CC" w:rsidRDefault="008A02CC" w:rsidP="008A02CC">
      <w:pPr>
        <w:rPr>
          <w:color w:val="000000"/>
          <w:kern w:val="24"/>
          <w:sz w:val="21"/>
          <w:szCs w:val="21"/>
        </w:rPr>
      </w:pPr>
      <w:r>
        <w:rPr>
          <w:color w:val="000000"/>
          <w:kern w:val="24"/>
          <w:sz w:val="21"/>
          <w:szCs w:val="21"/>
        </w:rPr>
        <w:t>2.4. The ‘</w:t>
      </w:r>
      <w:r w:rsidRPr="00183676">
        <w:rPr>
          <w:color w:val="000000"/>
          <w:kern w:val="24"/>
          <w:sz w:val="21"/>
          <w:szCs w:val="21"/>
        </w:rPr>
        <w:t>Guidelines on the implementation of the WEND</w:t>
      </w:r>
      <w:r>
        <w:rPr>
          <w:color w:val="000000"/>
          <w:kern w:val="24"/>
          <w:sz w:val="21"/>
          <w:szCs w:val="21"/>
        </w:rPr>
        <w:t>-100 Principles’ are subject to an approval process with proposals by IRCC for consideration by the Council and following decision by the Assembly. This way Members States control the implementation of S-1XX products over time as IMO and other overarching regulations or guidelines evolve</w:t>
      </w:r>
      <w:r>
        <w:rPr>
          <w:rStyle w:val="FootnoteReference"/>
          <w:color w:val="000000"/>
          <w:kern w:val="24"/>
          <w:sz w:val="21"/>
          <w:szCs w:val="21"/>
        </w:rPr>
        <w:footnoteReference w:id="7"/>
      </w:r>
      <w:r>
        <w:rPr>
          <w:color w:val="000000"/>
          <w:kern w:val="24"/>
          <w:sz w:val="21"/>
          <w:szCs w:val="21"/>
        </w:rPr>
        <w:t>..</w:t>
      </w:r>
    </w:p>
    <w:p w14:paraId="5C3D318F" w14:textId="77777777" w:rsidR="008A02CC" w:rsidRPr="005E31F5" w:rsidRDefault="008A02CC" w:rsidP="008A02CC">
      <w:pPr>
        <w:jc w:val="both"/>
        <w:rPr>
          <w:sz w:val="21"/>
          <w:szCs w:val="21"/>
        </w:rPr>
      </w:pPr>
    </w:p>
    <w:p w14:paraId="32A32AD1" w14:textId="77777777" w:rsidR="008A02CC" w:rsidRPr="00B1263F" w:rsidRDefault="008A02CC" w:rsidP="008A02CC">
      <w:pPr>
        <w:rPr>
          <w:sz w:val="21"/>
          <w:szCs w:val="21"/>
        </w:rPr>
      </w:pPr>
      <w:r w:rsidRPr="005E31F5">
        <w:rPr>
          <w:b/>
          <w:sz w:val="21"/>
          <w:szCs w:val="21"/>
        </w:rPr>
        <w:t xml:space="preserve">3. </w:t>
      </w:r>
      <w:r>
        <w:rPr>
          <w:b/>
          <w:sz w:val="21"/>
          <w:szCs w:val="21"/>
        </w:rPr>
        <w:t>S-1XX product availability</w:t>
      </w:r>
      <w:r w:rsidRPr="00B1263F">
        <w:rPr>
          <w:sz w:val="21"/>
          <w:szCs w:val="21"/>
        </w:rPr>
        <w:br/>
      </w:r>
    </w:p>
    <w:p w14:paraId="38AE7509" w14:textId="77777777" w:rsidR="008A02CC" w:rsidRPr="00B1263F" w:rsidRDefault="008A02CC" w:rsidP="008A02CC">
      <w:pPr>
        <w:jc w:val="both"/>
        <w:rPr>
          <w:sz w:val="21"/>
          <w:szCs w:val="21"/>
        </w:rPr>
      </w:pPr>
      <w:r>
        <w:rPr>
          <w:sz w:val="21"/>
          <w:szCs w:val="21"/>
        </w:rPr>
        <w:t>3</w:t>
      </w:r>
      <w:r w:rsidRPr="00B1263F">
        <w:rPr>
          <w:sz w:val="21"/>
          <w:szCs w:val="21"/>
        </w:rPr>
        <w:t xml:space="preserve">.1. Member States will strive to ensure that mariners anywhere in the world can obtain up-to-date </w:t>
      </w:r>
      <w:r>
        <w:rPr>
          <w:sz w:val="21"/>
          <w:szCs w:val="21"/>
        </w:rPr>
        <w:t>S-1XX products</w:t>
      </w:r>
      <w:r w:rsidRPr="00B1263F">
        <w:rPr>
          <w:sz w:val="21"/>
          <w:szCs w:val="21"/>
        </w:rPr>
        <w:t xml:space="preserve"> for all shipping routes and ports around the world.</w:t>
      </w:r>
    </w:p>
    <w:p w14:paraId="17CC9D55" w14:textId="77777777" w:rsidR="008A02CC" w:rsidRPr="00B1263F" w:rsidRDefault="008A02CC" w:rsidP="008A02CC">
      <w:pPr>
        <w:jc w:val="both"/>
        <w:rPr>
          <w:sz w:val="21"/>
          <w:szCs w:val="21"/>
        </w:rPr>
      </w:pPr>
    </w:p>
    <w:p w14:paraId="1FBC8F29" w14:textId="77777777" w:rsidR="008A02CC" w:rsidRDefault="008A02CC" w:rsidP="008A02CC">
      <w:pPr>
        <w:jc w:val="both"/>
        <w:rPr>
          <w:sz w:val="21"/>
          <w:szCs w:val="21"/>
        </w:rPr>
      </w:pPr>
      <w:r>
        <w:rPr>
          <w:sz w:val="21"/>
          <w:szCs w:val="21"/>
        </w:rPr>
        <w:t>3</w:t>
      </w:r>
      <w:r w:rsidRPr="00B1263F">
        <w:rPr>
          <w:sz w:val="21"/>
          <w:szCs w:val="21"/>
        </w:rPr>
        <w:t xml:space="preserve">.2. Member States </w:t>
      </w:r>
      <w:r>
        <w:rPr>
          <w:sz w:val="21"/>
          <w:szCs w:val="21"/>
        </w:rPr>
        <w:t xml:space="preserve">will strive to ensure that their S-1XX products are available to end users </w:t>
      </w:r>
      <w:r w:rsidRPr="00B1263F">
        <w:rPr>
          <w:sz w:val="21"/>
          <w:szCs w:val="21"/>
        </w:rPr>
        <w:t xml:space="preserve">through </w:t>
      </w:r>
      <w:r>
        <w:rPr>
          <w:sz w:val="21"/>
          <w:szCs w:val="21"/>
        </w:rPr>
        <w:t>integrated, secure</w:t>
      </w:r>
      <w:r w:rsidRPr="00B1263F">
        <w:rPr>
          <w:sz w:val="21"/>
          <w:szCs w:val="21"/>
        </w:rPr>
        <w:t xml:space="preserve"> and </w:t>
      </w:r>
      <w:r>
        <w:rPr>
          <w:sz w:val="21"/>
          <w:szCs w:val="21"/>
        </w:rPr>
        <w:t xml:space="preserve">internationally </w:t>
      </w:r>
      <w:r w:rsidRPr="00B1263F">
        <w:rPr>
          <w:sz w:val="21"/>
          <w:szCs w:val="21"/>
        </w:rPr>
        <w:t xml:space="preserve">coordinated </w:t>
      </w:r>
      <w:r>
        <w:rPr>
          <w:sz w:val="21"/>
          <w:szCs w:val="21"/>
        </w:rPr>
        <w:t xml:space="preserve">dissemination services. </w:t>
      </w:r>
      <w:r w:rsidRPr="00D26069">
        <w:rPr>
          <w:sz w:val="21"/>
          <w:szCs w:val="21"/>
        </w:rPr>
        <w:t>Additionally</w:t>
      </w:r>
      <w:r>
        <w:rPr>
          <w:sz w:val="21"/>
          <w:szCs w:val="21"/>
        </w:rPr>
        <w:t>,</w:t>
      </w:r>
      <w:r w:rsidRPr="00110CA8">
        <w:rPr>
          <w:sz w:val="21"/>
          <w:szCs w:val="21"/>
        </w:rPr>
        <w:t xml:space="preserve"> States retain the right to establish complementary S-1XX dissemination arrangements within national jurisdiction and according to national legislation</w:t>
      </w:r>
      <w:r>
        <w:rPr>
          <w:sz w:val="21"/>
          <w:szCs w:val="21"/>
        </w:rPr>
        <w:t>.</w:t>
      </w:r>
    </w:p>
    <w:p w14:paraId="1FCCE419" w14:textId="77777777" w:rsidR="008A02CC" w:rsidRPr="00B1263F" w:rsidRDefault="008A02CC" w:rsidP="008A02CC">
      <w:pPr>
        <w:jc w:val="both"/>
        <w:rPr>
          <w:sz w:val="21"/>
          <w:szCs w:val="21"/>
        </w:rPr>
      </w:pPr>
    </w:p>
    <w:p w14:paraId="12576282" w14:textId="6B19467D" w:rsidR="008A02CC" w:rsidRDefault="008A02CC" w:rsidP="008A02CC">
      <w:pPr>
        <w:jc w:val="both"/>
        <w:rPr>
          <w:sz w:val="21"/>
          <w:szCs w:val="21"/>
        </w:rPr>
      </w:pPr>
      <w:r>
        <w:rPr>
          <w:sz w:val="21"/>
          <w:szCs w:val="21"/>
        </w:rPr>
        <w:t xml:space="preserve">3.3. Member </w:t>
      </w:r>
      <w:r w:rsidR="00142AA4">
        <w:rPr>
          <w:sz w:val="21"/>
          <w:szCs w:val="21"/>
        </w:rPr>
        <w:t>S</w:t>
      </w:r>
      <w:r>
        <w:rPr>
          <w:sz w:val="21"/>
          <w:szCs w:val="21"/>
        </w:rPr>
        <w:t xml:space="preserve">tates are encouraged to build on the existing RENC structure in order to share common experience, reduce expenditure, and to ensure the greatest possible standardization, consistency, reliability and availability of S-1XX products. </w:t>
      </w:r>
    </w:p>
    <w:p w14:paraId="3D6ADD62" w14:textId="77777777" w:rsidR="008A02CC" w:rsidRPr="00B1263F" w:rsidRDefault="008A02CC" w:rsidP="008A02CC">
      <w:pPr>
        <w:jc w:val="both"/>
        <w:rPr>
          <w:sz w:val="21"/>
          <w:szCs w:val="21"/>
        </w:rPr>
      </w:pPr>
    </w:p>
    <w:p w14:paraId="47BBCF5E" w14:textId="77777777" w:rsidR="008A02CC" w:rsidRPr="00B1263F" w:rsidRDefault="008A02CC" w:rsidP="008A02CC">
      <w:pPr>
        <w:jc w:val="both"/>
        <w:rPr>
          <w:sz w:val="21"/>
          <w:szCs w:val="21"/>
        </w:rPr>
      </w:pPr>
      <w:r>
        <w:rPr>
          <w:sz w:val="21"/>
          <w:szCs w:val="21"/>
        </w:rPr>
        <w:t>3</w:t>
      </w:r>
      <w:r w:rsidRPr="00B1263F">
        <w:rPr>
          <w:sz w:val="21"/>
          <w:szCs w:val="21"/>
        </w:rPr>
        <w:t>.</w:t>
      </w:r>
      <w:r>
        <w:rPr>
          <w:sz w:val="21"/>
          <w:szCs w:val="21"/>
        </w:rPr>
        <w:t>4.</w:t>
      </w:r>
      <w:r w:rsidRPr="00B1263F">
        <w:rPr>
          <w:sz w:val="21"/>
          <w:szCs w:val="21"/>
        </w:rPr>
        <w:t xml:space="preserve"> </w:t>
      </w:r>
      <w:r>
        <w:rPr>
          <w:sz w:val="21"/>
          <w:szCs w:val="21"/>
        </w:rPr>
        <w:t xml:space="preserve">Dissemination services should ensure that S-1XX products bear the stamp or seal of approval of the issuing authority. </w:t>
      </w:r>
    </w:p>
    <w:p w14:paraId="0B0F3007" w14:textId="77777777" w:rsidR="008A02CC" w:rsidRPr="00B1263F" w:rsidRDefault="008A02CC" w:rsidP="008A02CC">
      <w:pPr>
        <w:jc w:val="both"/>
        <w:rPr>
          <w:sz w:val="21"/>
          <w:szCs w:val="21"/>
        </w:rPr>
      </w:pPr>
    </w:p>
    <w:p w14:paraId="60B23F14" w14:textId="77777777" w:rsidR="008A02CC" w:rsidRDefault="008A02CC" w:rsidP="008A02CC">
      <w:pPr>
        <w:jc w:val="both"/>
        <w:rPr>
          <w:sz w:val="21"/>
          <w:szCs w:val="21"/>
        </w:rPr>
      </w:pPr>
      <w:r>
        <w:rPr>
          <w:sz w:val="21"/>
          <w:szCs w:val="21"/>
        </w:rPr>
        <w:t>3</w:t>
      </w:r>
      <w:r w:rsidRPr="00B1263F">
        <w:rPr>
          <w:sz w:val="21"/>
          <w:szCs w:val="21"/>
        </w:rPr>
        <w:t>.</w:t>
      </w:r>
      <w:r>
        <w:rPr>
          <w:sz w:val="21"/>
          <w:szCs w:val="21"/>
        </w:rPr>
        <w:t>5</w:t>
      </w:r>
      <w:r w:rsidRPr="00B1263F">
        <w:rPr>
          <w:sz w:val="21"/>
          <w:szCs w:val="21"/>
        </w:rPr>
        <w:t xml:space="preserve">. Member States should </w:t>
      </w:r>
      <w:r>
        <w:rPr>
          <w:sz w:val="21"/>
          <w:szCs w:val="21"/>
        </w:rPr>
        <w:t xml:space="preserve">ensure the </w:t>
      </w:r>
      <w:r w:rsidRPr="00B1263F">
        <w:rPr>
          <w:sz w:val="21"/>
          <w:szCs w:val="21"/>
        </w:rPr>
        <w:t>use</w:t>
      </w:r>
      <w:r>
        <w:rPr>
          <w:sz w:val="21"/>
          <w:szCs w:val="21"/>
        </w:rPr>
        <w:t xml:space="preserve"> of </w:t>
      </w:r>
      <w:r w:rsidRPr="00B1263F">
        <w:rPr>
          <w:sz w:val="21"/>
          <w:szCs w:val="21"/>
        </w:rPr>
        <w:t>the IHO Data Protection Scheme</w:t>
      </w:r>
      <w:r w:rsidRPr="002B605C">
        <w:rPr>
          <w:sz w:val="21"/>
          <w:szCs w:val="21"/>
        </w:rPr>
        <w:t xml:space="preserve"> (S-100 Part 15)</w:t>
      </w:r>
      <w:r>
        <w:rPr>
          <w:rStyle w:val="FootnoteReference"/>
          <w:sz w:val="21"/>
          <w:szCs w:val="21"/>
        </w:rPr>
        <w:footnoteReference w:id="8"/>
      </w:r>
      <w:r w:rsidRPr="00B1263F">
        <w:rPr>
          <w:sz w:val="21"/>
          <w:szCs w:val="21"/>
        </w:rPr>
        <w:t xml:space="preserve"> for distribution to</w:t>
      </w:r>
      <w:r>
        <w:rPr>
          <w:sz w:val="21"/>
          <w:szCs w:val="21"/>
        </w:rPr>
        <w:t xml:space="preserve"> mariners</w:t>
      </w:r>
      <w:r w:rsidRPr="00B1263F">
        <w:rPr>
          <w:sz w:val="21"/>
          <w:szCs w:val="21"/>
        </w:rPr>
        <w:t xml:space="preserve">, to </w:t>
      </w:r>
      <w:r>
        <w:rPr>
          <w:sz w:val="21"/>
          <w:szCs w:val="21"/>
        </w:rPr>
        <w:t xml:space="preserve">secure </w:t>
      </w:r>
      <w:r w:rsidRPr="00B1263F">
        <w:rPr>
          <w:sz w:val="21"/>
          <w:szCs w:val="21"/>
        </w:rPr>
        <w:t xml:space="preserve">data integrity, to safeguard national copyright in data, to protect the mariner from falsified products, and to ensure traceability. </w:t>
      </w:r>
    </w:p>
    <w:p w14:paraId="312AC77F" w14:textId="77777777" w:rsidR="008A02CC" w:rsidRDefault="008A02CC" w:rsidP="008A02CC">
      <w:pPr>
        <w:jc w:val="both"/>
        <w:rPr>
          <w:sz w:val="21"/>
          <w:szCs w:val="21"/>
        </w:rPr>
      </w:pPr>
    </w:p>
    <w:p w14:paraId="513415D2" w14:textId="77777777" w:rsidR="008A02CC" w:rsidRDefault="008A02CC" w:rsidP="008A02CC">
      <w:pPr>
        <w:jc w:val="both"/>
        <w:rPr>
          <w:sz w:val="21"/>
          <w:szCs w:val="21"/>
        </w:rPr>
      </w:pPr>
      <w:r>
        <w:rPr>
          <w:sz w:val="21"/>
          <w:szCs w:val="21"/>
        </w:rPr>
        <w:t xml:space="preserve">3.6. </w:t>
      </w:r>
      <w:r w:rsidRPr="00B1263F">
        <w:rPr>
          <w:sz w:val="21"/>
          <w:szCs w:val="21"/>
        </w:rPr>
        <w:t>When an encryption</w:t>
      </w:r>
      <w:r>
        <w:rPr>
          <w:sz w:val="21"/>
          <w:szCs w:val="21"/>
        </w:rPr>
        <w:t xml:space="preserve"> or authentication </w:t>
      </w:r>
      <w:r w:rsidRPr="00B1263F">
        <w:rPr>
          <w:sz w:val="21"/>
          <w:szCs w:val="21"/>
        </w:rPr>
        <w:t>mechanism is employed to protect data, a failure of contractual obligations by the user should not result in a complete termination of the service. This is to assure that the safety of the vessel at sea is not compromised</w:t>
      </w:r>
      <w:r>
        <w:rPr>
          <w:sz w:val="21"/>
          <w:szCs w:val="21"/>
        </w:rPr>
        <w:t xml:space="preserve">. </w:t>
      </w:r>
    </w:p>
    <w:p w14:paraId="56360C74" w14:textId="77777777" w:rsidR="008A02CC" w:rsidRPr="00B1263F" w:rsidRDefault="008A02CC" w:rsidP="008A02CC">
      <w:pPr>
        <w:jc w:val="both"/>
        <w:rPr>
          <w:sz w:val="21"/>
          <w:szCs w:val="21"/>
        </w:rPr>
      </w:pPr>
    </w:p>
    <w:p w14:paraId="72889EF2" w14:textId="77777777" w:rsidR="008A02CC" w:rsidRPr="00B1263F" w:rsidRDefault="008A02CC" w:rsidP="008A02CC">
      <w:pPr>
        <w:jc w:val="both"/>
        <w:rPr>
          <w:sz w:val="21"/>
          <w:szCs w:val="21"/>
        </w:rPr>
      </w:pPr>
      <w:r>
        <w:rPr>
          <w:sz w:val="21"/>
          <w:szCs w:val="21"/>
        </w:rPr>
        <w:t>3</w:t>
      </w:r>
      <w:r w:rsidRPr="00B1263F">
        <w:rPr>
          <w:sz w:val="21"/>
          <w:szCs w:val="21"/>
        </w:rPr>
        <w:t>.</w:t>
      </w:r>
      <w:r>
        <w:rPr>
          <w:sz w:val="21"/>
          <w:szCs w:val="21"/>
        </w:rPr>
        <w:t>7</w:t>
      </w:r>
      <w:r w:rsidRPr="00B1263F">
        <w:rPr>
          <w:sz w:val="21"/>
          <w:szCs w:val="21"/>
        </w:rPr>
        <w:t xml:space="preserve">. Noting that </w:t>
      </w:r>
      <w:r>
        <w:rPr>
          <w:sz w:val="21"/>
          <w:szCs w:val="21"/>
        </w:rPr>
        <w:t xml:space="preserve">accessibility of S-1XX products is </w:t>
      </w:r>
      <w:r w:rsidRPr="00B1263F">
        <w:rPr>
          <w:sz w:val="21"/>
          <w:szCs w:val="21"/>
        </w:rPr>
        <w:t xml:space="preserve">also valuable as part of a national or regional Marine Spatial Data Infrastructure (MSDI), the dissemination of these </w:t>
      </w:r>
      <w:r>
        <w:rPr>
          <w:sz w:val="21"/>
          <w:szCs w:val="21"/>
        </w:rPr>
        <w:t>products</w:t>
      </w:r>
      <w:r w:rsidRPr="00B1263F">
        <w:rPr>
          <w:sz w:val="21"/>
          <w:szCs w:val="21"/>
        </w:rPr>
        <w:t xml:space="preserve"> may be coordinated through the same mechanisms as </w:t>
      </w:r>
      <w:r w:rsidRPr="0087377E">
        <w:rPr>
          <w:sz w:val="21"/>
          <w:szCs w:val="21"/>
        </w:rPr>
        <w:t xml:space="preserve">those established to meet </w:t>
      </w:r>
      <w:r w:rsidRPr="00B1263F">
        <w:rPr>
          <w:sz w:val="21"/>
          <w:szCs w:val="21"/>
        </w:rPr>
        <w:t xml:space="preserve">the </w:t>
      </w:r>
      <w:r>
        <w:rPr>
          <w:sz w:val="21"/>
          <w:szCs w:val="21"/>
        </w:rPr>
        <w:t xml:space="preserve">WEND-100 dissemination </w:t>
      </w:r>
      <w:r w:rsidRPr="00B1263F">
        <w:rPr>
          <w:sz w:val="21"/>
          <w:szCs w:val="21"/>
        </w:rPr>
        <w:t xml:space="preserve">services. </w:t>
      </w:r>
    </w:p>
    <w:p w14:paraId="7E469DD3" w14:textId="77777777" w:rsidR="008A02CC" w:rsidRPr="00B1263F" w:rsidRDefault="008A02CC" w:rsidP="008A02CC">
      <w:pPr>
        <w:jc w:val="both"/>
        <w:rPr>
          <w:sz w:val="21"/>
          <w:szCs w:val="21"/>
        </w:rPr>
      </w:pPr>
    </w:p>
    <w:p w14:paraId="7621A7DA" w14:textId="77777777" w:rsidR="008A02CC" w:rsidRPr="00B1263F" w:rsidRDefault="008A02CC" w:rsidP="008A02CC">
      <w:pPr>
        <w:rPr>
          <w:sz w:val="21"/>
          <w:szCs w:val="21"/>
        </w:rPr>
      </w:pPr>
      <w:r w:rsidRPr="00956498">
        <w:rPr>
          <w:b/>
          <w:sz w:val="21"/>
          <w:szCs w:val="21"/>
        </w:rPr>
        <w:t>4</w:t>
      </w:r>
      <w:r w:rsidRPr="00B1263F">
        <w:rPr>
          <w:sz w:val="21"/>
          <w:szCs w:val="21"/>
        </w:rPr>
        <w:t xml:space="preserve">. </w:t>
      </w:r>
      <w:r w:rsidRPr="00B1263F">
        <w:rPr>
          <w:b/>
          <w:sz w:val="21"/>
          <w:szCs w:val="21"/>
        </w:rPr>
        <w:t>Rights and Responsibilities</w:t>
      </w:r>
      <w:r w:rsidRPr="00B1263F">
        <w:rPr>
          <w:sz w:val="21"/>
          <w:szCs w:val="21"/>
        </w:rPr>
        <w:br/>
      </w:r>
    </w:p>
    <w:p w14:paraId="04314E4F" w14:textId="77777777" w:rsidR="008A02CC" w:rsidRPr="00B1263F" w:rsidRDefault="008A02CC" w:rsidP="008A02CC">
      <w:pPr>
        <w:jc w:val="both"/>
        <w:rPr>
          <w:sz w:val="21"/>
          <w:szCs w:val="21"/>
        </w:rPr>
      </w:pPr>
      <w:r>
        <w:rPr>
          <w:sz w:val="21"/>
          <w:szCs w:val="21"/>
        </w:rPr>
        <w:t>4</w:t>
      </w:r>
      <w:r w:rsidRPr="00B1263F">
        <w:rPr>
          <w:sz w:val="21"/>
          <w:szCs w:val="21"/>
        </w:rPr>
        <w:t xml:space="preserve">.1. SOLAS/V, Regulation 9, requires </w:t>
      </w:r>
      <w:r>
        <w:rPr>
          <w:sz w:val="21"/>
          <w:szCs w:val="21"/>
        </w:rPr>
        <w:t>c</w:t>
      </w:r>
      <w:r w:rsidRPr="00B1263F">
        <w:rPr>
          <w:sz w:val="21"/>
          <w:szCs w:val="21"/>
        </w:rPr>
        <w:t xml:space="preserve">ontracting Governments to ensure that </w:t>
      </w:r>
      <w:r>
        <w:rPr>
          <w:sz w:val="21"/>
          <w:szCs w:val="21"/>
        </w:rPr>
        <w:t>“all nautical information” is</w:t>
      </w:r>
      <w:r w:rsidRPr="00B1263F">
        <w:rPr>
          <w:sz w:val="21"/>
          <w:szCs w:val="21"/>
        </w:rPr>
        <w:t xml:space="preserve"> available in a suitable manner in order to satisfy the needs of safe navigation. With </w:t>
      </w:r>
      <w:r>
        <w:rPr>
          <w:sz w:val="21"/>
          <w:szCs w:val="21"/>
        </w:rPr>
        <w:t>IMO</w:t>
      </w:r>
      <w:r w:rsidRPr="00B1263F">
        <w:rPr>
          <w:sz w:val="21"/>
          <w:szCs w:val="21"/>
        </w:rPr>
        <w:t xml:space="preserve"> mandatory carriage </w:t>
      </w:r>
      <w:r>
        <w:rPr>
          <w:sz w:val="21"/>
          <w:szCs w:val="21"/>
        </w:rPr>
        <w:t>requirement for</w:t>
      </w:r>
      <w:r w:rsidRPr="00B1263F">
        <w:rPr>
          <w:sz w:val="21"/>
          <w:szCs w:val="21"/>
        </w:rPr>
        <w:t xml:space="preserve"> ECDIS, there is a consequential requirement to ensure that </w:t>
      </w:r>
      <w:r>
        <w:rPr>
          <w:sz w:val="21"/>
          <w:szCs w:val="21"/>
        </w:rPr>
        <w:t>S-1XX products</w:t>
      </w:r>
      <w:r w:rsidRPr="00B1263F">
        <w:rPr>
          <w:sz w:val="21"/>
          <w:szCs w:val="21"/>
        </w:rPr>
        <w:t xml:space="preserve">, as </w:t>
      </w:r>
      <w:r>
        <w:rPr>
          <w:sz w:val="21"/>
          <w:szCs w:val="21"/>
        </w:rPr>
        <w:t xml:space="preserve">defined </w:t>
      </w:r>
      <w:r w:rsidRPr="00B1263F">
        <w:rPr>
          <w:sz w:val="21"/>
          <w:szCs w:val="21"/>
        </w:rPr>
        <w:t xml:space="preserve">by </w:t>
      </w:r>
      <w:r>
        <w:rPr>
          <w:sz w:val="21"/>
          <w:szCs w:val="21"/>
        </w:rPr>
        <w:t xml:space="preserve">the </w:t>
      </w:r>
      <w:r w:rsidRPr="00B1263F">
        <w:rPr>
          <w:sz w:val="21"/>
          <w:szCs w:val="21"/>
        </w:rPr>
        <w:t>I</w:t>
      </w:r>
      <w:r>
        <w:rPr>
          <w:sz w:val="21"/>
          <w:szCs w:val="21"/>
        </w:rPr>
        <w:t>HO</w:t>
      </w:r>
      <w:r w:rsidRPr="00B1263F">
        <w:rPr>
          <w:sz w:val="21"/>
          <w:szCs w:val="21"/>
        </w:rPr>
        <w:t xml:space="preserve">, are available in a form suitable for use in ECDIS, in current form and as subsequently updated.  </w:t>
      </w:r>
    </w:p>
    <w:p w14:paraId="7295E6C4" w14:textId="77777777" w:rsidR="008A02CC" w:rsidRDefault="008A02CC" w:rsidP="008A02CC">
      <w:pPr>
        <w:jc w:val="both"/>
        <w:rPr>
          <w:sz w:val="21"/>
          <w:szCs w:val="21"/>
        </w:rPr>
      </w:pPr>
    </w:p>
    <w:p w14:paraId="7BC2E4A3" w14:textId="77777777" w:rsidR="008A02CC" w:rsidRDefault="008A02CC" w:rsidP="008A02CC">
      <w:pPr>
        <w:jc w:val="both"/>
        <w:rPr>
          <w:sz w:val="21"/>
          <w:szCs w:val="21"/>
        </w:rPr>
      </w:pPr>
      <w:r>
        <w:rPr>
          <w:sz w:val="21"/>
          <w:szCs w:val="21"/>
        </w:rPr>
        <w:t xml:space="preserve">4.2. It is expected that Members States will have mature arrangements in place for the issue of S-1XX products and their subsequent updating for waters of national jurisdiction in order to support current and future IMO requirements. </w:t>
      </w:r>
    </w:p>
    <w:p w14:paraId="7ECA2FBB" w14:textId="77777777" w:rsidR="008A02CC" w:rsidRPr="00B1263F" w:rsidRDefault="008A02CC" w:rsidP="008A02CC">
      <w:pPr>
        <w:jc w:val="both"/>
        <w:rPr>
          <w:sz w:val="21"/>
          <w:szCs w:val="21"/>
        </w:rPr>
      </w:pPr>
    </w:p>
    <w:p w14:paraId="2D961624" w14:textId="77777777" w:rsidR="008A02CC" w:rsidRPr="00B1263F" w:rsidRDefault="008A02CC" w:rsidP="008A02CC">
      <w:pPr>
        <w:jc w:val="both"/>
        <w:rPr>
          <w:sz w:val="21"/>
          <w:szCs w:val="21"/>
        </w:rPr>
      </w:pPr>
      <w:r>
        <w:rPr>
          <w:sz w:val="21"/>
          <w:szCs w:val="21"/>
        </w:rPr>
        <w:lastRenderedPageBreak/>
        <w:t>4</w:t>
      </w:r>
      <w:r w:rsidRPr="00B1263F">
        <w:rPr>
          <w:sz w:val="21"/>
          <w:szCs w:val="21"/>
        </w:rPr>
        <w:t>.</w:t>
      </w:r>
      <w:r>
        <w:rPr>
          <w:sz w:val="21"/>
          <w:szCs w:val="21"/>
        </w:rPr>
        <w:t>3</w:t>
      </w:r>
      <w:r w:rsidRPr="00B1263F">
        <w:rPr>
          <w:sz w:val="21"/>
          <w:szCs w:val="21"/>
        </w:rPr>
        <w:t>. To meet the</w:t>
      </w:r>
      <w:r>
        <w:rPr>
          <w:sz w:val="21"/>
          <w:szCs w:val="21"/>
        </w:rPr>
        <w:t>se IMO (coverage) requirements,</w:t>
      </w:r>
      <w:r w:rsidRPr="00B1263F">
        <w:rPr>
          <w:sz w:val="21"/>
          <w:szCs w:val="21"/>
        </w:rPr>
        <w:t xml:space="preserve"> Member States </w:t>
      </w:r>
      <w:r>
        <w:rPr>
          <w:sz w:val="21"/>
          <w:szCs w:val="21"/>
        </w:rPr>
        <w:t xml:space="preserve">will strive to </w:t>
      </w:r>
      <w:r w:rsidRPr="00B1263F">
        <w:rPr>
          <w:sz w:val="21"/>
          <w:szCs w:val="21"/>
        </w:rPr>
        <w:t>either:</w:t>
      </w:r>
    </w:p>
    <w:p w14:paraId="71DC2AA2" w14:textId="77777777" w:rsidR="008A02CC" w:rsidRDefault="008A02CC" w:rsidP="008A02CC">
      <w:pPr>
        <w:jc w:val="both"/>
        <w:rPr>
          <w:sz w:val="21"/>
          <w:szCs w:val="21"/>
        </w:rPr>
      </w:pPr>
      <w:r w:rsidRPr="00B1263F">
        <w:rPr>
          <w:sz w:val="21"/>
          <w:szCs w:val="21"/>
        </w:rPr>
        <w:t xml:space="preserve"> </w:t>
      </w:r>
    </w:p>
    <w:p w14:paraId="265C749A" w14:textId="6F5EB655" w:rsidR="008A02CC" w:rsidRPr="00D875D8" w:rsidRDefault="008A02CC" w:rsidP="008A02CC">
      <w:pPr>
        <w:pStyle w:val="ListParagraph"/>
        <w:numPr>
          <w:ilvl w:val="0"/>
          <w:numId w:val="24"/>
        </w:numPr>
        <w:jc w:val="both"/>
        <w:rPr>
          <w:sz w:val="21"/>
          <w:szCs w:val="21"/>
        </w:rPr>
      </w:pPr>
      <w:r>
        <w:rPr>
          <w:sz w:val="21"/>
          <w:szCs w:val="21"/>
        </w:rPr>
        <w:t>p</w:t>
      </w:r>
      <w:r w:rsidRPr="00D875D8">
        <w:rPr>
          <w:sz w:val="21"/>
          <w:szCs w:val="21"/>
        </w:rPr>
        <w:t>rovide the necessary S-1XX product coverage or;</w:t>
      </w:r>
    </w:p>
    <w:p w14:paraId="43F1F337" w14:textId="5CAA3DC2" w:rsidR="008A02CC" w:rsidRDefault="008A02CC" w:rsidP="008A02CC">
      <w:pPr>
        <w:jc w:val="both"/>
        <w:rPr>
          <w:sz w:val="21"/>
          <w:szCs w:val="21"/>
        </w:rPr>
      </w:pPr>
    </w:p>
    <w:p w14:paraId="340C5275" w14:textId="66A655E6" w:rsidR="008A02CC" w:rsidRDefault="008A02CC" w:rsidP="008A02CC">
      <w:pPr>
        <w:pStyle w:val="ListParagraph"/>
        <w:numPr>
          <w:ilvl w:val="0"/>
          <w:numId w:val="24"/>
        </w:numPr>
        <w:jc w:val="both"/>
        <w:rPr>
          <w:sz w:val="21"/>
          <w:szCs w:val="21"/>
        </w:rPr>
      </w:pPr>
      <w:r>
        <w:rPr>
          <w:sz w:val="21"/>
          <w:szCs w:val="21"/>
        </w:rPr>
        <w:t>a</w:t>
      </w:r>
      <w:r w:rsidRPr="00B1263F">
        <w:rPr>
          <w:sz w:val="21"/>
          <w:szCs w:val="21"/>
        </w:rPr>
        <w:t xml:space="preserve">gree with other </w:t>
      </w:r>
      <w:r w:rsidR="00E11B6C">
        <w:rPr>
          <w:sz w:val="21"/>
          <w:szCs w:val="21"/>
        </w:rPr>
        <w:t>States</w:t>
      </w:r>
      <w:r w:rsidRPr="00D41A19">
        <w:rPr>
          <w:rStyle w:val="FootnoteReference"/>
          <w:sz w:val="21"/>
          <w:szCs w:val="21"/>
        </w:rPr>
        <w:footnoteReference w:id="9"/>
      </w:r>
      <w:r>
        <w:rPr>
          <w:sz w:val="21"/>
          <w:szCs w:val="21"/>
        </w:rPr>
        <w:t xml:space="preserve"> </w:t>
      </w:r>
      <w:r w:rsidRPr="00B1263F">
        <w:rPr>
          <w:sz w:val="21"/>
          <w:szCs w:val="21"/>
        </w:rPr>
        <w:t xml:space="preserve">to </w:t>
      </w:r>
      <w:r>
        <w:rPr>
          <w:sz w:val="21"/>
          <w:szCs w:val="21"/>
        </w:rPr>
        <w:t>pro</w:t>
      </w:r>
      <w:r w:rsidR="00E11B6C">
        <w:rPr>
          <w:sz w:val="21"/>
          <w:szCs w:val="21"/>
        </w:rPr>
        <w:t>vide</w:t>
      </w:r>
      <w:r>
        <w:rPr>
          <w:sz w:val="21"/>
          <w:szCs w:val="21"/>
        </w:rPr>
        <w:t xml:space="preserve"> </w:t>
      </w:r>
      <w:r w:rsidRPr="00B1263F">
        <w:rPr>
          <w:sz w:val="21"/>
          <w:szCs w:val="21"/>
        </w:rPr>
        <w:t>the necessary coverage on their behalf.</w:t>
      </w:r>
    </w:p>
    <w:p w14:paraId="57C4254C" w14:textId="77777777" w:rsidR="008A02CC" w:rsidRPr="00B1263F" w:rsidRDefault="008A02CC" w:rsidP="008A02CC">
      <w:pPr>
        <w:jc w:val="both"/>
        <w:rPr>
          <w:sz w:val="21"/>
          <w:szCs w:val="21"/>
        </w:rPr>
      </w:pPr>
    </w:p>
    <w:p w14:paraId="1AD7C9CD" w14:textId="41A3D3A8" w:rsidR="008A02CC" w:rsidRDefault="008A02CC" w:rsidP="008A02CC">
      <w:pPr>
        <w:jc w:val="both"/>
        <w:rPr>
          <w:sz w:val="21"/>
          <w:szCs w:val="21"/>
        </w:rPr>
      </w:pPr>
      <w:r w:rsidRPr="00B06338">
        <w:rPr>
          <w:sz w:val="21"/>
          <w:szCs w:val="21"/>
        </w:rPr>
        <w:t>4.4. Member</w:t>
      </w:r>
      <w:r>
        <w:rPr>
          <w:sz w:val="21"/>
          <w:szCs w:val="21"/>
        </w:rPr>
        <w:t xml:space="preserve"> States responsible for </w:t>
      </w:r>
      <w:r w:rsidR="006028AE">
        <w:rPr>
          <w:sz w:val="21"/>
          <w:szCs w:val="21"/>
        </w:rPr>
        <w:t>producing</w:t>
      </w:r>
      <w:r>
        <w:rPr>
          <w:sz w:val="21"/>
          <w:szCs w:val="21"/>
        </w:rPr>
        <w:t xml:space="preserve"> S-1XX products </w:t>
      </w:r>
      <w:r w:rsidR="0069772C">
        <w:rPr>
          <w:color w:val="000000" w:themeColor="text1"/>
          <w:lang w:val="en-GB"/>
        </w:rPr>
        <w:t>are also responsible for the validation of content, conformance to standards and consistency</w:t>
      </w:r>
      <w:r>
        <w:rPr>
          <w:sz w:val="21"/>
          <w:szCs w:val="21"/>
        </w:rPr>
        <w:t>.</w:t>
      </w:r>
      <w:r w:rsidRPr="004453B7">
        <w:rPr>
          <w:sz w:val="21"/>
          <w:szCs w:val="21"/>
        </w:rPr>
        <w:t xml:space="preserve"> </w:t>
      </w:r>
      <w:r>
        <w:rPr>
          <w:sz w:val="21"/>
          <w:szCs w:val="21"/>
        </w:rPr>
        <w:t xml:space="preserve">Member States are encouraged to consider using the existing RENC structure to assist. </w:t>
      </w:r>
      <w:bookmarkStart w:id="0" w:name="_GoBack"/>
      <w:bookmarkEnd w:id="0"/>
    </w:p>
    <w:p w14:paraId="6365743E" w14:textId="77777777" w:rsidR="008A02CC" w:rsidRDefault="008A02CC" w:rsidP="008A02CC">
      <w:pPr>
        <w:jc w:val="both"/>
        <w:rPr>
          <w:sz w:val="21"/>
          <w:szCs w:val="21"/>
        </w:rPr>
      </w:pPr>
    </w:p>
    <w:p w14:paraId="46296642" w14:textId="77777777" w:rsidR="008A02CC" w:rsidRDefault="008A02CC" w:rsidP="008A02CC">
      <w:pPr>
        <w:jc w:val="both"/>
        <w:rPr>
          <w:sz w:val="21"/>
          <w:szCs w:val="21"/>
        </w:rPr>
      </w:pPr>
      <w:r>
        <w:rPr>
          <w:sz w:val="21"/>
          <w:szCs w:val="21"/>
        </w:rPr>
        <w:t xml:space="preserve">4.5. </w:t>
      </w:r>
      <w:r w:rsidRPr="00B1263F">
        <w:rPr>
          <w:sz w:val="21"/>
          <w:szCs w:val="21"/>
        </w:rPr>
        <w:t>Member States should recognize their potential exposure to legal liabilit</w:t>
      </w:r>
      <w:r>
        <w:rPr>
          <w:sz w:val="21"/>
          <w:szCs w:val="21"/>
        </w:rPr>
        <w:t>y within these arrangements.</w:t>
      </w:r>
    </w:p>
    <w:p w14:paraId="3D44D5DB" w14:textId="77777777" w:rsidR="008A02CC" w:rsidRPr="00B1263F" w:rsidRDefault="008A02CC" w:rsidP="008A02CC">
      <w:pPr>
        <w:jc w:val="both"/>
        <w:rPr>
          <w:sz w:val="21"/>
          <w:szCs w:val="21"/>
        </w:rPr>
      </w:pPr>
    </w:p>
    <w:p w14:paraId="14CD1145" w14:textId="2BC747EA" w:rsidR="008A02CC" w:rsidRPr="00B1263F" w:rsidRDefault="008A02CC" w:rsidP="008A02CC">
      <w:pPr>
        <w:jc w:val="both"/>
        <w:rPr>
          <w:sz w:val="21"/>
          <w:szCs w:val="21"/>
        </w:rPr>
      </w:pPr>
      <w:r>
        <w:rPr>
          <w:sz w:val="21"/>
          <w:szCs w:val="21"/>
        </w:rPr>
        <w:t>4</w:t>
      </w:r>
      <w:r w:rsidRPr="00B1263F">
        <w:rPr>
          <w:sz w:val="21"/>
          <w:szCs w:val="21"/>
        </w:rPr>
        <w:t>.</w:t>
      </w:r>
      <w:r>
        <w:rPr>
          <w:sz w:val="21"/>
          <w:szCs w:val="21"/>
        </w:rPr>
        <w:t>6</w:t>
      </w:r>
      <w:r w:rsidRPr="00B1263F">
        <w:rPr>
          <w:sz w:val="21"/>
          <w:szCs w:val="21"/>
        </w:rPr>
        <w:t xml:space="preserve">. </w:t>
      </w:r>
      <w:r>
        <w:rPr>
          <w:sz w:val="21"/>
          <w:szCs w:val="21"/>
        </w:rPr>
        <w:t xml:space="preserve">Member State </w:t>
      </w:r>
      <w:r w:rsidRPr="00B1263F">
        <w:rPr>
          <w:sz w:val="21"/>
          <w:szCs w:val="21"/>
        </w:rPr>
        <w:t xml:space="preserve">responsible for </w:t>
      </w:r>
      <w:r w:rsidR="006028AE">
        <w:rPr>
          <w:sz w:val="21"/>
          <w:szCs w:val="21"/>
        </w:rPr>
        <w:t>producing</w:t>
      </w:r>
      <w:r w:rsidRPr="00B1263F">
        <w:rPr>
          <w:sz w:val="21"/>
          <w:szCs w:val="21"/>
        </w:rPr>
        <w:t xml:space="preserve"> </w:t>
      </w:r>
      <w:r>
        <w:rPr>
          <w:sz w:val="21"/>
          <w:szCs w:val="21"/>
        </w:rPr>
        <w:t>an</w:t>
      </w:r>
      <w:r w:rsidRPr="00B1263F">
        <w:rPr>
          <w:sz w:val="21"/>
          <w:szCs w:val="21"/>
        </w:rPr>
        <w:t xml:space="preserve"> </w:t>
      </w:r>
      <w:r>
        <w:rPr>
          <w:sz w:val="21"/>
          <w:szCs w:val="21"/>
        </w:rPr>
        <w:t>S-1XX product</w:t>
      </w:r>
      <w:r w:rsidRPr="00B1263F">
        <w:rPr>
          <w:sz w:val="21"/>
          <w:szCs w:val="21"/>
        </w:rPr>
        <w:t xml:space="preserve"> </w:t>
      </w:r>
      <w:r>
        <w:rPr>
          <w:sz w:val="21"/>
          <w:szCs w:val="21"/>
        </w:rPr>
        <w:t>are</w:t>
      </w:r>
      <w:r w:rsidRPr="00B1263F">
        <w:rPr>
          <w:sz w:val="21"/>
          <w:szCs w:val="21"/>
        </w:rPr>
        <w:t xml:space="preserve"> also responsible for providing metadata </w:t>
      </w:r>
      <w:r>
        <w:rPr>
          <w:sz w:val="21"/>
          <w:szCs w:val="21"/>
        </w:rPr>
        <w:t xml:space="preserve">that is </w:t>
      </w:r>
      <w:r w:rsidRPr="00B1263F">
        <w:rPr>
          <w:sz w:val="21"/>
          <w:szCs w:val="21"/>
        </w:rPr>
        <w:t xml:space="preserve">consistent with IHO standards and practices. </w:t>
      </w:r>
    </w:p>
    <w:p w14:paraId="1A1C4E53" w14:textId="77777777" w:rsidR="008A02CC" w:rsidRPr="00B1263F" w:rsidRDefault="008A02CC" w:rsidP="008A02CC">
      <w:pPr>
        <w:jc w:val="both"/>
        <w:rPr>
          <w:sz w:val="21"/>
          <w:szCs w:val="21"/>
        </w:rPr>
      </w:pPr>
    </w:p>
    <w:p w14:paraId="4AF579DA" w14:textId="22B4168B" w:rsidR="008A02CC" w:rsidRPr="00B06338" w:rsidRDefault="008A02CC" w:rsidP="008A02CC">
      <w:pPr>
        <w:jc w:val="both"/>
        <w:rPr>
          <w:sz w:val="21"/>
          <w:szCs w:val="21"/>
        </w:rPr>
      </w:pPr>
      <w:r>
        <w:rPr>
          <w:sz w:val="21"/>
          <w:szCs w:val="21"/>
        </w:rPr>
        <w:t>4.7</w:t>
      </w:r>
      <w:r w:rsidRPr="00B1263F">
        <w:rPr>
          <w:sz w:val="21"/>
          <w:szCs w:val="21"/>
        </w:rPr>
        <w:t xml:space="preserve">. </w:t>
      </w:r>
      <w:r>
        <w:rPr>
          <w:sz w:val="21"/>
          <w:szCs w:val="21"/>
        </w:rPr>
        <w:t>With</w:t>
      </w:r>
      <w:r w:rsidRPr="00DE27FF">
        <w:rPr>
          <w:sz w:val="21"/>
          <w:szCs w:val="21"/>
        </w:rPr>
        <w:t xml:space="preserve">in the framework </w:t>
      </w:r>
      <w:r>
        <w:rPr>
          <w:sz w:val="21"/>
          <w:szCs w:val="21"/>
        </w:rPr>
        <w:t xml:space="preserve">and timelines </w:t>
      </w:r>
      <w:r w:rsidRPr="00DE27FF">
        <w:rPr>
          <w:sz w:val="21"/>
          <w:szCs w:val="21"/>
        </w:rPr>
        <w:t xml:space="preserve">of the WWNWS </w:t>
      </w:r>
      <w:r>
        <w:rPr>
          <w:sz w:val="21"/>
          <w:szCs w:val="21"/>
        </w:rPr>
        <w:t xml:space="preserve">Members States should disseminate in the form of Marine Safety Information, </w:t>
      </w:r>
      <w:r w:rsidRPr="00B6523A">
        <w:rPr>
          <w:sz w:val="21"/>
          <w:szCs w:val="21"/>
        </w:rPr>
        <w:t>the new information they use to update the S-1XX products for which they are responsible</w:t>
      </w:r>
      <w:r w:rsidRPr="002A783B">
        <w:rPr>
          <w:rStyle w:val="FootnoteReference"/>
          <w:sz w:val="21"/>
          <w:szCs w:val="21"/>
        </w:rPr>
        <w:footnoteReference w:id="10"/>
      </w:r>
      <w:r>
        <w:rPr>
          <w:sz w:val="21"/>
          <w:szCs w:val="21"/>
        </w:rPr>
        <w:t>.</w:t>
      </w:r>
    </w:p>
    <w:p w14:paraId="465086C6" w14:textId="77777777" w:rsidR="008A02CC" w:rsidRPr="00300A27" w:rsidRDefault="008A02CC" w:rsidP="008A02CC">
      <w:pPr>
        <w:jc w:val="both"/>
        <w:rPr>
          <w:sz w:val="21"/>
          <w:szCs w:val="21"/>
        </w:rPr>
      </w:pPr>
    </w:p>
    <w:p w14:paraId="1A4F26F5" w14:textId="77777777" w:rsidR="008A02CC" w:rsidRPr="00B1263F" w:rsidRDefault="008A02CC" w:rsidP="008A02CC">
      <w:pPr>
        <w:jc w:val="both"/>
        <w:rPr>
          <w:sz w:val="21"/>
          <w:szCs w:val="21"/>
        </w:rPr>
      </w:pPr>
      <w:r>
        <w:rPr>
          <w:sz w:val="21"/>
          <w:szCs w:val="21"/>
        </w:rPr>
        <w:t>4.8</w:t>
      </w:r>
      <w:r w:rsidRPr="00D949D8">
        <w:rPr>
          <w:sz w:val="21"/>
          <w:szCs w:val="21"/>
        </w:rPr>
        <w:t xml:space="preserve">. In producing and disseminating </w:t>
      </w:r>
      <w:r>
        <w:rPr>
          <w:sz w:val="21"/>
          <w:szCs w:val="21"/>
        </w:rPr>
        <w:t>S-1XX</w:t>
      </w:r>
      <w:r w:rsidRPr="00D949D8">
        <w:rPr>
          <w:sz w:val="21"/>
          <w:szCs w:val="21"/>
        </w:rPr>
        <w:t xml:space="preserve"> products</w:t>
      </w:r>
      <w:r w:rsidRPr="00B1263F">
        <w:rPr>
          <w:sz w:val="21"/>
          <w:szCs w:val="21"/>
        </w:rPr>
        <w:t>, Member States are to take due account of the rights of the owners of source data and previously issued products, honoring any use restrictions or copyrights.</w:t>
      </w:r>
    </w:p>
    <w:p w14:paraId="6996545A" w14:textId="77777777" w:rsidR="008A02CC" w:rsidRPr="00B1263F" w:rsidRDefault="008A02CC" w:rsidP="008A02CC">
      <w:pPr>
        <w:jc w:val="both"/>
        <w:rPr>
          <w:sz w:val="21"/>
          <w:szCs w:val="21"/>
        </w:rPr>
      </w:pPr>
    </w:p>
    <w:p w14:paraId="472EE83F" w14:textId="5AF11545" w:rsidR="008A02CC" w:rsidRPr="00B1263F" w:rsidRDefault="008A02CC" w:rsidP="008A02CC">
      <w:pPr>
        <w:jc w:val="both"/>
        <w:rPr>
          <w:b/>
          <w:sz w:val="21"/>
          <w:szCs w:val="21"/>
        </w:rPr>
      </w:pPr>
      <w:r w:rsidRPr="00956498">
        <w:rPr>
          <w:b/>
          <w:sz w:val="21"/>
          <w:szCs w:val="21"/>
        </w:rPr>
        <w:t>5</w:t>
      </w:r>
      <w:r w:rsidRPr="00B1263F">
        <w:rPr>
          <w:sz w:val="21"/>
          <w:szCs w:val="21"/>
        </w:rPr>
        <w:t xml:space="preserve">. </w:t>
      </w:r>
      <w:r w:rsidRPr="00B1263F">
        <w:rPr>
          <w:b/>
          <w:sz w:val="21"/>
          <w:szCs w:val="21"/>
        </w:rPr>
        <w:t xml:space="preserve">Coordination of </w:t>
      </w:r>
      <w:r>
        <w:rPr>
          <w:b/>
          <w:sz w:val="21"/>
          <w:szCs w:val="21"/>
        </w:rPr>
        <w:t>S</w:t>
      </w:r>
      <w:r w:rsidR="000C45DD">
        <w:rPr>
          <w:b/>
          <w:sz w:val="21"/>
          <w:szCs w:val="21"/>
        </w:rPr>
        <w:t>-</w:t>
      </w:r>
      <w:r>
        <w:rPr>
          <w:b/>
          <w:sz w:val="21"/>
          <w:szCs w:val="21"/>
        </w:rPr>
        <w:t>1XX products and dissemination s</w:t>
      </w:r>
      <w:r w:rsidRPr="00B1263F">
        <w:rPr>
          <w:b/>
          <w:sz w:val="21"/>
          <w:szCs w:val="21"/>
        </w:rPr>
        <w:t>ervices</w:t>
      </w:r>
    </w:p>
    <w:p w14:paraId="6D9093C6" w14:textId="77777777" w:rsidR="008A02CC" w:rsidRDefault="008A02CC" w:rsidP="008A02CC">
      <w:pPr>
        <w:jc w:val="both"/>
        <w:rPr>
          <w:sz w:val="21"/>
          <w:szCs w:val="21"/>
        </w:rPr>
      </w:pPr>
    </w:p>
    <w:p w14:paraId="5E81F96E" w14:textId="77777777" w:rsidR="008A02CC" w:rsidRPr="00B6523A" w:rsidRDefault="008A02CC" w:rsidP="008A02CC">
      <w:pPr>
        <w:jc w:val="both"/>
        <w:rPr>
          <w:sz w:val="21"/>
          <w:szCs w:val="21"/>
        </w:rPr>
      </w:pPr>
      <w:r w:rsidRPr="00B6523A">
        <w:rPr>
          <w:sz w:val="21"/>
          <w:szCs w:val="21"/>
        </w:rPr>
        <w:t xml:space="preserve">5.1. A </w:t>
      </w:r>
      <w:r>
        <w:rPr>
          <w:sz w:val="21"/>
          <w:szCs w:val="21"/>
        </w:rPr>
        <w:t xml:space="preserve">Member State </w:t>
      </w:r>
      <w:r w:rsidRPr="00B6523A">
        <w:rPr>
          <w:sz w:val="21"/>
          <w:szCs w:val="21"/>
        </w:rPr>
        <w:t xml:space="preserve">is normally the S-1XX products producing country for waters within its national jurisdiction. </w:t>
      </w:r>
    </w:p>
    <w:p w14:paraId="3B4ADD62" w14:textId="77777777" w:rsidR="008A02CC" w:rsidRPr="00B1263F" w:rsidRDefault="008A02CC" w:rsidP="008A02CC">
      <w:pPr>
        <w:jc w:val="both"/>
        <w:rPr>
          <w:sz w:val="21"/>
          <w:szCs w:val="21"/>
        </w:rPr>
      </w:pPr>
    </w:p>
    <w:p w14:paraId="421BCC12" w14:textId="77777777" w:rsidR="008A02CC" w:rsidRPr="00B1263F" w:rsidRDefault="008A02CC" w:rsidP="008A02CC">
      <w:pPr>
        <w:jc w:val="both"/>
        <w:rPr>
          <w:sz w:val="21"/>
          <w:szCs w:val="21"/>
        </w:rPr>
      </w:pPr>
      <w:r>
        <w:rPr>
          <w:sz w:val="21"/>
          <w:szCs w:val="21"/>
        </w:rPr>
        <w:t>5</w:t>
      </w:r>
      <w:r w:rsidRPr="00B1263F">
        <w:rPr>
          <w:sz w:val="21"/>
          <w:szCs w:val="21"/>
        </w:rPr>
        <w:t>.</w:t>
      </w:r>
      <w:r>
        <w:rPr>
          <w:sz w:val="21"/>
          <w:szCs w:val="21"/>
        </w:rPr>
        <w:t>2</w:t>
      </w:r>
      <w:r w:rsidRPr="00B1263F">
        <w:rPr>
          <w:sz w:val="21"/>
          <w:szCs w:val="21"/>
        </w:rPr>
        <w:t xml:space="preserve">. When the limits of waters of national jurisdiction have not been established, or </w:t>
      </w:r>
      <w:r>
        <w:rPr>
          <w:sz w:val="21"/>
          <w:szCs w:val="21"/>
        </w:rPr>
        <w:t xml:space="preserve">when </w:t>
      </w:r>
      <w:r w:rsidRPr="00B1263F">
        <w:rPr>
          <w:sz w:val="21"/>
          <w:szCs w:val="21"/>
        </w:rPr>
        <w:t xml:space="preserve">it is more convenient to establish boundaries other than </w:t>
      </w:r>
      <w:r>
        <w:rPr>
          <w:sz w:val="21"/>
          <w:szCs w:val="21"/>
        </w:rPr>
        <w:t>waters of national jurisdiction</w:t>
      </w:r>
      <w:r w:rsidRPr="00B1263F">
        <w:rPr>
          <w:sz w:val="21"/>
          <w:szCs w:val="21"/>
        </w:rPr>
        <w:t>, countries</w:t>
      </w:r>
      <w:r>
        <w:rPr>
          <w:rStyle w:val="FootnoteReference"/>
          <w:sz w:val="21"/>
          <w:szCs w:val="21"/>
        </w:rPr>
        <w:footnoteReference w:id="11"/>
      </w:r>
      <w:r w:rsidRPr="00B1263F">
        <w:rPr>
          <w:sz w:val="21"/>
          <w:szCs w:val="21"/>
        </w:rPr>
        <w:t xml:space="preserve"> may define the boundaries for </w:t>
      </w:r>
      <w:r>
        <w:rPr>
          <w:sz w:val="21"/>
          <w:szCs w:val="21"/>
        </w:rPr>
        <w:t xml:space="preserve">production of S-1XX products </w:t>
      </w:r>
      <w:r w:rsidRPr="00B1263F">
        <w:rPr>
          <w:sz w:val="21"/>
          <w:szCs w:val="21"/>
        </w:rPr>
        <w:t>within a bi</w:t>
      </w:r>
      <w:r>
        <w:rPr>
          <w:sz w:val="21"/>
          <w:szCs w:val="21"/>
        </w:rPr>
        <w:t>/multi</w:t>
      </w:r>
      <w:r w:rsidRPr="00B1263F">
        <w:rPr>
          <w:sz w:val="21"/>
          <w:szCs w:val="21"/>
        </w:rPr>
        <w:t>lateral technical arrangement. These limits would be for convenience only and shall not be construed as having any significance or status regarding political or other jurisdictional boundaries.</w:t>
      </w:r>
    </w:p>
    <w:p w14:paraId="3F70B5B7" w14:textId="77777777" w:rsidR="008A02CC" w:rsidRDefault="008A02CC" w:rsidP="008A02CC">
      <w:pPr>
        <w:jc w:val="both"/>
        <w:rPr>
          <w:sz w:val="21"/>
          <w:szCs w:val="21"/>
        </w:rPr>
      </w:pPr>
    </w:p>
    <w:p w14:paraId="61F80BE3" w14:textId="0ADC3AD6" w:rsidR="008A02CC" w:rsidRDefault="008A02CC" w:rsidP="008A02CC">
      <w:pPr>
        <w:jc w:val="both"/>
        <w:rPr>
          <w:sz w:val="21"/>
          <w:szCs w:val="21"/>
        </w:rPr>
      </w:pPr>
      <w:r>
        <w:rPr>
          <w:sz w:val="21"/>
          <w:szCs w:val="21"/>
        </w:rPr>
        <w:t xml:space="preserve">5.3. </w:t>
      </w:r>
      <w:r w:rsidRPr="002F4F87">
        <w:rPr>
          <w:sz w:val="21"/>
          <w:szCs w:val="21"/>
        </w:rPr>
        <w:t xml:space="preserve">In </w:t>
      </w:r>
      <w:r>
        <w:rPr>
          <w:sz w:val="21"/>
          <w:szCs w:val="21"/>
        </w:rPr>
        <w:t>waters</w:t>
      </w:r>
      <w:r w:rsidRPr="002F4F87">
        <w:rPr>
          <w:sz w:val="21"/>
          <w:szCs w:val="21"/>
        </w:rPr>
        <w:t xml:space="preserve"> of national jurisdiction for which there </w:t>
      </w:r>
      <w:r>
        <w:rPr>
          <w:sz w:val="21"/>
          <w:szCs w:val="21"/>
        </w:rPr>
        <w:t>are</w:t>
      </w:r>
      <w:r w:rsidRPr="002F4F87">
        <w:rPr>
          <w:sz w:val="21"/>
          <w:szCs w:val="21"/>
        </w:rPr>
        <w:t xml:space="preserve"> no </w:t>
      </w:r>
      <w:r>
        <w:rPr>
          <w:sz w:val="21"/>
          <w:szCs w:val="21"/>
        </w:rPr>
        <w:t xml:space="preserve">provisions in place for production or dissemination of S-1XX products, </w:t>
      </w:r>
      <w:r w:rsidRPr="002F4F87">
        <w:rPr>
          <w:sz w:val="21"/>
          <w:szCs w:val="21"/>
        </w:rPr>
        <w:t xml:space="preserve">the coastal </w:t>
      </w:r>
      <w:r>
        <w:rPr>
          <w:sz w:val="21"/>
          <w:szCs w:val="21"/>
        </w:rPr>
        <w:t xml:space="preserve">Member </w:t>
      </w:r>
      <w:r w:rsidRPr="002F4F87">
        <w:rPr>
          <w:sz w:val="21"/>
          <w:szCs w:val="21"/>
        </w:rPr>
        <w:t>State may designate the</w:t>
      </w:r>
      <w:r>
        <w:rPr>
          <w:sz w:val="21"/>
          <w:szCs w:val="21"/>
        </w:rPr>
        <w:t xml:space="preserve">se functions to another provider </w:t>
      </w:r>
      <w:r w:rsidR="000E1653">
        <w:rPr>
          <w:sz w:val="21"/>
          <w:szCs w:val="21"/>
        </w:rPr>
        <w:t>State</w:t>
      </w:r>
      <w:r w:rsidRPr="002F4F87">
        <w:rPr>
          <w:sz w:val="21"/>
          <w:szCs w:val="21"/>
        </w:rPr>
        <w:t xml:space="preserve">. </w:t>
      </w:r>
      <w:r>
        <w:rPr>
          <w:sz w:val="21"/>
          <w:szCs w:val="21"/>
        </w:rPr>
        <w:t xml:space="preserve">S-1XX products </w:t>
      </w:r>
      <w:r w:rsidRPr="002F4F87">
        <w:rPr>
          <w:sz w:val="21"/>
          <w:szCs w:val="21"/>
        </w:rPr>
        <w:t xml:space="preserve">produced </w:t>
      </w:r>
      <w:r>
        <w:rPr>
          <w:sz w:val="21"/>
          <w:szCs w:val="21"/>
        </w:rPr>
        <w:t xml:space="preserve">and/or disseminated </w:t>
      </w:r>
      <w:r w:rsidRPr="002F4F87">
        <w:rPr>
          <w:sz w:val="21"/>
          <w:szCs w:val="21"/>
        </w:rPr>
        <w:t xml:space="preserve">under such arrangements should be offered for transfer to the coastal </w:t>
      </w:r>
      <w:r>
        <w:rPr>
          <w:sz w:val="21"/>
          <w:szCs w:val="21"/>
        </w:rPr>
        <w:t xml:space="preserve">Member </w:t>
      </w:r>
      <w:r w:rsidRPr="002F4F87">
        <w:rPr>
          <w:sz w:val="21"/>
          <w:szCs w:val="21"/>
        </w:rPr>
        <w:t xml:space="preserve">State in the event that the coastal </w:t>
      </w:r>
      <w:r>
        <w:rPr>
          <w:sz w:val="21"/>
          <w:szCs w:val="21"/>
        </w:rPr>
        <w:t xml:space="preserve">Member </w:t>
      </w:r>
      <w:r w:rsidRPr="002F4F87">
        <w:rPr>
          <w:sz w:val="21"/>
          <w:szCs w:val="21"/>
        </w:rPr>
        <w:t xml:space="preserve">State subsequently develops the capacity </w:t>
      </w:r>
      <w:r>
        <w:rPr>
          <w:sz w:val="21"/>
          <w:szCs w:val="21"/>
        </w:rPr>
        <w:t>for these functions</w:t>
      </w:r>
      <w:r w:rsidRPr="002F4F87">
        <w:rPr>
          <w:sz w:val="21"/>
          <w:szCs w:val="21"/>
        </w:rPr>
        <w:t xml:space="preserve">. Such transfer should respect the rights of </w:t>
      </w:r>
      <w:r>
        <w:rPr>
          <w:sz w:val="21"/>
          <w:szCs w:val="21"/>
        </w:rPr>
        <w:t xml:space="preserve">Member </w:t>
      </w:r>
      <w:r w:rsidRPr="002F4F87">
        <w:rPr>
          <w:sz w:val="21"/>
          <w:szCs w:val="21"/>
        </w:rPr>
        <w:t>State</w:t>
      </w:r>
      <w:r>
        <w:rPr>
          <w:sz w:val="21"/>
          <w:szCs w:val="21"/>
        </w:rPr>
        <w:t xml:space="preserve">s and providing </w:t>
      </w:r>
      <w:r w:rsidR="000E1653">
        <w:rPr>
          <w:sz w:val="21"/>
          <w:szCs w:val="21"/>
        </w:rPr>
        <w:t>State</w:t>
      </w:r>
      <w:r>
        <w:rPr>
          <w:sz w:val="21"/>
          <w:szCs w:val="21"/>
        </w:rPr>
        <w:t xml:space="preserve"> (see also paragraph </w:t>
      </w:r>
      <w:r w:rsidR="000E1653">
        <w:rPr>
          <w:sz w:val="21"/>
          <w:szCs w:val="21"/>
        </w:rPr>
        <w:t xml:space="preserve">4.3 and </w:t>
      </w:r>
      <w:r>
        <w:rPr>
          <w:sz w:val="21"/>
          <w:szCs w:val="21"/>
        </w:rPr>
        <w:t>4.8).</w:t>
      </w:r>
      <w:r w:rsidRPr="002F4F87">
        <w:rPr>
          <w:sz w:val="21"/>
          <w:szCs w:val="21"/>
        </w:rPr>
        <w:t xml:space="preserve"> </w:t>
      </w:r>
    </w:p>
    <w:p w14:paraId="03ECFE93" w14:textId="77777777" w:rsidR="008A02CC" w:rsidRDefault="008A02CC" w:rsidP="008A02CC">
      <w:pPr>
        <w:jc w:val="both"/>
        <w:rPr>
          <w:sz w:val="21"/>
          <w:szCs w:val="21"/>
        </w:rPr>
      </w:pPr>
    </w:p>
    <w:p w14:paraId="35EF1197" w14:textId="12A25A3B" w:rsidR="008A02CC" w:rsidRPr="00B1263F" w:rsidRDefault="008A02CC" w:rsidP="008A02CC">
      <w:pPr>
        <w:jc w:val="both"/>
        <w:rPr>
          <w:sz w:val="21"/>
          <w:szCs w:val="21"/>
        </w:rPr>
      </w:pPr>
      <w:r>
        <w:rPr>
          <w:sz w:val="21"/>
          <w:szCs w:val="21"/>
        </w:rPr>
        <w:t>5</w:t>
      </w:r>
      <w:r w:rsidRPr="00B1263F">
        <w:rPr>
          <w:sz w:val="21"/>
          <w:szCs w:val="21"/>
        </w:rPr>
        <w:t>.</w:t>
      </w:r>
      <w:r>
        <w:rPr>
          <w:sz w:val="21"/>
          <w:szCs w:val="21"/>
        </w:rPr>
        <w:t>4</w:t>
      </w:r>
      <w:r w:rsidRPr="00B1263F">
        <w:rPr>
          <w:sz w:val="21"/>
          <w:szCs w:val="21"/>
        </w:rPr>
        <w:t>.</w:t>
      </w:r>
      <w:r>
        <w:rPr>
          <w:sz w:val="21"/>
          <w:szCs w:val="21"/>
        </w:rPr>
        <w:t xml:space="preserve"> In order to ensure unambiguous safety of navigation, concurrent (“overlapping”) S-1XX products </w:t>
      </w:r>
      <w:r w:rsidRPr="00B1263F">
        <w:rPr>
          <w:sz w:val="21"/>
          <w:szCs w:val="21"/>
        </w:rPr>
        <w:t xml:space="preserve">should be avoided, particularly where official, nationally provided </w:t>
      </w:r>
      <w:r>
        <w:rPr>
          <w:sz w:val="21"/>
          <w:szCs w:val="21"/>
        </w:rPr>
        <w:t>products</w:t>
      </w:r>
      <w:r w:rsidRPr="00B1263F">
        <w:rPr>
          <w:sz w:val="21"/>
          <w:szCs w:val="21"/>
        </w:rPr>
        <w:t xml:space="preserve"> are available</w:t>
      </w:r>
      <w:r>
        <w:rPr>
          <w:rStyle w:val="FootnoteReference"/>
          <w:sz w:val="21"/>
          <w:szCs w:val="21"/>
        </w:rPr>
        <w:footnoteReference w:id="12"/>
      </w:r>
      <w:r w:rsidRPr="00B1263F">
        <w:rPr>
          <w:sz w:val="21"/>
          <w:szCs w:val="21"/>
        </w:rPr>
        <w:t xml:space="preserve">. A </w:t>
      </w:r>
      <w:r>
        <w:rPr>
          <w:sz w:val="21"/>
          <w:szCs w:val="21"/>
        </w:rPr>
        <w:t>unique</w:t>
      </w:r>
      <w:r w:rsidRPr="00B1263F">
        <w:rPr>
          <w:sz w:val="21"/>
          <w:szCs w:val="21"/>
        </w:rPr>
        <w:t xml:space="preserve"> producing authority should exist in any given area for </w:t>
      </w:r>
      <w:r>
        <w:rPr>
          <w:sz w:val="21"/>
          <w:szCs w:val="21"/>
        </w:rPr>
        <w:t xml:space="preserve">each S-1XX </w:t>
      </w:r>
      <w:r>
        <w:rPr>
          <w:color w:val="000000"/>
          <w:kern w:val="24"/>
          <w:sz w:val="21"/>
          <w:szCs w:val="21"/>
        </w:rPr>
        <w:t>product when used together</w:t>
      </w:r>
      <w:r w:rsidRPr="00576B33">
        <w:rPr>
          <w:color w:val="000000"/>
          <w:kern w:val="24"/>
          <w:sz w:val="21"/>
          <w:szCs w:val="21"/>
        </w:rPr>
        <w:t xml:space="preserve"> </w:t>
      </w:r>
      <w:r>
        <w:rPr>
          <w:color w:val="000000"/>
          <w:kern w:val="24"/>
          <w:sz w:val="21"/>
          <w:szCs w:val="21"/>
        </w:rPr>
        <w:t>with (future) ECDIS</w:t>
      </w:r>
      <w:r>
        <w:rPr>
          <w:rStyle w:val="FootnoteReference"/>
          <w:color w:val="000000"/>
          <w:kern w:val="24"/>
          <w:sz w:val="21"/>
          <w:szCs w:val="21"/>
        </w:rPr>
        <w:footnoteReference w:id="13"/>
      </w:r>
      <w:r w:rsidRPr="00B1263F">
        <w:rPr>
          <w:sz w:val="21"/>
          <w:szCs w:val="21"/>
        </w:rPr>
        <w:t xml:space="preserve">, though the same </w:t>
      </w:r>
      <w:r>
        <w:rPr>
          <w:sz w:val="21"/>
          <w:szCs w:val="21"/>
        </w:rPr>
        <w:t xml:space="preserve">unique </w:t>
      </w:r>
      <w:r w:rsidRPr="00B1263F">
        <w:rPr>
          <w:sz w:val="21"/>
          <w:szCs w:val="21"/>
        </w:rPr>
        <w:t xml:space="preserve">authority need not provide all </w:t>
      </w:r>
      <w:r>
        <w:rPr>
          <w:sz w:val="21"/>
          <w:szCs w:val="21"/>
        </w:rPr>
        <w:t>S-1XX products</w:t>
      </w:r>
      <w:r w:rsidRPr="00B1263F">
        <w:rPr>
          <w:sz w:val="21"/>
          <w:szCs w:val="21"/>
        </w:rPr>
        <w:t xml:space="preserve">. </w:t>
      </w:r>
    </w:p>
    <w:p w14:paraId="2F828C92" w14:textId="77777777" w:rsidR="008A02CC" w:rsidRPr="002F4F87" w:rsidRDefault="008A02CC" w:rsidP="008A02CC">
      <w:pPr>
        <w:jc w:val="both"/>
        <w:rPr>
          <w:sz w:val="21"/>
          <w:szCs w:val="21"/>
        </w:rPr>
      </w:pPr>
    </w:p>
    <w:p w14:paraId="3E579827" w14:textId="29116243" w:rsidR="008A02CC" w:rsidRDefault="008A02CC" w:rsidP="008A02CC">
      <w:pPr>
        <w:jc w:val="both"/>
        <w:rPr>
          <w:sz w:val="21"/>
          <w:szCs w:val="21"/>
        </w:rPr>
      </w:pPr>
      <w:r>
        <w:rPr>
          <w:sz w:val="21"/>
          <w:szCs w:val="21"/>
        </w:rPr>
        <w:lastRenderedPageBreak/>
        <w:t>5.5</w:t>
      </w:r>
      <w:r w:rsidR="000C45DD">
        <w:rPr>
          <w:sz w:val="21"/>
          <w:szCs w:val="21"/>
        </w:rPr>
        <w:t>.</w:t>
      </w:r>
      <w:r>
        <w:rPr>
          <w:sz w:val="21"/>
          <w:szCs w:val="21"/>
        </w:rPr>
        <w:t xml:space="preserve"> Member States will address coverage of S-1XX products on a regional basis through Regional Hydrographic Commissions (RHCs), and the WENDWG will monitor the overall coverage on a global basis, reporting to IRCC</w:t>
      </w:r>
      <w:r>
        <w:rPr>
          <w:rStyle w:val="FootnoteReference"/>
          <w:sz w:val="21"/>
          <w:szCs w:val="21"/>
        </w:rPr>
        <w:footnoteReference w:id="14"/>
      </w:r>
      <w:r>
        <w:rPr>
          <w:sz w:val="21"/>
          <w:szCs w:val="21"/>
        </w:rPr>
        <w:t xml:space="preserve">. </w:t>
      </w:r>
    </w:p>
    <w:p w14:paraId="4174E536" w14:textId="77777777" w:rsidR="008A02CC" w:rsidRDefault="008A02CC" w:rsidP="008A02CC">
      <w:pPr>
        <w:jc w:val="both"/>
        <w:rPr>
          <w:sz w:val="21"/>
          <w:szCs w:val="21"/>
        </w:rPr>
      </w:pPr>
    </w:p>
    <w:p w14:paraId="3C8A28AD" w14:textId="77777777" w:rsidR="008A02CC" w:rsidRDefault="008A02CC" w:rsidP="008A02CC">
      <w:pPr>
        <w:jc w:val="both"/>
        <w:rPr>
          <w:sz w:val="21"/>
          <w:szCs w:val="21"/>
        </w:rPr>
      </w:pPr>
      <w:r>
        <w:rPr>
          <w:sz w:val="21"/>
          <w:szCs w:val="21"/>
        </w:rPr>
        <w:t>5</w:t>
      </w:r>
      <w:r w:rsidRPr="00B1263F">
        <w:rPr>
          <w:sz w:val="21"/>
          <w:szCs w:val="21"/>
        </w:rPr>
        <w:t>.</w:t>
      </w:r>
      <w:r>
        <w:rPr>
          <w:sz w:val="21"/>
          <w:szCs w:val="21"/>
        </w:rPr>
        <w:t>6</w:t>
      </w:r>
      <w:r w:rsidRPr="00824E89">
        <w:rPr>
          <w:sz w:val="21"/>
          <w:szCs w:val="21"/>
        </w:rPr>
        <w:t>.</w:t>
      </w:r>
      <w:r>
        <w:rPr>
          <w:sz w:val="21"/>
          <w:szCs w:val="21"/>
        </w:rPr>
        <w:t xml:space="preserve"> T</w:t>
      </w:r>
      <w:r w:rsidRPr="00824E89">
        <w:rPr>
          <w:sz w:val="21"/>
          <w:szCs w:val="21"/>
        </w:rPr>
        <w:t xml:space="preserve">he applicable </w:t>
      </w:r>
      <w:r>
        <w:rPr>
          <w:sz w:val="21"/>
          <w:szCs w:val="21"/>
        </w:rPr>
        <w:t xml:space="preserve">RHC </w:t>
      </w:r>
      <w:r w:rsidRPr="00B1263F">
        <w:rPr>
          <w:sz w:val="21"/>
          <w:szCs w:val="21"/>
        </w:rPr>
        <w:t xml:space="preserve">may </w:t>
      </w:r>
      <w:r>
        <w:rPr>
          <w:sz w:val="21"/>
          <w:szCs w:val="21"/>
        </w:rPr>
        <w:t>facilitate</w:t>
      </w:r>
      <w:r w:rsidRPr="00B1263F">
        <w:rPr>
          <w:sz w:val="21"/>
          <w:szCs w:val="21"/>
        </w:rPr>
        <w:t xml:space="preserve"> </w:t>
      </w:r>
      <w:r>
        <w:rPr>
          <w:sz w:val="21"/>
          <w:szCs w:val="21"/>
        </w:rPr>
        <w:t>arrangements for production and dissemination of S-1XX products.</w:t>
      </w:r>
      <w:r w:rsidRPr="00B1263F">
        <w:rPr>
          <w:sz w:val="21"/>
          <w:szCs w:val="21"/>
        </w:rPr>
        <w:t xml:space="preserve"> </w:t>
      </w:r>
      <w:r w:rsidRPr="002F4F87">
        <w:rPr>
          <w:sz w:val="21"/>
          <w:szCs w:val="21"/>
        </w:rPr>
        <w:t xml:space="preserve">RHCs should engage with data owners, product and service providers, and other stakeholders as appropriate to ensure </w:t>
      </w:r>
      <w:r>
        <w:rPr>
          <w:sz w:val="21"/>
          <w:szCs w:val="21"/>
        </w:rPr>
        <w:t xml:space="preserve">that </w:t>
      </w:r>
      <w:r w:rsidRPr="002F4F87">
        <w:rPr>
          <w:sz w:val="21"/>
          <w:szCs w:val="21"/>
        </w:rPr>
        <w:t>a coordinated and cohesive regional approach is considered</w:t>
      </w:r>
      <w:r>
        <w:rPr>
          <w:rStyle w:val="FootnoteReference"/>
          <w:sz w:val="21"/>
          <w:szCs w:val="21"/>
        </w:rPr>
        <w:footnoteReference w:id="15"/>
      </w:r>
      <w:r w:rsidRPr="002F4F87">
        <w:rPr>
          <w:sz w:val="21"/>
          <w:szCs w:val="21"/>
        </w:rPr>
        <w:t>.</w:t>
      </w:r>
      <w:r>
        <w:rPr>
          <w:sz w:val="21"/>
          <w:szCs w:val="21"/>
        </w:rPr>
        <w:t xml:space="preserve"> Also, the existing RENC structure </w:t>
      </w:r>
      <w:r w:rsidRPr="00B1263F">
        <w:rPr>
          <w:sz w:val="21"/>
          <w:szCs w:val="21"/>
        </w:rPr>
        <w:t xml:space="preserve">may </w:t>
      </w:r>
      <w:r>
        <w:rPr>
          <w:sz w:val="21"/>
          <w:szCs w:val="21"/>
        </w:rPr>
        <w:t>facilitate co-operation between individual Member States and support RHC’s to achieve appropriate S-1XX product coverage</w:t>
      </w:r>
      <w:r>
        <w:rPr>
          <w:rStyle w:val="CommentReference"/>
        </w:rPr>
        <w:t>.</w:t>
      </w:r>
    </w:p>
    <w:p w14:paraId="1B474972" w14:textId="77777777" w:rsidR="008A02CC" w:rsidRDefault="008A02CC" w:rsidP="008A02CC">
      <w:pPr>
        <w:jc w:val="both"/>
        <w:rPr>
          <w:sz w:val="21"/>
          <w:szCs w:val="21"/>
        </w:rPr>
      </w:pPr>
    </w:p>
    <w:p w14:paraId="18D950AA" w14:textId="77777777" w:rsidR="008A02CC" w:rsidRPr="00B1263F" w:rsidRDefault="008A02CC" w:rsidP="008A02CC">
      <w:pPr>
        <w:jc w:val="both"/>
        <w:rPr>
          <w:b/>
          <w:sz w:val="21"/>
          <w:szCs w:val="21"/>
        </w:rPr>
      </w:pPr>
      <w:r w:rsidRPr="00956498">
        <w:rPr>
          <w:b/>
          <w:sz w:val="21"/>
          <w:szCs w:val="21"/>
        </w:rPr>
        <w:t>6.</w:t>
      </w:r>
      <w:r>
        <w:rPr>
          <w:b/>
          <w:sz w:val="21"/>
          <w:szCs w:val="21"/>
        </w:rPr>
        <w:t xml:space="preserve"> </w:t>
      </w:r>
      <w:r w:rsidRPr="00B1263F">
        <w:rPr>
          <w:b/>
          <w:sz w:val="21"/>
          <w:szCs w:val="21"/>
        </w:rPr>
        <w:t xml:space="preserve">Maintenance and Improvement of </w:t>
      </w:r>
      <w:r>
        <w:rPr>
          <w:b/>
          <w:sz w:val="21"/>
          <w:szCs w:val="21"/>
        </w:rPr>
        <w:t xml:space="preserve">product and dissemination </w:t>
      </w:r>
      <w:r w:rsidRPr="00B1263F">
        <w:rPr>
          <w:b/>
          <w:sz w:val="21"/>
          <w:szCs w:val="21"/>
        </w:rPr>
        <w:t>Services</w:t>
      </w:r>
    </w:p>
    <w:p w14:paraId="63F850B7" w14:textId="77777777" w:rsidR="008A02CC" w:rsidRPr="00B1263F" w:rsidRDefault="008A02CC" w:rsidP="008A02CC">
      <w:pPr>
        <w:jc w:val="both"/>
        <w:rPr>
          <w:sz w:val="21"/>
          <w:szCs w:val="21"/>
        </w:rPr>
      </w:pPr>
    </w:p>
    <w:p w14:paraId="483D56D8" w14:textId="77777777" w:rsidR="008A02CC" w:rsidRPr="00B1263F" w:rsidRDefault="008A02CC" w:rsidP="008A02CC">
      <w:pPr>
        <w:jc w:val="both"/>
        <w:rPr>
          <w:sz w:val="21"/>
          <w:szCs w:val="21"/>
        </w:rPr>
      </w:pPr>
      <w:r>
        <w:rPr>
          <w:sz w:val="21"/>
          <w:szCs w:val="21"/>
        </w:rPr>
        <w:t>6</w:t>
      </w:r>
      <w:r w:rsidRPr="00B1263F">
        <w:rPr>
          <w:sz w:val="21"/>
          <w:szCs w:val="21"/>
        </w:rPr>
        <w:t>.1. Member States are encouraged to work together on data capture</w:t>
      </w:r>
      <w:r>
        <w:rPr>
          <w:sz w:val="21"/>
          <w:szCs w:val="21"/>
        </w:rPr>
        <w:t>, data quality,</w:t>
      </w:r>
      <w:r w:rsidRPr="00B1263F">
        <w:rPr>
          <w:sz w:val="21"/>
          <w:szCs w:val="21"/>
        </w:rPr>
        <w:t xml:space="preserve"> and data management. To the extent possible, data should be widely shared to support continual updates and improvements of </w:t>
      </w:r>
      <w:r>
        <w:rPr>
          <w:sz w:val="21"/>
          <w:szCs w:val="21"/>
        </w:rPr>
        <w:t>S-1XX products</w:t>
      </w:r>
      <w:r w:rsidRPr="00B1263F">
        <w:rPr>
          <w:sz w:val="21"/>
          <w:szCs w:val="21"/>
        </w:rPr>
        <w:t>.</w:t>
      </w:r>
    </w:p>
    <w:p w14:paraId="7439788E" w14:textId="77777777" w:rsidR="008A02CC" w:rsidRPr="00B1263F" w:rsidRDefault="008A02CC" w:rsidP="008A02CC">
      <w:pPr>
        <w:jc w:val="both"/>
        <w:rPr>
          <w:sz w:val="21"/>
          <w:szCs w:val="21"/>
        </w:rPr>
      </w:pPr>
      <w:r w:rsidRPr="00B1263F">
        <w:rPr>
          <w:sz w:val="21"/>
          <w:szCs w:val="21"/>
        </w:rPr>
        <w:t xml:space="preserve"> </w:t>
      </w:r>
    </w:p>
    <w:p w14:paraId="5BD2C27D" w14:textId="46896C75" w:rsidR="008A02CC" w:rsidRDefault="008A02CC" w:rsidP="008A02CC">
      <w:pPr>
        <w:jc w:val="both"/>
        <w:rPr>
          <w:sz w:val="21"/>
          <w:szCs w:val="21"/>
        </w:rPr>
      </w:pPr>
      <w:r>
        <w:rPr>
          <w:sz w:val="21"/>
          <w:szCs w:val="21"/>
        </w:rPr>
        <w:t>6</w:t>
      </w:r>
      <w:r w:rsidRPr="00B1263F">
        <w:rPr>
          <w:sz w:val="21"/>
          <w:szCs w:val="21"/>
        </w:rPr>
        <w:t>.2. Technically and economically effective solutions for updating</w:t>
      </w:r>
      <w:r>
        <w:rPr>
          <w:sz w:val="21"/>
          <w:szCs w:val="21"/>
        </w:rPr>
        <w:t xml:space="preserve"> S-1XX products </w:t>
      </w:r>
      <w:r w:rsidRPr="00B1263F">
        <w:rPr>
          <w:sz w:val="21"/>
          <w:szCs w:val="21"/>
        </w:rPr>
        <w:t xml:space="preserve">are to be established conforming to the relevant IHO </w:t>
      </w:r>
      <w:r>
        <w:rPr>
          <w:sz w:val="21"/>
          <w:szCs w:val="21"/>
        </w:rPr>
        <w:t xml:space="preserve">and IMO </w:t>
      </w:r>
      <w:r w:rsidR="00486F2A">
        <w:rPr>
          <w:sz w:val="21"/>
          <w:szCs w:val="21"/>
        </w:rPr>
        <w:t>publications</w:t>
      </w:r>
      <w:r w:rsidRPr="00B1263F">
        <w:rPr>
          <w:sz w:val="21"/>
          <w:szCs w:val="21"/>
        </w:rPr>
        <w:t xml:space="preserve">. The updating of </w:t>
      </w:r>
      <w:r>
        <w:rPr>
          <w:sz w:val="21"/>
          <w:szCs w:val="21"/>
        </w:rPr>
        <w:t xml:space="preserve">the various S-1XX products </w:t>
      </w:r>
      <w:r w:rsidRPr="00B1263F">
        <w:rPr>
          <w:sz w:val="21"/>
          <w:szCs w:val="21"/>
        </w:rPr>
        <w:t xml:space="preserve">should </w:t>
      </w:r>
      <w:r>
        <w:rPr>
          <w:sz w:val="21"/>
          <w:szCs w:val="21"/>
        </w:rPr>
        <w:t xml:space="preserve">adopt current </w:t>
      </w:r>
      <w:r w:rsidRPr="00AE1244">
        <w:rPr>
          <w:sz w:val="21"/>
          <w:szCs w:val="21"/>
        </w:rPr>
        <w:t>dissemination technology</w:t>
      </w:r>
      <w:r>
        <w:rPr>
          <w:sz w:val="21"/>
          <w:szCs w:val="21"/>
        </w:rPr>
        <w:t xml:space="preserve"> and </w:t>
      </w:r>
      <w:r w:rsidRPr="00B1263F">
        <w:rPr>
          <w:sz w:val="21"/>
          <w:szCs w:val="21"/>
        </w:rPr>
        <w:t xml:space="preserve">be at least as frequent as previous </w:t>
      </w:r>
      <w:r>
        <w:rPr>
          <w:sz w:val="21"/>
          <w:szCs w:val="21"/>
        </w:rPr>
        <w:t>dissemination mechanisms.</w:t>
      </w:r>
    </w:p>
    <w:p w14:paraId="3F7C2C9F" w14:textId="77777777" w:rsidR="008A02CC" w:rsidRPr="00B1263F" w:rsidRDefault="008A02CC" w:rsidP="008A02CC">
      <w:pPr>
        <w:jc w:val="both"/>
        <w:rPr>
          <w:sz w:val="21"/>
          <w:szCs w:val="21"/>
        </w:rPr>
      </w:pPr>
    </w:p>
    <w:p w14:paraId="19C8A93B" w14:textId="77777777" w:rsidR="008A02CC" w:rsidRPr="00B1263F" w:rsidRDefault="008A02CC" w:rsidP="008A02CC">
      <w:pPr>
        <w:jc w:val="both"/>
        <w:rPr>
          <w:b/>
          <w:sz w:val="21"/>
          <w:szCs w:val="21"/>
        </w:rPr>
      </w:pPr>
      <w:r w:rsidRPr="00956498">
        <w:rPr>
          <w:b/>
          <w:sz w:val="21"/>
          <w:szCs w:val="21"/>
        </w:rPr>
        <w:t>7.</w:t>
      </w:r>
      <w:r w:rsidRPr="00B1263F">
        <w:rPr>
          <w:sz w:val="21"/>
          <w:szCs w:val="21"/>
        </w:rPr>
        <w:t xml:space="preserve"> </w:t>
      </w:r>
      <w:r w:rsidRPr="00B1263F">
        <w:rPr>
          <w:b/>
          <w:sz w:val="21"/>
          <w:szCs w:val="21"/>
        </w:rPr>
        <w:t>Quality Management</w:t>
      </w:r>
    </w:p>
    <w:p w14:paraId="4210EB44" w14:textId="77777777" w:rsidR="008A02CC" w:rsidRPr="00B1263F" w:rsidRDefault="008A02CC" w:rsidP="008A02CC">
      <w:pPr>
        <w:jc w:val="both"/>
        <w:rPr>
          <w:sz w:val="21"/>
          <w:szCs w:val="21"/>
        </w:rPr>
      </w:pPr>
    </w:p>
    <w:p w14:paraId="1E1E5756" w14:textId="77777777" w:rsidR="008A02CC" w:rsidRPr="00B1263F" w:rsidRDefault="008A02CC" w:rsidP="008A02CC">
      <w:pPr>
        <w:jc w:val="both"/>
        <w:rPr>
          <w:sz w:val="21"/>
          <w:szCs w:val="21"/>
        </w:rPr>
      </w:pPr>
      <w:r>
        <w:rPr>
          <w:sz w:val="21"/>
          <w:szCs w:val="21"/>
        </w:rPr>
        <w:t>7.</w:t>
      </w:r>
      <w:r w:rsidRPr="00B1263F">
        <w:rPr>
          <w:sz w:val="21"/>
          <w:szCs w:val="21"/>
        </w:rPr>
        <w:t xml:space="preserve">1. </w:t>
      </w:r>
      <w:r>
        <w:rPr>
          <w:sz w:val="21"/>
          <w:szCs w:val="21"/>
        </w:rPr>
        <w:t>S-1XX product producers and/or dissemination s</w:t>
      </w:r>
      <w:r w:rsidRPr="00C02C6F">
        <w:rPr>
          <w:sz w:val="21"/>
          <w:szCs w:val="21"/>
        </w:rPr>
        <w:t>ervice providers</w:t>
      </w:r>
      <w:r w:rsidRPr="00B1263F">
        <w:rPr>
          <w:sz w:val="21"/>
          <w:szCs w:val="21"/>
        </w:rPr>
        <w:t xml:space="preserve"> should </w:t>
      </w:r>
      <w:r>
        <w:rPr>
          <w:sz w:val="21"/>
          <w:szCs w:val="21"/>
        </w:rPr>
        <w:t xml:space="preserve">consider </w:t>
      </w:r>
      <w:r w:rsidRPr="00B1263F">
        <w:rPr>
          <w:sz w:val="21"/>
          <w:szCs w:val="21"/>
        </w:rPr>
        <w:t xml:space="preserve">a documented Quality Management System to ensure high quality of </w:t>
      </w:r>
      <w:r>
        <w:rPr>
          <w:sz w:val="21"/>
          <w:szCs w:val="21"/>
        </w:rPr>
        <w:t>work</w:t>
      </w:r>
      <w:r w:rsidRPr="00B1263F">
        <w:rPr>
          <w:sz w:val="21"/>
          <w:szCs w:val="21"/>
        </w:rPr>
        <w:t>. When implemented, this should be certified by a relevant body as conforming to a suitable recognized standard</w:t>
      </w:r>
      <w:r>
        <w:rPr>
          <w:sz w:val="21"/>
          <w:szCs w:val="21"/>
        </w:rPr>
        <w:t>,</w:t>
      </w:r>
      <w:r w:rsidRPr="00B1263F">
        <w:rPr>
          <w:sz w:val="21"/>
          <w:szCs w:val="21"/>
        </w:rPr>
        <w:t xml:space="preserve"> typically this will be ISO 9001.</w:t>
      </w:r>
      <w:r>
        <w:rPr>
          <w:sz w:val="21"/>
          <w:szCs w:val="21"/>
        </w:rPr>
        <w:t xml:space="preserve"> </w:t>
      </w:r>
    </w:p>
    <w:p w14:paraId="0D094A99" w14:textId="77777777" w:rsidR="008A02CC" w:rsidRPr="00B1263F" w:rsidRDefault="008A02CC" w:rsidP="008A02CC">
      <w:pPr>
        <w:jc w:val="both"/>
        <w:rPr>
          <w:sz w:val="21"/>
          <w:szCs w:val="21"/>
        </w:rPr>
      </w:pPr>
    </w:p>
    <w:p w14:paraId="387F8695" w14:textId="77777777" w:rsidR="008A02CC" w:rsidRPr="00B1263F" w:rsidRDefault="008A02CC" w:rsidP="008A02CC">
      <w:pPr>
        <w:jc w:val="both"/>
        <w:rPr>
          <w:b/>
          <w:sz w:val="21"/>
          <w:szCs w:val="21"/>
        </w:rPr>
      </w:pPr>
      <w:r w:rsidRPr="00956498">
        <w:rPr>
          <w:b/>
          <w:sz w:val="21"/>
          <w:szCs w:val="21"/>
        </w:rPr>
        <w:t>8.</w:t>
      </w:r>
      <w:r w:rsidRPr="00B1263F">
        <w:rPr>
          <w:sz w:val="21"/>
          <w:szCs w:val="21"/>
        </w:rPr>
        <w:t xml:space="preserve"> </w:t>
      </w:r>
      <w:r w:rsidRPr="00B1263F">
        <w:rPr>
          <w:b/>
          <w:sz w:val="21"/>
          <w:szCs w:val="21"/>
        </w:rPr>
        <w:t>Mutual Assistance and Training</w:t>
      </w:r>
    </w:p>
    <w:p w14:paraId="0F5AC20C" w14:textId="77777777" w:rsidR="008A02CC" w:rsidRPr="00B1263F" w:rsidRDefault="008A02CC" w:rsidP="008A02CC">
      <w:pPr>
        <w:jc w:val="both"/>
        <w:rPr>
          <w:b/>
          <w:sz w:val="21"/>
          <w:szCs w:val="21"/>
        </w:rPr>
      </w:pPr>
    </w:p>
    <w:p w14:paraId="27D2F784" w14:textId="77777777" w:rsidR="008A02CC" w:rsidRPr="00956498" w:rsidRDefault="008A02CC" w:rsidP="008A02CC">
      <w:pPr>
        <w:jc w:val="both"/>
        <w:rPr>
          <w:color w:val="000000" w:themeColor="text1"/>
          <w:sz w:val="21"/>
          <w:szCs w:val="21"/>
        </w:rPr>
      </w:pPr>
      <w:r>
        <w:rPr>
          <w:sz w:val="21"/>
          <w:szCs w:val="21"/>
        </w:rPr>
        <w:t>8</w:t>
      </w:r>
      <w:r w:rsidRPr="00B1263F">
        <w:rPr>
          <w:sz w:val="21"/>
          <w:szCs w:val="21"/>
        </w:rPr>
        <w:t xml:space="preserve">.1. Member States are requested to participate in </w:t>
      </w:r>
      <w:r>
        <w:rPr>
          <w:sz w:val="21"/>
          <w:szCs w:val="21"/>
        </w:rPr>
        <w:t xml:space="preserve">S-1XX </w:t>
      </w:r>
      <w:r w:rsidRPr="00B1263F">
        <w:rPr>
          <w:sz w:val="21"/>
          <w:szCs w:val="21"/>
        </w:rPr>
        <w:t>capacity building efforts developed nationally, regionally, and through the IHO, by providing subject matter experts, venues, training materials, and open-</w:t>
      </w:r>
      <w:r w:rsidRPr="00956498">
        <w:rPr>
          <w:color w:val="000000" w:themeColor="text1"/>
          <w:sz w:val="21"/>
          <w:szCs w:val="21"/>
        </w:rPr>
        <w:t>source applications. Member States are encouraged to coordinate these capacity building activities with</w:t>
      </w:r>
      <w:r>
        <w:rPr>
          <w:color w:val="000000" w:themeColor="text1"/>
          <w:sz w:val="21"/>
          <w:szCs w:val="21"/>
        </w:rPr>
        <w:t xml:space="preserve">in the framework of </w:t>
      </w:r>
      <w:r w:rsidRPr="00956498">
        <w:rPr>
          <w:color w:val="000000" w:themeColor="text1"/>
          <w:sz w:val="21"/>
          <w:szCs w:val="21"/>
        </w:rPr>
        <w:t>the IHO Capacity Building Sub-Committee (CBSC). The S-1XX producing Member States are also encouraged to collaborate on production support activities/capacity building via the existing RENC structure.</w:t>
      </w:r>
    </w:p>
    <w:p w14:paraId="03914293" w14:textId="77777777" w:rsidR="008A02CC" w:rsidRDefault="008A02CC" w:rsidP="002B605C">
      <w:pPr>
        <w:jc w:val="both"/>
        <w:rPr>
          <w:b/>
          <w:sz w:val="21"/>
          <w:szCs w:val="21"/>
        </w:rPr>
      </w:pPr>
    </w:p>
    <w:sectPr w:rsidR="008A02CC" w:rsidSect="00275183">
      <w:footerReference w:type="default" r:id="rId11"/>
      <w:pgSz w:w="11909" w:h="16834" w:code="9"/>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034FFA" w16cid:durableId="22565DE6"/>
  <w16cid:commentId w16cid:paraId="1FB73D43" w16cid:durableId="22565F03"/>
  <w16cid:commentId w16cid:paraId="0C3DA4F1" w16cid:durableId="22565F47"/>
  <w16cid:commentId w16cid:paraId="274B8D40" w16cid:durableId="225ACCDE"/>
  <w16cid:commentId w16cid:paraId="44C63B13" w16cid:durableId="22565FB5"/>
  <w16cid:commentId w16cid:paraId="18C54380" w16cid:durableId="225660F1"/>
  <w16cid:commentId w16cid:paraId="58287553" w16cid:durableId="22566D54"/>
  <w16cid:commentId w16cid:paraId="67F77A0C" w16cid:durableId="22566246"/>
  <w16cid:commentId w16cid:paraId="5CEE9026" w16cid:durableId="22566DA9"/>
  <w16cid:commentId w16cid:paraId="1D1B3F82" w16cid:durableId="22566E0F"/>
  <w16cid:commentId w16cid:paraId="6B0418AB" w16cid:durableId="22566E4D"/>
  <w16cid:commentId w16cid:paraId="18BBD4CD" w16cid:durableId="225ACD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37FB8" w14:textId="77777777" w:rsidR="00362EF9" w:rsidRDefault="00362EF9" w:rsidP="00B90EB6">
      <w:r>
        <w:separator/>
      </w:r>
    </w:p>
    <w:p w14:paraId="1D078053" w14:textId="77777777" w:rsidR="00362EF9" w:rsidRDefault="00362EF9"/>
  </w:endnote>
  <w:endnote w:type="continuationSeparator" w:id="0">
    <w:p w14:paraId="0606C4B2" w14:textId="77777777" w:rsidR="00362EF9" w:rsidRDefault="00362EF9" w:rsidP="00B90EB6">
      <w:r>
        <w:continuationSeparator/>
      </w:r>
    </w:p>
    <w:p w14:paraId="4CB48873" w14:textId="77777777" w:rsidR="00362EF9" w:rsidRDefault="00362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1"/>
        <w:szCs w:val="21"/>
      </w:rPr>
      <w:id w:val="1993590169"/>
      <w:docPartObj>
        <w:docPartGallery w:val="Page Numbers (Bottom of Page)"/>
        <w:docPartUnique/>
      </w:docPartObj>
    </w:sdtPr>
    <w:sdtContent>
      <w:p w14:paraId="26EC8354" w14:textId="5C7D6150" w:rsidR="00362EF9" w:rsidRPr="00956498" w:rsidRDefault="00362EF9">
        <w:pPr>
          <w:pStyle w:val="Footer"/>
          <w:jc w:val="center"/>
          <w:rPr>
            <w:sz w:val="21"/>
            <w:szCs w:val="21"/>
          </w:rPr>
        </w:pPr>
        <w:r w:rsidRPr="00956498">
          <w:rPr>
            <w:sz w:val="21"/>
            <w:szCs w:val="21"/>
          </w:rPr>
          <w:t>-</w:t>
        </w:r>
        <w:r w:rsidRPr="00956498">
          <w:rPr>
            <w:sz w:val="21"/>
            <w:szCs w:val="21"/>
          </w:rPr>
          <w:fldChar w:fldCharType="begin"/>
        </w:r>
        <w:r w:rsidRPr="00956498">
          <w:rPr>
            <w:sz w:val="21"/>
            <w:szCs w:val="21"/>
          </w:rPr>
          <w:instrText>PAGE   \* MERGEFORMAT</w:instrText>
        </w:r>
        <w:r w:rsidRPr="00956498">
          <w:rPr>
            <w:sz w:val="21"/>
            <w:szCs w:val="21"/>
          </w:rPr>
          <w:fldChar w:fldCharType="separate"/>
        </w:r>
        <w:r w:rsidR="00F87FBA" w:rsidRPr="00F87FBA">
          <w:rPr>
            <w:noProof/>
            <w:sz w:val="21"/>
            <w:szCs w:val="21"/>
            <w:lang w:val="nl-NL"/>
          </w:rPr>
          <w:t>4</w:t>
        </w:r>
        <w:r w:rsidRPr="00956498">
          <w:rPr>
            <w:sz w:val="21"/>
            <w:szCs w:val="21"/>
          </w:rPr>
          <w:fldChar w:fldCharType="end"/>
        </w:r>
        <w:r w:rsidRPr="00956498">
          <w:rPr>
            <w:sz w:val="21"/>
            <w:szCs w:val="21"/>
          </w:rPr>
          <w:t>-</w:t>
        </w:r>
      </w:p>
    </w:sdtContent>
  </w:sdt>
  <w:p w14:paraId="0CC7991A" w14:textId="4B970AD2" w:rsidR="00362EF9" w:rsidRPr="009448BF" w:rsidRDefault="00362EF9">
    <w:pPr>
      <w:pStyle w:val="Footer"/>
      <w:rPr>
        <w:sz w:val="21"/>
        <w:szCs w:val="21"/>
      </w:rPr>
    </w:pPr>
    <w:r w:rsidRPr="009448BF">
      <w:rPr>
        <w:sz w:val="21"/>
        <w:szCs w:val="21"/>
      </w:rPr>
      <w:t>V</w:t>
    </w:r>
    <w:r>
      <w:rPr>
        <w:sz w:val="21"/>
        <w:szCs w:val="21"/>
      </w:rPr>
      <w:t>3.1</w:t>
    </w:r>
    <w:r w:rsidRPr="009448BF">
      <w:rPr>
        <w:sz w:val="21"/>
        <w:szCs w:val="21"/>
      </w:rPr>
      <w:t xml:space="preserve">: </w:t>
    </w:r>
    <w:r>
      <w:rPr>
        <w:sz w:val="21"/>
        <w:szCs w:val="21"/>
      </w:rPr>
      <w:t xml:space="preserve">23 September </w:t>
    </w:r>
    <w:r w:rsidRPr="009448BF">
      <w:rPr>
        <w:sz w:val="21"/>
        <w:szCs w:val="21"/>
      </w:rPr>
      <w:t>2020</w:t>
    </w:r>
  </w:p>
  <w:p w14:paraId="1D33668A" w14:textId="77777777" w:rsidR="00362EF9" w:rsidRDefault="00362EF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B518A" w14:textId="77777777" w:rsidR="00362EF9" w:rsidRDefault="00362EF9" w:rsidP="00B90EB6">
      <w:r>
        <w:separator/>
      </w:r>
    </w:p>
    <w:p w14:paraId="1893CF23" w14:textId="77777777" w:rsidR="00362EF9" w:rsidRDefault="00362EF9"/>
  </w:footnote>
  <w:footnote w:type="continuationSeparator" w:id="0">
    <w:p w14:paraId="77BBD697" w14:textId="77777777" w:rsidR="00362EF9" w:rsidRDefault="00362EF9" w:rsidP="00B90EB6">
      <w:r>
        <w:continuationSeparator/>
      </w:r>
    </w:p>
    <w:p w14:paraId="7C245610" w14:textId="77777777" w:rsidR="00362EF9" w:rsidRDefault="00362EF9"/>
  </w:footnote>
  <w:footnote w:id="1">
    <w:p w14:paraId="22E93E40" w14:textId="5CE57D01" w:rsidR="00362EF9" w:rsidRPr="00292EF1" w:rsidRDefault="00362EF9">
      <w:pPr>
        <w:pStyle w:val="FootnoteText"/>
        <w:rPr>
          <w:sz w:val="18"/>
          <w:szCs w:val="18"/>
        </w:rPr>
      </w:pPr>
      <w:r w:rsidRPr="00333D4B">
        <w:rPr>
          <w:rStyle w:val="FootnoteReference"/>
        </w:rPr>
        <w:footnoteRef/>
      </w:r>
      <w:r w:rsidRPr="00292EF1">
        <w:rPr>
          <w:rStyle w:val="FootnoteReference"/>
        </w:rPr>
        <w:t xml:space="preserve"> </w:t>
      </w:r>
      <w:r>
        <w:t xml:space="preserve"> </w:t>
      </w:r>
      <w:r w:rsidRPr="0006476F">
        <w:rPr>
          <w:sz w:val="18"/>
          <w:szCs w:val="18"/>
        </w:rPr>
        <w:t>These S-100 dependent products will be referred to in thes</w:t>
      </w:r>
      <w:r>
        <w:rPr>
          <w:sz w:val="18"/>
          <w:szCs w:val="18"/>
        </w:rPr>
        <w:t>e principles by the designation</w:t>
      </w:r>
      <w:r w:rsidRPr="0006476F">
        <w:rPr>
          <w:sz w:val="18"/>
          <w:szCs w:val="18"/>
        </w:rPr>
        <w:t xml:space="preserve"> </w:t>
      </w:r>
      <w:r>
        <w:rPr>
          <w:sz w:val="18"/>
          <w:szCs w:val="18"/>
        </w:rPr>
        <w:t>“</w:t>
      </w:r>
      <w:r w:rsidRPr="0006476F">
        <w:rPr>
          <w:sz w:val="18"/>
          <w:szCs w:val="18"/>
        </w:rPr>
        <w:t>S-1XX products</w:t>
      </w:r>
      <w:r>
        <w:rPr>
          <w:sz w:val="18"/>
          <w:szCs w:val="18"/>
        </w:rPr>
        <w:t>” or “S-100 based products”.</w:t>
      </w:r>
    </w:p>
  </w:footnote>
  <w:footnote w:id="2">
    <w:p w14:paraId="636E3C6C" w14:textId="11B6F312" w:rsidR="00362EF9" w:rsidRPr="002B605C" w:rsidRDefault="00362EF9" w:rsidP="008A02CC">
      <w:pPr>
        <w:pStyle w:val="FootnoteText"/>
        <w:rPr>
          <w:sz w:val="18"/>
          <w:szCs w:val="18"/>
        </w:rPr>
      </w:pPr>
      <w:r>
        <w:rPr>
          <w:rStyle w:val="FootnoteReference"/>
        </w:rPr>
        <w:footnoteRef/>
      </w:r>
      <w:r w:rsidRPr="00705319">
        <w:rPr>
          <w:rStyle w:val="FootnoteReference"/>
        </w:rPr>
        <w:t xml:space="preserve"> </w:t>
      </w:r>
      <w:r w:rsidRPr="002B605C">
        <w:rPr>
          <w:sz w:val="18"/>
          <w:szCs w:val="18"/>
        </w:rPr>
        <w:t xml:space="preserve">Integrated dissemination services are a variety of end-user services where each service is selling all its </w:t>
      </w:r>
      <w:r>
        <w:rPr>
          <w:sz w:val="18"/>
          <w:szCs w:val="18"/>
        </w:rPr>
        <w:t>‘</w:t>
      </w:r>
      <w:r w:rsidRPr="002B605C">
        <w:rPr>
          <w:sz w:val="18"/>
          <w:szCs w:val="18"/>
        </w:rPr>
        <w:t>nautical and hydrographic S-100 based products</w:t>
      </w:r>
      <w:r>
        <w:rPr>
          <w:sz w:val="18"/>
          <w:szCs w:val="18"/>
        </w:rPr>
        <w:t>’</w:t>
      </w:r>
      <w:r w:rsidRPr="002B605C">
        <w:rPr>
          <w:sz w:val="18"/>
          <w:szCs w:val="18"/>
        </w:rPr>
        <w:t xml:space="preserve">, regardless of source, to the end user within a single service proposition embracing format, data protection scheme and </w:t>
      </w:r>
      <w:r>
        <w:rPr>
          <w:sz w:val="18"/>
          <w:szCs w:val="18"/>
        </w:rPr>
        <w:t>updating mechanism, packaged in discrete</w:t>
      </w:r>
      <w:r w:rsidRPr="00340FB1">
        <w:rPr>
          <w:sz w:val="18"/>
          <w:szCs w:val="18"/>
        </w:rPr>
        <w:t xml:space="preserve"> </w:t>
      </w:r>
      <w:r w:rsidRPr="002B605C">
        <w:rPr>
          <w:sz w:val="18"/>
          <w:szCs w:val="18"/>
        </w:rPr>
        <w:t xml:space="preserve">exchange </w:t>
      </w:r>
      <w:r w:rsidRPr="00081118">
        <w:rPr>
          <w:sz w:val="18"/>
          <w:szCs w:val="18"/>
        </w:rPr>
        <w:t>se</w:t>
      </w:r>
      <w:r>
        <w:rPr>
          <w:sz w:val="18"/>
          <w:szCs w:val="18"/>
        </w:rPr>
        <w:t>t</w:t>
      </w:r>
      <w:r w:rsidRPr="00081118">
        <w:rPr>
          <w:sz w:val="18"/>
          <w:szCs w:val="18"/>
        </w:rPr>
        <w:t>s</w:t>
      </w:r>
      <w:r w:rsidRPr="002B605C">
        <w:rPr>
          <w:sz w:val="18"/>
          <w:szCs w:val="18"/>
        </w:rPr>
        <w:t xml:space="preserve"> per S-1XX product.</w:t>
      </w:r>
    </w:p>
  </w:footnote>
  <w:footnote w:id="3">
    <w:p w14:paraId="1710E14A" w14:textId="26E78AA3" w:rsidR="00362EF9" w:rsidRPr="00081118" w:rsidRDefault="00362EF9" w:rsidP="008A02CC">
      <w:pPr>
        <w:rPr>
          <w:sz w:val="18"/>
          <w:szCs w:val="18"/>
        </w:rPr>
      </w:pPr>
      <w:r w:rsidRPr="00705319">
        <w:rPr>
          <w:rStyle w:val="FootnoteReference"/>
          <w:sz w:val="20"/>
          <w:szCs w:val="20"/>
        </w:rPr>
        <w:footnoteRef/>
      </w:r>
      <w:r w:rsidRPr="00705319">
        <w:rPr>
          <w:rStyle w:val="FootnoteReference"/>
          <w:sz w:val="20"/>
          <w:szCs w:val="20"/>
        </w:rPr>
        <w:t xml:space="preserve"> </w:t>
      </w:r>
      <w:r w:rsidRPr="00081118">
        <w:rPr>
          <w:sz w:val="18"/>
          <w:szCs w:val="18"/>
        </w:rPr>
        <w:t>This specifically concerns:</w:t>
      </w:r>
    </w:p>
    <w:p w14:paraId="7D9F967E" w14:textId="77777777" w:rsidR="00362EF9" w:rsidRPr="00081118" w:rsidRDefault="00362EF9" w:rsidP="008A02CC">
      <w:pPr>
        <w:rPr>
          <w:sz w:val="18"/>
          <w:szCs w:val="18"/>
        </w:rPr>
      </w:pPr>
      <w:r w:rsidRPr="00081118">
        <w:rPr>
          <w:sz w:val="18"/>
          <w:szCs w:val="18"/>
        </w:rPr>
        <w:t>- a Nautical Chart Service: Service 11 of the MS;</w:t>
      </w:r>
    </w:p>
    <w:p w14:paraId="7435CD1B" w14:textId="74B210AA" w:rsidR="00362EF9" w:rsidRPr="002B605C" w:rsidRDefault="00362EF9" w:rsidP="008A02CC">
      <w:pPr>
        <w:rPr>
          <w:sz w:val="18"/>
          <w:szCs w:val="18"/>
        </w:rPr>
      </w:pPr>
      <w:r w:rsidRPr="00081118">
        <w:rPr>
          <w:sz w:val="18"/>
          <w:szCs w:val="18"/>
        </w:rPr>
        <w:t>- a Nautical Publication Service: Service 12 of the MS.</w:t>
      </w:r>
    </w:p>
  </w:footnote>
  <w:footnote w:id="4">
    <w:p w14:paraId="0C384E07" w14:textId="08DAEED4" w:rsidR="00362EF9" w:rsidRPr="00081118" w:rsidRDefault="00362EF9" w:rsidP="008A02CC">
      <w:pPr>
        <w:pStyle w:val="FootnoteText"/>
        <w:rPr>
          <w:sz w:val="18"/>
          <w:szCs w:val="18"/>
        </w:rPr>
      </w:pPr>
      <w:r w:rsidRPr="00705319">
        <w:rPr>
          <w:rStyle w:val="FootnoteReference"/>
        </w:rPr>
        <w:footnoteRef/>
      </w:r>
      <w:r w:rsidRPr="00705319">
        <w:rPr>
          <w:rStyle w:val="FootnoteReference"/>
        </w:rPr>
        <w:t xml:space="preserve"> </w:t>
      </w:r>
      <w:r w:rsidRPr="00081118">
        <w:rPr>
          <w:sz w:val="18"/>
          <w:szCs w:val="18"/>
        </w:rPr>
        <w:t>The intended development of the S-1XX products is referenced in the</w:t>
      </w:r>
      <w:r>
        <w:rPr>
          <w:sz w:val="18"/>
          <w:szCs w:val="18"/>
        </w:rPr>
        <w:t xml:space="preserve"> “</w:t>
      </w:r>
      <w:r w:rsidRPr="00081118">
        <w:rPr>
          <w:sz w:val="18"/>
          <w:szCs w:val="18"/>
        </w:rPr>
        <w:t>Ro</w:t>
      </w:r>
      <w:r>
        <w:rPr>
          <w:sz w:val="18"/>
          <w:szCs w:val="18"/>
        </w:rPr>
        <w:t>admap for the S-100 Implementation Decade”.</w:t>
      </w:r>
    </w:p>
  </w:footnote>
  <w:footnote w:id="5">
    <w:p w14:paraId="6716096E" w14:textId="77777777" w:rsidR="00362EF9" w:rsidRPr="001024A7" w:rsidRDefault="00362EF9" w:rsidP="008A02CC">
      <w:pPr>
        <w:pStyle w:val="FootnoteText"/>
        <w:rPr>
          <w:sz w:val="18"/>
          <w:szCs w:val="18"/>
        </w:rPr>
      </w:pPr>
      <w:r w:rsidRPr="00705319">
        <w:rPr>
          <w:rStyle w:val="FootnoteReference"/>
        </w:rPr>
        <w:footnoteRef/>
      </w:r>
      <w:r w:rsidRPr="001024A7">
        <w:rPr>
          <w:sz w:val="18"/>
          <w:szCs w:val="18"/>
        </w:rPr>
        <w:t xml:space="preserve"> IHO Resolution 1/</w:t>
      </w:r>
      <w:r>
        <w:rPr>
          <w:sz w:val="18"/>
          <w:szCs w:val="18"/>
        </w:rPr>
        <w:t>1</w:t>
      </w:r>
      <w:r w:rsidRPr="001024A7">
        <w:rPr>
          <w:sz w:val="18"/>
          <w:szCs w:val="18"/>
        </w:rPr>
        <w:t>997 as amended- Principles if the Worldwide Electronic Navigational chart Database (WEND) &amp; its Annex (Guidance for establishment of ENC Production boundaries).</w:t>
      </w:r>
    </w:p>
  </w:footnote>
  <w:footnote w:id="6">
    <w:p w14:paraId="0A80E233" w14:textId="030B0B2A" w:rsidR="00362EF9" w:rsidRDefault="00362EF9">
      <w:pPr>
        <w:pStyle w:val="FootnoteText"/>
      </w:pPr>
      <w:r w:rsidRPr="00333D4B">
        <w:rPr>
          <w:rStyle w:val="FootnoteReference"/>
        </w:rPr>
        <w:footnoteRef/>
      </w:r>
      <w:r w:rsidRPr="006028AE">
        <w:rPr>
          <w:rStyle w:val="FootnoteReference"/>
        </w:rPr>
        <w:t xml:space="preserve"> </w:t>
      </w:r>
      <w:r w:rsidRPr="006028AE">
        <w:rPr>
          <w:sz w:val="18"/>
          <w:szCs w:val="18"/>
        </w:rPr>
        <w:t>Until retirement of their S57 ENCs, Member States S-101 coverage should mirror their S-57 coverage in order to avoid ‘cross overlapping</w:t>
      </w:r>
      <w:r>
        <w:rPr>
          <w:sz w:val="18"/>
          <w:szCs w:val="18"/>
        </w:rPr>
        <w:t>’.</w:t>
      </w:r>
    </w:p>
  </w:footnote>
  <w:footnote w:id="7">
    <w:p w14:paraId="5374A537" w14:textId="77777777" w:rsidR="00362EF9" w:rsidRPr="001024A7" w:rsidRDefault="00362EF9" w:rsidP="008A02CC">
      <w:pPr>
        <w:pStyle w:val="FootnoteText"/>
        <w:rPr>
          <w:sz w:val="18"/>
          <w:szCs w:val="18"/>
        </w:rPr>
      </w:pPr>
      <w:r w:rsidRPr="00705319">
        <w:rPr>
          <w:rStyle w:val="FootnoteReference"/>
        </w:rPr>
        <w:footnoteRef/>
      </w:r>
      <w:r w:rsidRPr="00705319">
        <w:rPr>
          <w:rStyle w:val="FootnoteReference"/>
        </w:rPr>
        <w:t xml:space="preserve"> </w:t>
      </w:r>
      <w:r w:rsidRPr="001024A7">
        <w:rPr>
          <w:sz w:val="18"/>
          <w:szCs w:val="18"/>
        </w:rPr>
        <w:t xml:space="preserve">One of these being the UN-GGIM principles on an Integrated Geospatial Information Framework (IGIF) and how </w:t>
      </w:r>
      <w:r>
        <w:rPr>
          <w:sz w:val="18"/>
          <w:szCs w:val="18"/>
        </w:rPr>
        <w:t>these apply</w:t>
      </w:r>
      <w:r w:rsidRPr="001024A7">
        <w:rPr>
          <w:sz w:val="18"/>
          <w:szCs w:val="18"/>
        </w:rPr>
        <w:t xml:space="preserve"> </w:t>
      </w:r>
      <w:r>
        <w:rPr>
          <w:sz w:val="18"/>
          <w:szCs w:val="18"/>
        </w:rPr>
        <w:t xml:space="preserve">to safe navigation and other use cases. </w:t>
      </w:r>
    </w:p>
  </w:footnote>
  <w:footnote w:id="8">
    <w:p w14:paraId="3CF30A2B" w14:textId="77777777" w:rsidR="00362EF9" w:rsidRPr="001024A7" w:rsidRDefault="00362EF9" w:rsidP="008A02CC">
      <w:pPr>
        <w:pStyle w:val="FootnoteText"/>
        <w:rPr>
          <w:sz w:val="18"/>
          <w:szCs w:val="18"/>
        </w:rPr>
      </w:pPr>
      <w:r>
        <w:rPr>
          <w:rStyle w:val="FootnoteReference"/>
        </w:rPr>
        <w:footnoteRef/>
      </w:r>
      <w:r w:rsidRPr="00705319">
        <w:rPr>
          <w:rStyle w:val="FootnoteReference"/>
        </w:rPr>
        <w:t xml:space="preserve"> </w:t>
      </w:r>
      <w:r w:rsidRPr="001024A7">
        <w:rPr>
          <w:sz w:val="18"/>
          <w:szCs w:val="18"/>
        </w:rPr>
        <w:t>Where alternative solutions are more appropriate</w:t>
      </w:r>
      <w:r>
        <w:rPr>
          <w:sz w:val="18"/>
          <w:szCs w:val="18"/>
        </w:rPr>
        <w:t xml:space="preserve"> for certain use cases</w:t>
      </w:r>
      <w:r w:rsidRPr="00B6523A">
        <w:rPr>
          <w:sz w:val="18"/>
          <w:szCs w:val="18"/>
        </w:rPr>
        <w:t xml:space="preserve"> not related to carriage requirements of SOLAS chapter V</w:t>
      </w:r>
      <w:r>
        <w:rPr>
          <w:sz w:val="18"/>
          <w:szCs w:val="18"/>
        </w:rPr>
        <w:t xml:space="preserve">, </w:t>
      </w:r>
      <w:r w:rsidRPr="001024A7">
        <w:rPr>
          <w:sz w:val="18"/>
          <w:szCs w:val="18"/>
        </w:rPr>
        <w:t>they should deliver at least the same level of protection as S-100 Part 15.</w:t>
      </w:r>
    </w:p>
  </w:footnote>
  <w:footnote w:id="9">
    <w:p w14:paraId="52D9EFA2" w14:textId="7B356D86" w:rsidR="00362EF9" w:rsidRPr="00FC1C12" w:rsidRDefault="00362EF9" w:rsidP="008A02CC">
      <w:pPr>
        <w:pStyle w:val="FootnoteText"/>
      </w:pPr>
      <w:r>
        <w:rPr>
          <w:rStyle w:val="FootnoteReference"/>
        </w:rPr>
        <w:footnoteRef/>
      </w:r>
      <w:r w:rsidRPr="00705319">
        <w:rPr>
          <w:rStyle w:val="FootnoteReference"/>
        </w:rPr>
        <w:t xml:space="preserve"> </w:t>
      </w:r>
      <w:r>
        <w:rPr>
          <w:sz w:val="18"/>
          <w:szCs w:val="18"/>
        </w:rPr>
        <w:t xml:space="preserve">In </w:t>
      </w:r>
      <w:r w:rsidRPr="006028AE">
        <w:rPr>
          <w:rStyle w:val="FootnoteReference"/>
          <w:vertAlign w:val="baseline"/>
        </w:rPr>
        <w:t>line with</w:t>
      </w:r>
      <w:r w:rsidRPr="006028AE">
        <w:rPr>
          <w:rStyle w:val="FootnoteReference"/>
          <w:sz w:val="18"/>
          <w:szCs w:val="18"/>
          <w:vertAlign w:val="baseline"/>
        </w:rPr>
        <w:t xml:space="preserve"> SOLAS/V Regulation 2</w:t>
      </w:r>
      <w:r w:rsidRPr="00D41A19">
        <w:rPr>
          <w:rStyle w:val="FootnoteReference"/>
          <w:sz w:val="18"/>
          <w:szCs w:val="18"/>
          <w:vertAlign w:val="baseline"/>
        </w:rPr>
        <w:t>.</w:t>
      </w:r>
    </w:p>
  </w:footnote>
  <w:footnote w:id="10">
    <w:p w14:paraId="0DCAF5CB" w14:textId="4BB7A7F6" w:rsidR="00362EF9" w:rsidRPr="00FC1C12" w:rsidRDefault="00362EF9" w:rsidP="008A02CC">
      <w:pPr>
        <w:pStyle w:val="FootnoteText"/>
        <w:rPr>
          <w:rStyle w:val="FootnoteReference"/>
          <w:vertAlign w:val="baseline"/>
        </w:rPr>
      </w:pPr>
      <w:r w:rsidRPr="00705319">
        <w:rPr>
          <w:rStyle w:val="FootnoteReference"/>
        </w:rPr>
        <w:footnoteRef/>
      </w:r>
      <w:r w:rsidRPr="00705319">
        <w:rPr>
          <w:rStyle w:val="FootnoteReference"/>
        </w:rPr>
        <w:t xml:space="preserve"> </w:t>
      </w:r>
      <w:r w:rsidRPr="006028AE">
        <w:rPr>
          <w:rStyle w:val="FootnoteReference"/>
          <w:vertAlign w:val="baseline"/>
        </w:rPr>
        <w:t>In line with SOLAS/V Regulation 4.</w:t>
      </w:r>
    </w:p>
  </w:footnote>
  <w:footnote w:id="11">
    <w:p w14:paraId="3E441B5A" w14:textId="77777777" w:rsidR="00362EF9" w:rsidRPr="002B605C" w:rsidRDefault="00362EF9" w:rsidP="008A02CC">
      <w:pPr>
        <w:pStyle w:val="FootnoteText"/>
        <w:rPr>
          <w:rStyle w:val="FootnoteReference"/>
          <w:sz w:val="18"/>
          <w:szCs w:val="18"/>
          <w:vertAlign w:val="baseline"/>
        </w:rPr>
      </w:pPr>
      <w:r w:rsidRPr="002B605C">
        <w:rPr>
          <w:rStyle w:val="FootnoteReference"/>
        </w:rPr>
        <w:footnoteRef/>
      </w:r>
      <w:r w:rsidRPr="002B605C">
        <w:rPr>
          <w:rStyle w:val="FootnoteReference"/>
        </w:rPr>
        <w:t xml:space="preserve"> </w:t>
      </w:r>
      <w:r w:rsidRPr="002B605C">
        <w:rPr>
          <w:rStyle w:val="FootnoteReference"/>
          <w:sz w:val="18"/>
          <w:szCs w:val="18"/>
          <w:vertAlign w:val="baseline"/>
        </w:rPr>
        <w:t>These could be Members S</w:t>
      </w:r>
      <w:r>
        <w:rPr>
          <w:sz w:val="18"/>
          <w:szCs w:val="18"/>
        </w:rPr>
        <w:t>t</w:t>
      </w:r>
      <w:r w:rsidRPr="002B605C">
        <w:rPr>
          <w:rStyle w:val="FootnoteReference"/>
          <w:sz w:val="18"/>
          <w:szCs w:val="18"/>
          <w:vertAlign w:val="baseline"/>
        </w:rPr>
        <w:t xml:space="preserve">ates and non-Member </w:t>
      </w:r>
      <w:r>
        <w:rPr>
          <w:sz w:val="18"/>
          <w:szCs w:val="18"/>
        </w:rPr>
        <w:t>St</w:t>
      </w:r>
      <w:r w:rsidRPr="002B605C">
        <w:rPr>
          <w:rStyle w:val="FootnoteReference"/>
          <w:sz w:val="18"/>
          <w:szCs w:val="18"/>
          <w:vertAlign w:val="baseline"/>
        </w:rPr>
        <w:t>ates.</w:t>
      </w:r>
    </w:p>
  </w:footnote>
  <w:footnote w:id="12">
    <w:p w14:paraId="55DA24C9" w14:textId="0060BC98" w:rsidR="00362EF9" w:rsidRPr="00E53DBE" w:rsidRDefault="00362EF9" w:rsidP="008A02CC">
      <w:pPr>
        <w:pStyle w:val="FootnoteText"/>
        <w:rPr>
          <w:sz w:val="18"/>
          <w:szCs w:val="18"/>
        </w:rPr>
      </w:pPr>
      <w:r w:rsidRPr="00705319">
        <w:rPr>
          <w:rStyle w:val="FootnoteReference"/>
        </w:rPr>
        <w:footnoteRef/>
      </w:r>
      <w:r>
        <w:rPr>
          <w:sz w:val="18"/>
          <w:szCs w:val="18"/>
        </w:rPr>
        <w:t xml:space="preserve"> </w:t>
      </w:r>
      <w:r w:rsidRPr="00E53DBE">
        <w:rPr>
          <w:sz w:val="18"/>
          <w:szCs w:val="18"/>
        </w:rPr>
        <w:t xml:space="preserve">The mechanism of IHO resolution 1/2018 on the elimination of overlapping ENC data in areas of demonstrable risk to the safety of navigation can be </w:t>
      </w:r>
      <w:r>
        <w:rPr>
          <w:sz w:val="18"/>
          <w:szCs w:val="18"/>
        </w:rPr>
        <w:t>extended</w:t>
      </w:r>
      <w:r w:rsidRPr="00E53DBE">
        <w:rPr>
          <w:sz w:val="18"/>
          <w:szCs w:val="18"/>
        </w:rPr>
        <w:t xml:space="preserve"> to resolve conflicting S-1XX data products. </w:t>
      </w:r>
    </w:p>
  </w:footnote>
  <w:footnote w:id="13">
    <w:p w14:paraId="2CC20BBC" w14:textId="087C5149" w:rsidR="00362EF9" w:rsidRPr="002B605C" w:rsidRDefault="00362EF9" w:rsidP="008A02CC">
      <w:pPr>
        <w:pStyle w:val="FootnoteText"/>
        <w:rPr>
          <w:rStyle w:val="FootnoteReference"/>
        </w:rPr>
      </w:pPr>
      <w:r w:rsidRPr="002B605C">
        <w:rPr>
          <w:rStyle w:val="FootnoteReference"/>
        </w:rPr>
        <w:footnoteRef/>
      </w:r>
      <w:r>
        <w:rPr>
          <w:sz w:val="18"/>
          <w:szCs w:val="18"/>
        </w:rPr>
        <w:t xml:space="preserve"> </w:t>
      </w:r>
      <w:r w:rsidRPr="002B605C">
        <w:rPr>
          <w:sz w:val="18"/>
          <w:szCs w:val="18"/>
        </w:rPr>
        <w:t xml:space="preserve">The IMO determines how </w:t>
      </w:r>
      <w:r>
        <w:rPr>
          <w:sz w:val="18"/>
          <w:szCs w:val="18"/>
        </w:rPr>
        <w:t>‘</w:t>
      </w:r>
      <w:r w:rsidRPr="0066663F">
        <w:rPr>
          <w:sz w:val="18"/>
          <w:szCs w:val="18"/>
        </w:rPr>
        <w:t xml:space="preserve">nautical and hydrographic </w:t>
      </w:r>
      <w:r w:rsidRPr="002B605C">
        <w:rPr>
          <w:sz w:val="18"/>
          <w:szCs w:val="18"/>
        </w:rPr>
        <w:t>S-100 based products</w:t>
      </w:r>
      <w:r>
        <w:rPr>
          <w:sz w:val="18"/>
          <w:szCs w:val="18"/>
        </w:rPr>
        <w:t>’</w:t>
      </w:r>
      <w:r w:rsidRPr="002B605C">
        <w:rPr>
          <w:sz w:val="18"/>
          <w:szCs w:val="18"/>
        </w:rPr>
        <w:t xml:space="preserve"> will be adopted as part of the ECDIS product specification</w:t>
      </w:r>
      <w:r>
        <w:rPr>
          <w:sz w:val="18"/>
          <w:szCs w:val="18"/>
        </w:rPr>
        <w:t>, including the guidelines on voyage planning.</w:t>
      </w:r>
    </w:p>
  </w:footnote>
  <w:footnote w:id="14">
    <w:p w14:paraId="2B490789" w14:textId="77777777" w:rsidR="00362EF9" w:rsidRPr="00BB1EAC" w:rsidRDefault="00362EF9" w:rsidP="008A02CC">
      <w:pPr>
        <w:pStyle w:val="FootnoteText"/>
        <w:rPr>
          <w:sz w:val="18"/>
          <w:szCs w:val="18"/>
        </w:rPr>
      </w:pPr>
      <w:r w:rsidRPr="00705319">
        <w:rPr>
          <w:rStyle w:val="FootnoteReference"/>
        </w:rPr>
        <w:footnoteRef/>
      </w:r>
      <w:r w:rsidRPr="002F4F87">
        <w:rPr>
          <w:sz w:val="18"/>
          <w:szCs w:val="18"/>
        </w:rPr>
        <w:t xml:space="preserve"> </w:t>
      </w:r>
      <w:r w:rsidRPr="00BB1EAC">
        <w:rPr>
          <w:sz w:val="18"/>
          <w:szCs w:val="18"/>
        </w:rPr>
        <w:t xml:space="preserve">Level of success of coverage is determined by Strategic and Work plan performance indicators. </w:t>
      </w:r>
    </w:p>
  </w:footnote>
  <w:footnote w:id="15">
    <w:p w14:paraId="2BB2DD40" w14:textId="77777777" w:rsidR="00362EF9" w:rsidRPr="00956498" w:rsidRDefault="00362EF9" w:rsidP="008A02CC">
      <w:pPr>
        <w:pStyle w:val="FootnoteText"/>
        <w:rPr>
          <w:sz w:val="18"/>
          <w:szCs w:val="18"/>
        </w:rPr>
      </w:pPr>
      <w:r w:rsidRPr="00705319">
        <w:rPr>
          <w:rStyle w:val="FootnoteReference"/>
        </w:rPr>
        <w:footnoteRef/>
      </w:r>
      <w:r w:rsidRPr="00705319">
        <w:rPr>
          <w:rStyle w:val="FootnoteReference"/>
        </w:rPr>
        <w:t xml:space="preserve"> </w:t>
      </w:r>
      <w:r w:rsidRPr="00956498">
        <w:rPr>
          <w:sz w:val="18"/>
          <w:szCs w:val="18"/>
        </w:rPr>
        <w:t>In line with article 15 of IHO resolution 2/1997 as amended on the Establishment of RHCs.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21F7D"/>
    <w:multiLevelType w:val="hybridMultilevel"/>
    <w:tmpl w:val="3A7882FE"/>
    <w:lvl w:ilvl="0" w:tplc="CD1AFB1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B1772E"/>
    <w:multiLevelType w:val="hybridMultilevel"/>
    <w:tmpl w:val="166E0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8B42BE"/>
    <w:multiLevelType w:val="multilevel"/>
    <w:tmpl w:val="8C54EA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0CA1A89"/>
    <w:multiLevelType w:val="hybridMultilevel"/>
    <w:tmpl w:val="7EDC48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5862D94"/>
    <w:multiLevelType w:val="multilevel"/>
    <w:tmpl w:val="937C803C"/>
    <w:lvl w:ilvl="0">
      <w:start w:val="3"/>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5" w15:restartNumberingAfterBreak="0">
    <w:nsid w:val="2C7674D3"/>
    <w:multiLevelType w:val="multilevel"/>
    <w:tmpl w:val="03369D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DE61D8E"/>
    <w:multiLevelType w:val="hybridMultilevel"/>
    <w:tmpl w:val="268637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3B1414E"/>
    <w:multiLevelType w:val="multilevel"/>
    <w:tmpl w:val="030638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42A7425"/>
    <w:multiLevelType w:val="hybridMultilevel"/>
    <w:tmpl w:val="EF74C4D4"/>
    <w:lvl w:ilvl="0" w:tplc="344A74C6">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A28487A"/>
    <w:multiLevelType w:val="hybridMultilevel"/>
    <w:tmpl w:val="6F64E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BC11D2"/>
    <w:multiLevelType w:val="multilevel"/>
    <w:tmpl w:val="9754DA3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8286BAC"/>
    <w:multiLevelType w:val="hybridMultilevel"/>
    <w:tmpl w:val="04EE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6E69E2"/>
    <w:multiLevelType w:val="hybridMultilevel"/>
    <w:tmpl w:val="84702B92"/>
    <w:lvl w:ilvl="0" w:tplc="93D0353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15:restartNumberingAfterBreak="0">
    <w:nsid w:val="57AC1D3B"/>
    <w:multiLevelType w:val="hybridMultilevel"/>
    <w:tmpl w:val="433E1FD4"/>
    <w:lvl w:ilvl="0" w:tplc="0409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C9E6B47"/>
    <w:multiLevelType w:val="hybridMultilevel"/>
    <w:tmpl w:val="676C2A54"/>
    <w:lvl w:ilvl="0" w:tplc="892AADF6">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E501E6"/>
    <w:multiLevelType w:val="hybridMultilevel"/>
    <w:tmpl w:val="EF6C966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62744B40"/>
    <w:multiLevelType w:val="hybridMultilevel"/>
    <w:tmpl w:val="DFFAF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410962"/>
    <w:multiLevelType w:val="hybridMultilevel"/>
    <w:tmpl w:val="3FCA96EC"/>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8" w15:restartNumberingAfterBreak="0">
    <w:nsid w:val="67E761CA"/>
    <w:multiLevelType w:val="hybridMultilevel"/>
    <w:tmpl w:val="9DD6C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21601C"/>
    <w:multiLevelType w:val="hybridMultilevel"/>
    <w:tmpl w:val="558EA0DA"/>
    <w:lvl w:ilvl="0" w:tplc="344A74C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6C9E4306"/>
    <w:multiLevelType w:val="hybridMultilevel"/>
    <w:tmpl w:val="15826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2612F5"/>
    <w:multiLevelType w:val="hybridMultilevel"/>
    <w:tmpl w:val="E8C221F0"/>
    <w:lvl w:ilvl="0" w:tplc="96022E42">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5D188B"/>
    <w:multiLevelType w:val="hybridMultilevel"/>
    <w:tmpl w:val="9730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B54AC5"/>
    <w:multiLevelType w:val="hybridMultilevel"/>
    <w:tmpl w:val="ECBED056"/>
    <w:lvl w:ilvl="0" w:tplc="0409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FA36D77"/>
    <w:multiLevelType w:val="hybridMultilevel"/>
    <w:tmpl w:val="7CE24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9"/>
  </w:num>
  <w:num w:numId="4">
    <w:abstractNumId w:val="8"/>
  </w:num>
  <w:num w:numId="5">
    <w:abstractNumId w:val="1"/>
  </w:num>
  <w:num w:numId="6">
    <w:abstractNumId w:val="21"/>
  </w:num>
  <w:num w:numId="7">
    <w:abstractNumId w:val="16"/>
  </w:num>
  <w:num w:numId="8">
    <w:abstractNumId w:val="24"/>
  </w:num>
  <w:num w:numId="9">
    <w:abstractNumId w:val="20"/>
  </w:num>
  <w:num w:numId="10">
    <w:abstractNumId w:val="9"/>
  </w:num>
  <w:num w:numId="11">
    <w:abstractNumId w:val="18"/>
  </w:num>
  <w:num w:numId="12">
    <w:abstractNumId w:val="22"/>
  </w:num>
  <w:num w:numId="13">
    <w:abstractNumId w:val="12"/>
  </w:num>
  <w:num w:numId="14">
    <w:abstractNumId w:val="4"/>
  </w:num>
  <w:num w:numId="15">
    <w:abstractNumId w:val="11"/>
  </w:num>
  <w:num w:numId="16">
    <w:abstractNumId w:val="17"/>
  </w:num>
  <w:num w:numId="17">
    <w:abstractNumId w:val="3"/>
  </w:num>
  <w:num w:numId="18">
    <w:abstractNumId w:val="6"/>
  </w:num>
  <w:num w:numId="19">
    <w:abstractNumId w:val="10"/>
  </w:num>
  <w:num w:numId="20">
    <w:abstractNumId w:val="5"/>
  </w:num>
  <w:num w:numId="21">
    <w:abstractNumId w:val="7"/>
  </w:num>
  <w:num w:numId="22">
    <w:abstractNumId w:val="2"/>
  </w:num>
  <w:num w:numId="23">
    <w:abstractNumId w:val="13"/>
  </w:num>
  <w:num w:numId="24">
    <w:abstractNumId w:val="2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AC3"/>
    <w:rsid w:val="0000414C"/>
    <w:rsid w:val="00005A10"/>
    <w:rsid w:val="00010EE5"/>
    <w:rsid w:val="00012B63"/>
    <w:rsid w:val="00022512"/>
    <w:rsid w:val="0002437B"/>
    <w:rsid w:val="00030EA5"/>
    <w:rsid w:val="00034024"/>
    <w:rsid w:val="0003570C"/>
    <w:rsid w:val="00035E47"/>
    <w:rsid w:val="00046B07"/>
    <w:rsid w:val="00047CC5"/>
    <w:rsid w:val="00050606"/>
    <w:rsid w:val="000624E2"/>
    <w:rsid w:val="00066150"/>
    <w:rsid w:val="00066BE6"/>
    <w:rsid w:val="0006735F"/>
    <w:rsid w:val="00071413"/>
    <w:rsid w:val="00071659"/>
    <w:rsid w:val="000750F7"/>
    <w:rsid w:val="000769BB"/>
    <w:rsid w:val="00081118"/>
    <w:rsid w:val="00083652"/>
    <w:rsid w:val="00093697"/>
    <w:rsid w:val="00094433"/>
    <w:rsid w:val="000A03B5"/>
    <w:rsid w:val="000A597D"/>
    <w:rsid w:val="000B375D"/>
    <w:rsid w:val="000B4F4B"/>
    <w:rsid w:val="000B73AC"/>
    <w:rsid w:val="000B7BA5"/>
    <w:rsid w:val="000C45DD"/>
    <w:rsid w:val="000C60B0"/>
    <w:rsid w:val="000D1BCF"/>
    <w:rsid w:val="000D778F"/>
    <w:rsid w:val="000E0857"/>
    <w:rsid w:val="000E1653"/>
    <w:rsid w:val="000E1CAB"/>
    <w:rsid w:val="000E2878"/>
    <w:rsid w:val="000E5684"/>
    <w:rsid w:val="000E5CD2"/>
    <w:rsid w:val="000E61C7"/>
    <w:rsid w:val="000E7735"/>
    <w:rsid w:val="000F26CB"/>
    <w:rsid w:val="000F39E1"/>
    <w:rsid w:val="00101CBC"/>
    <w:rsid w:val="0010233D"/>
    <w:rsid w:val="001024A7"/>
    <w:rsid w:val="0010346A"/>
    <w:rsid w:val="00104F7A"/>
    <w:rsid w:val="00110CA8"/>
    <w:rsid w:val="00117AD0"/>
    <w:rsid w:val="00121C6D"/>
    <w:rsid w:val="00122CED"/>
    <w:rsid w:val="0012488F"/>
    <w:rsid w:val="00140D09"/>
    <w:rsid w:val="00142AA4"/>
    <w:rsid w:val="00157B49"/>
    <w:rsid w:val="0016070D"/>
    <w:rsid w:val="00161178"/>
    <w:rsid w:val="001720E9"/>
    <w:rsid w:val="00175D67"/>
    <w:rsid w:val="00176FE2"/>
    <w:rsid w:val="00190B1E"/>
    <w:rsid w:val="001A1A3F"/>
    <w:rsid w:val="001A4F11"/>
    <w:rsid w:val="001A5E91"/>
    <w:rsid w:val="001A7B84"/>
    <w:rsid w:val="001B1860"/>
    <w:rsid w:val="001B6C9C"/>
    <w:rsid w:val="001C17CA"/>
    <w:rsid w:val="001C4626"/>
    <w:rsid w:val="001D0999"/>
    <w:rsid w:val="001D7E35"/>
    <w:rsid w:val="001E0B14"/>
    <w:rsid w:val="001E0B9B"/>
    <w:rsid w:val="001E459B"/>
    <w:rsid w:val="001E4729"/>
    <w:rsid w:val="001F0B2F"/>
    <w:rsid w:val="001F169E"/>
    <w:rsid w:val="001F4C25"/>
    <w:rsid w:val="002028CC"/>
    <w:rsid w:val="00203997"/>
    <w:rsid w:val="00204B85"/>
    <w:rsid w:val="002076DB"/>
    <w:rsid w:val="00213540"/>
    <w:rsid w:val="0021494B"/>
    <w:rsid w:val="00216B7D"/>
    <w:rsid w:val="00225447"/>
    <w:rsid w:val="00225506"/>
    <w:rsid w:val="0024111F"/>
    <w:rsid w:val="002472D1"/>
    <w:rsid w:val="0025354B"/>
    <w:rsid w:val="00257C62"/>
    <w:rsid w:val="00260660"/>
    <w:rsid w:val="00266BDB"/>
    <w:rsid w:val="00270F2A"/>
    <w:rsid w:val="00275183"/>
    <w:rsid w:val="00280894"/>
    <w:rsid w:val="00280D11"/>
    <w:rsid w:val="00292EF1"/>
    <w:rsid w:val="002A0840"/>
    <w:rsid w:val="002A5583"/>
    <w:rsid w:val="002A6F58"/>
    <w:rsid w:val="002A783B"/>
    <w:rsid w:val="002B0F32"/>
    <w:rsid w:val="002B10B5"/>
    <w:rsid w:val="002B6014"/>
    <w:rsid w:val="002B605C"/>
    <w:rsid w:val="002C4ADA"/>
    <w:rsid w:val="002D4B71"/>
    <w:rsid w:val="002D5007"/>
    <w:rsid w:val="002E38CF"/>
    <w:rsid w:val="002E4E90"/>
    <w:rsid w:val="002E538C"/>
    <w:rsid w:val="002E719D"/>
    <w:rsid w:val="002F26EF"/>
    <w:rsid w:val="002F3377"/>
    <w:rsid w:val="002F4F87"/>
    <w:rsid w:val="003005A0"/>
    <w:rsid w:val="00300A27"/>
    <w:rsid w:val="00306F2A"/>
    <w:rsid w:val="003129FF"/>
    <w:rsid w:val="003142A2"/>
    <w:rsid w:val="00325151"/>
    <w:rsid w:val="003270FD"/>
    <w:rsid w:val="00332A16"/>
    <w:rsid w:val="00333155"/>
    <w:rsid w:val="00333D4B"/>
    <w:rsid w:val="0033656C"/>
    <w:rsid w:val="00337C77"/>
    <w:rsid w:val="00340FB1"/>
    <w:rsid w:val="00346075"/>
    <w:rsid w:val="003609B6"/>
    <w:rsid w:val="0036202F"/>
    <w:rsid w:val="00362EF9"/>
    <w:rsid w:val="00363160"/>
    <w:rsid w:val="00365720"/>
    <w:rsid w:val="00367C48"/>
    <w:rsid w:val="00371470"/>
    <w:rsid w:val="0038299C"/>
    <w:rsid w:val="00383ADC"/>
    <w:rsid w:val="00383D58"/>
    <w:rsid w:val="003847A9"/>
    <w:rsid w:val="003903F6"/>
    <w:rsid w:val="00391682"/>
    <w:rsid w:val="00395AED"/>
    <w:rsid w:val="00395C2D"/>
    <w:rsid w:val="003A21BF"/>
    <w:rsid w:val="003A7C09"/>
    <w:rsid w:val="003A7EBD"/>
    <w:rsid w:val="003B4FF0"/>
    <w:rsid w:val="003C2351"/>
    <w:rsid w:val="003D15F7"/>
    <w:rsid w:val="003D2FAD"/>
    <w:rsid w:val="003D40ED"/>
    <w:rsid w:val="003D6DB4"/>
    <w:rsid w:val="003E0AFA"/>
    <w:rsid w:val="003E5477"/>
    <w:rsid w:val="003F0230"/>
    <w:rsid w:val="003F2812"/>
    <w:rsid w:val="00401AC3"/>
    <w:rsid w:val="00403BC5"/>
    <w:rsid w:val="0041709C"/>
    <w:rsid w:val="00421D67"/>
    <w:rsid w:val="004256CB"/>
    <w:rsid w:val="00425DAC"/>
    <w:rsid w:val="00431204"/>
    <w:rsid w:val="004353DB"/>
    <w:rsid w:val="004379D0"/>
    <w:rsid w:val="004453B7"/>
    <w:rsid w:val="004513BA"/>
    <w:rsid w:val="0045367B"/>
    <w:rsid w:val="00453E7A"/>
    <w:rsid w:val="004551CD"/>
    <w:rsid w:val="004556D9"/>
    <w:rsid w:val="00461E08"/>
    <w:rsid w:val="00465F54"/>
    <w:rsid w:val="00471D26"/>
    <w:rsid w:val="00472574"/>
    <w:rsid w:val="004736BD"/>
    <w:rsid w:val="00483426"/>
    <w:rsid w:val="00486F2A"/>
    <w:rsid w:val="004A677E"/>
    <w:rsid w:val="004A696E"/>
    <w:rsid w:val="004C20A3"/>
    <w:rsid w:val="004C21B9"/>
    <w:rsid w:val="004C25F6"/>
    <w:rsid w:val="004D31A6"/>
    <w:rsid w:val="004E3893"/>
    <w:rsid w:val="004E67BE"/>
    <w:rsid w:val="004E7A89"/>
    <w:rsid w:val="004E7ED6"/>
    <w:rsid w:val="004F6108"/>
    <w:rsid w:val="004F656A"/>
    <w:rsid w:val="004F695D"/>
    <w:rsid w:val="00500485"/>
    <w:rsid w:val="005052AA"/>
    <w:rsid w:val="0050699A"/>
    <w:rsid w:val="00511D90"/>
    <w:rsid w:val="005132AD"/>
    <w:rsid w:val="00531363"/>
    <w:rsid w:val="00533B39"/>
    <w:rsid w:val="005343D3"/>
    <w:rsid w:val="005429E8"/>
    <w:rsid w:val="005550F0"/>
    <w:rsid w:val="005553FF"/>
    <w:rsid w:val="005603FE"/>
    <w:rsid w:val="00560892"/>
    <w:rsid w:val="005755FF"/>
    <w:rsid w:val="00576B33"/>
    <w:rsid w:val="00584BA7"/>
    <w:rsid w:val="005868AA"/>
    <w:rsid w:val="00595437"/>
    <w:rsid w:val="00596386"/>
    <w:rsid w:val="005A1828"/>
    <w:rsid w:val="005B64D5"/>
    <w:rsid w:val="005C0072"/>
    <w:rsid w:val="005C13C6"/>
    <w:rsid w:val="005C670E"/>
    <w:rsid w:val="005D0F92"/>
    <w:rsid w:val="005D71DE"/>
    <w:rsid w:val="005E133F"/>
    <w:rsid w:val="005E31F5"/>
    <w:rsid w:val="005E7800"/>
    <w:rsid w:val="005F080E"/>
    <w:rsid w:val="005F3631"/>
    <w:rsid w:val="005F5A6D"/>
    <w:rsid w:val="006019E9"/>
    <w:rsid w:val="006028AE"/>
    <w:rsid w:val="006126E6"/>
    <w:rsid w:val="00617F95"/>
    <w:rsid w:val="00620394"/>
    <w:rsid w:val="006262BC"/>
    <w:rsid w:val="006279EA"/>
    <w:rsid w:val="00627E58"/>
    <w:rsid w:val="006330F1"/>
    <w:rsid w:val="00634C70"/>
    <w:rsid w:val="00634E1B"/>
    <w:rsid w:val="0064280F"/>
    <w:rsid w:val="00643F85"/>
    <w:rsid w:val="0064798F"/>
    <w:rsid w:val="006509C9"/>
    <w:rsid w:val="006518F5"/>
    <w:rsid w:val="00651C78"/>
    <w:rsid w:val="00652398"/>
    <w:rsid w:val="00653792"/>
    <w:rsid w:val="00655B57"/>
    <w:rsid w:val="00655C90"/>
    <w:rsid w:val="00660D24"/>
    <w:rsid w:val="006630AC"/>
    <w:rsid w:val="00663AE4"/>
    <w:rsid w:val="00670378"/>
    <w:rsid w:val="00670620"/>
    <w:rsid w:val="006748FE"/>
    <w:rsid w:val="006750CD"/>
    <w:rsid w:val="00691699"/>
    <w:rsid w:val="00693534"/>
    <w:rsid w:val="0069772C"/>
    <w:rsid w:val="006A1BA3"/>
    <w:rsid w:val="006A2D8A"/>
    <w:rsid w:val="006A34BB"/>
    <w:rsid w:val="006A6031"/>
    <w:rsid w:val="006A6576"/>
    <w:rsid w:val="006A6F02"/>
    <w:rsid w:val="006A7415"/>
    <w:rsid w:val="006B0D41"/>
    <w:rsid w:val="006B665B"/>
    <w:rsid w:val="006C54F3"/>
    <w:rsid w:val="006D43FC"/>
    <w:rsid w:val="006D5555"/>
    <w:rsid w:val="006E0273"/>
    <w:rsid w:val="006F05DC"/>
    <w:rsid w:val="006F2E51"/>
    <w:rsid w:val="006F3FB4"/>
    <w:rsid w:val="006F7499"/>
    <w:rsid w:val="007018ED"/>
    <w:rsid w:val="00705319"/>
    <w:rsid w:val="00711E36"/>
    <w:rsid w:val="007131D2"/>
    <w:rsid w:val="00716857"/>
    <w:rsid w:val="00723D5B"/>
    <w:rsid w:val="00734129"/>
    <w:rsid w:val="00736A14"/>
    <w:rsid w:val="007410EE"/>
    <w:rsid w:val="007411C0"/>
    <w:rsid w:val="00742E35"/>
    <w:rsid w:val="0074640F"/>
    <w:rsid w:val="00747ABC"/>
    <w:rsid w:val="00754B02"/>
    <w:rsid w:val="007654EE"/>
    <w:rsid w:val="007656FC"/>
    <w:rsid w:val="00776E59"/>
    <w:rsid w:val="0078216B"/>
    <w:rsid w:val="007878B8"/>
    <w:rsid w:val="007A7754"/>
    <w:rsid w:val="007B1DBD"/>
    <w:rsid w:val="007B7D8D"/>
    <w:rsid w:val="007C1BC8"/>
    <w:rsid w:val="007C5B4B"/>
    <w:rsid w:val="007C7E6F"/>
    <w:rsid w:val="007E5972"/>
    <w:rsid w:val="0080021B"/>
    <w:rsid w:val="00812D00"/>
    <w:rsid w:val="00817BC6"/>
    <w:rsid w:val="00820871"/>
    <w:rsid w:val="008237EB"/>
    <w:rsid w:val="008238F1"/>
    <w:rsid w:val="00824E89"/>
    <w:rsid w:val="00833025"/>
    <w:rsid w:val="00843A2C"/>
    <w:rsid w:val="00844EF3"/>
    <w:rsid w:val="00847ABC"/>
    <w:rsid w:val="00851ED2"/>
    <w:rsid w:val="00861A86"/>
    <w:rsid w:val="00864F96"/>
    <w:rsid w:val="00867971"/>
    <w:rsid w:val="0087377E"/>
    <w:rsid w:val="00876A01"/>
    <w:rsid w:val="008816D9"/>
    <w:rsid w:val="0089235E"/>
    <w:rsid w:val="00892474"/>
    <w:rsid w:val="008A02CC"/>
    <w:rsid w:val="008A59ED"/>
    <w:rsid w:val="008B44BD"/>
    <w:rsid w:val="008B5DDF"/>
    <w:rsid w:val="008B62E1"/>
    <w:rsid w:val="008C0DCA"/>
    <w:rsid w:val="008C2769"/>
    <w:rsid w:val="008C40E5"/>
    <w:rsid w:val="008D420B"/>
    <w:rsid w:val="008D5F29"/>
    <w:rsid w:val="008D7D94"/>
    <w:rsid w:val="008F4643"/>
    <w:rsid w:val="00902222"/>
    <w:rsid w:val="009077B8"/>
    <w:rsid w:val="00927F19"/>
    <w:rsid w:val="009325EC"/>
    <w:rsid w:val="009358F7"/>
    <w:rsid w:val="00940852"/>
    <w:rsid w:val="009432DE"/>
    <w:rsid w:val="009448BF"/>
    <w:rsid w:val="00956498"/>
    <w:rsid w:val="00963B53"/>
    <w:rsid w:val="00963BB2"/>
    <w:rsid w:val="009669F8"/>
    <w:rsid w:val="00973756"/>
    <w:rsid w:val="009767AF"/>
    <w:rsid w:val="00976DA2"/>
    <w:rsid w:val="00983C72"/>
    <w:rsid w:val="00984536"/>
    <w:rsid w:val="00985BAB"/>
    <w:rsid w:val="00991891"/>
    <w:rsid w:val="0099283D"/>
    <w:rsid w:val="009949A9"/>
    <w:rsid w:val="009A08E1"/>
    <w:rsid w:val="009A74FA"/>
    <w:rsid w:val="009A770C"/>
    <w:rsid w:val="009B0BF0"/>
    <w:rsid w:val="009B3BD7"/>
    <w:rsid w:val="009B3C52"/>
    <w:rsid w:val="009B54E7"/>
    <w:rsid w:val="009C1843"/>
    <w:rsid w:val="009C19A1"/>
    <w:rsid w:val="009E1A79"/>
    <w:rsid w:val="009E479A"/>
    <w:rsid w:val="009E5E15"/>
    <w:rsid w:val="009E6036"/>
    <w:rsid w:val="009E7FB5"/>
    <w:rsid w:val="009F0EF0"/>
    <w:rsid w:val="00A00535"/>
    <w:rsid w:val="00A03111"/>
    <w:rsid w:val="00A03CB9"/>
    <w:rsid w:val="00A047DD"/>
    <w:rsid w:val="00A05B56"/>
    <w:rsid w:val="00A12FB7"/>
    <w:rsid w:val="00A14962"/>
    <w:rsid w:val="00A2178E"/>
    <w:rsid w:val="00A2463C"/>
    <w:rsid w:val="00A26D56"/>
    <w:rsid w:val="00A26F97"/>
    <w:rsid w:val="00A2715D"/>
    <w:rsid w:val="00A3448A"/>
    <w:rsid w:val="00A5260F"/>
    <w:rsid w:val="00A542E2"/>
    <w:rsid w:val="00A5442F"/>
    <w:rsid w:val="00A54E78"/>
    <w:rsid w:val="00A61ACB"/>
    <w:rsid w:val="00A66484"/>
    <w:rsid w:val="00A77A09"/>
    <w:rsid w:val="00A81A0A"/>
    <w:rsid w:val="00A830A6"/>
    <w:rsid w:val="00A96C2D"/>
    <w:rsid w:val="00A975F3"/>
    <w:rsid w:val="00AB484D"/>
    <w:rsid w:val="00AC7D3B"/>
    <w:rsid w:val="00AC7D86"/>
    <w:rsid w:val="00AD0043"/>
    <w:rsid w:val="00AD4AD9"/>
    <w:rsid w:val="00AE1244"/>
    <w:rsid w:val="00AF7F75"/>
    <w:rsid w:val="00B002AC"/>
    <w:rsid w:val="00B06338"/>
    <w:rsid w:val="00B067AB"/>
    <w:rsid w:val="00B1012E"/>
    <w:rsid w:val="00B106FB"/>
    <w:rsid w:val="00B1263F"/>
    <w:rsid w:val="00B243C1"/>
    <w:rsid w:val="00B25575"/>
    <w:rsid w:val="00B417AE"/>
    <w:rsid w:val="00B42E4D"/>
    <w:rsid w:val="00B53C22"/>
    <w:rsid w:val="00B60CBE"/>
    <w:rsid w:val="00B63920"/>
    <w:rsid w:val="00B6523A"/>
    <w:rsid w:val="00B65B09"/>
    <w:rsid w:val="00B677FF"/>
    <w:rsid w:val="00B70504"/>
    <w:rsid w:val="00B70D70"/>
    <w:rsid w:val="00B804AE"/>
    <w:rsid w:val="00B873F8"/>
    <w:rsid w:val="00B90EB6"/>
    <w:rsid w:val="00B93CC5"/>
    <w:rsid w:val="00BA1192"/>
    <w:rsid w:val="00BA2E5A"/>
    <w:rsid w:val="00BA73FD"/>
    <w:rsid w:val="00BB1EAC"/>
    <w:rsid w:val="00BC3A6B"/>
    <w:rsid w:val="00BC3E8E"/>
    <w:rsid w:val="00BD3068"/>
    <w:rsid w:val="00BD3CEC"/>
    <w:rsid w:val="00BD4A3F"/>
    <w:rsid w:val="00BE01FD"/>
    <w:rsid w:val="00BF336C"/>
    <w:rsid w:val="00C005DC"/>
    <w:rsid w:val="00C02C6F"/>
    <w:rsid w:val="00C03DB8"/>
    <w:rsid w:val="00C07A6B"/>
    <w:rsid w:val="00C15F38"/>
    <w:rsid w:val="00C20700"/>
    <w:rsid w:val="00C221A3"/>
    <w:rsid w:val="00C23C99"/>
    <w:rsid w:val="00C24FDE"/>
    <w:rsid w:val="00C277AF"/>
    <w:rsid w:val="00C317A9"/>
    <w:rsid w:val="00C332B0"/>
    <w:rsid w:val="00C4498F"/>
    <w:rsid w:val="00C44BFB"/>
    <w:rsid w:val="00C4591C"/>
    <w:rsid w:val="00C55279"/>
    <w:rsid w:val="00C55AE4"/>
    <w:rsid w:val="00C57A1B"/>
    <w:rsid w:val="00C7634A"/>
    <w:rsid w:val="00C8469E"/>
    <w:rsid w:val="00C909A3"/>
    <w:rsid w:val="00C96662"/>
    <w:rsid w:val="00CA6794"/>
    <w:rsid w:val="00CB1BA7"/>
    <w:rsid w:val="00CB2A2B"/>
    <w:rsid w:val="00CB6747"/>
    <w:rsid w:val="00CB6F11"/>
    <w:rsid w:val="00CD1C89"/>
    <w:rsid w:val="00CD3245"/>
    <w:rsid w:val="00CE0D0C"/>
    <w:rsid w:val="00CE1CD5"/>
    <w:rsid w:val="00CE7DBB"/>
    <w:rsid w:val="00CE7E3A"/>
    <w:rsid w:val="00CF2DFD"/>
    <w:rsid w:val="00CF2F13"/>
    <w:rsid w:val="00CF54C9"/>
    <w:rsid w:val="00CF5C4B"/>
    <w:rsid w:val="00D01156"/>
    <w:rsid w:val="00D042D7"/>
    <w:rsid w:val="00D11565"/>
    <w:rsid w:val="00D11E55"/>
    <w:rsid w:val="00D1415E"/>
    <w:rsid w:val="00D16577"/>
    <w:rsid w:val="00D16EFF"/>
    <w:rsid w:val="00D227D6"/>
    <w:rsid w:val="00D23EC9"/>
    <w:rsid w:val="00D26069"/>
    <w:rsid w:val="00D31A22"/>
    <w:rsid w:val="00D34F6A"/>
    <w:rsid w:val="00D4032B"/>
    <w:rsid w:val="00D461D8"/>
    <w:rsid w:val="00D543A8"/>
    <w:rsid w:val="00D67516"/>
    <w:rsid w:val="00D72340"/>
    <w:rsid w:val="00D74E6A"/>
    <w:rsid w:val="00D756FB"/>
    <w:rsid w:val="00D85AF2"/>
    <w:rsid w:val="00D87155"/>
    <w:rsid w:val="00D90F5F"/>
    <w:rsid w:val="00D949D8"/>
    <w:rsid w:val="00D95E67"/>
    <w:rsid w:val="00D9689C"/>
    <w:rsid w:val="00D978B2"/>
    <w:rsid w:val="00DA13B9"/>
    <w:rsid w:val="00DA26D6"/>
    <w:rsid w:val="00DA738A"/>
    <w:rsid w:val="00DB52E4"/>
    <w:rsid w:val="00DB5749"/>
    <w:rsid w:val="00DB6E94"/>
    <w:rsid w:val="00DC096B"/>
    <w:rsid w:val="00DC3DF8"/>
    <w:rsid w:val="00DC50BA"/>
    <w:rsid w:val="00DD0E18"/>
    <w:rsid w:val="00DD31EA"/>
    <w:rsid w:val="00DD6CB4"/>
    <w:rsid w:val="00DE27FF"/>
    <w:rsid w:val="00DF0FB7"/>
    <w:rsid w:val="00DF302E"/>
    <w:rsid w:val="00DF4C17"/>
    <w:rsid w:val="00DF571A"/>
    <w:rsid w:val="00DF5ABE"/>
    <w:rsid w:val="00E07273"/>
    <w:rsid w:val="00E11AD5"/>
    <w:rsid w:val="00E11B6C"/>
    <w:rsid w:val="00E16E0F"/>
    <w:rsid w:val="00E22E93"/>
    <w:rsid w:val="00E32064"/>
    <w:rsid w:val="00E37911"/>
    <w:rsid w:val="00E437F1"/>
    <w:rsid w:val="00E45A7C"/>
    <w:rsid w:val="00E46564"/>
    <w:rsid w:val="00E5069F"/>
    <w:rsid w:val="00E514A8"/>
    <w:rsid w:val="00E518D8"/>
    <w:rsid w:val="00E51E33"/>
    <w:rsid w:val="00E53DBE"/>
    <w:rsid w:val="00E643B1"/>
    <w:rsid w:val="00E71B15"/>
    <w:rsid w:val="00E73AED"/>
    <w:rsid w:val="00E74C8D"/>
    <w:rsid w:val="00E87F3D"/>
    <w:rsid w:val="00E923AD"/>
    <w:rsid w:val="00E95DDA"/>
    <w:rsid w:val="00EA2CC5"/>
    <w:rsid w:val="00EA3707"/>
    <w:rsid w:val="00EA6999"/>
    <w:rsid w:val="00EB7299"/>
    <w:rsid w:val="00EC3B5B"/>
    <w:rsid w:val="00ED48C5"/>
    <w:rsid w:val="00ED765C"/>
    <w:rsid w:val="00EE2DD8"/>
    <w:rsid w:val="00F0382A"/>
    <w:rsid w:val="00F047DB"/>
    <w:rsid w:val="00F1184C"/>
    <w:rsid w:val="00F1470C"/>
    <w:rsid w:val="00F24F32"/>
    <w:rsid w:val="00F30881"/>
    <w:rsid w:val="00F322F8"/>
    <w:rsid w:val="00F32FDB"/>
    <w:rsid w:val="00F4122C"/>
    <w:rsid w:val="00F43CDF"/>
    <w:rsid w:val="00F44B19"/>
    <w:rsid w:val="00F51BDD"/>
    <w:rsid w:val="00F57BA9"/>
    <w:rsid w:val="00F60375"/>
    <w:rsid w:val="00F60705"/>
    <w:rsid w:val="00F60846"/>
    <w:rsid w:val="00F6182D"/>
    <w:rsid w:val="00F674B2"/>
    <w:rsid w:val="00F67CCC"/>
    <w:rsid w:val="00F83FF9"/>
    <w:rsid w:val="00F87FBA"/>
    <w:rsid w:val="00F9682A"/>
    <w:rsid w:val="00F97009"/>
    <w:rsid w:val="00FB0495"/>
    <w:rsid w:val="00FB0A87"/>
    <w:rsid w:val="00FB1BB3"/>
    <w:rsid w:val="00FB4D97"/>
    <w:rsid w:val="00FC1C12"/>
    <w:rsid w:val="00FD1955"/>
    <w:rsid w:val="00FD2E2D"/>
    <w:rsid w:val="00FD3C15"/>
    <w:rsid w:val="00FE5530"/>
    <w:rsid w:val="00FE78E1"/>
    <w:rsid w:val="00FF6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452159B"/>
  <w15:docId w15:val="{D0772BAF-41B0-468C-8DAA-F8C79875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AC3"/>
    <w:rPr>
      <w:rFonts w:eastAsia="Times New Roman"/>
      <w:sz w:val="24"/>
      <w:szCs w:val="24"/>
      <w:lang w:val="en-US" w:eastAsia="en-US"/>
    </w:rPr>
  </w:style>
  <w:style w:type="paragraph" w:styleId="Heading1">
    <w:name w:val="heading 1"/>
    <w:basedOn w:val="Normal"/>
    <w:next w:val="Normal"/>
    <w:qFormat/>
    <w:rsid w:val="00401AC3"/>
    <w:pPr>
      <w:keepNext/>
      <w:jc w:val="center"/>
      <w:outlineLvl w:val="0"/>
    </w:pPr>
    <w:rPr>
      <w:b/>
      <w:sz w:val="20"/>
      <w:szCs w:val="20"/>
    </w:rPr>
  </w:style>
  <w:style w:type="paragraph" w:styleId="Heading2">
    <w:name w:val="heading 2"/>
    <w:basedOn w:val="Normal"/>
    <w:next w:val="Normal"/>
    <w:qFormat/>
    <w:rsid w:val="00401AC3"/>
    <w:pPr>
      <w:keepNext/>
      <w:outlineLvl w:val="1"/>
    </w:pPr>
    <w:rPr>
      <w:b/>
      <w:sz w:val="20"/>
      <w:szCs w:val="20"/>
    </w:rPr>
  </w:style>
  <w:style w:type="paragraph" w:styleId="Heading5">
    <w:name w:val="heading 5"/>
    <w:basedOn w:val="Normal"/>
    <w:next w:val="Normal"/>
    <w:qFormat/>
    <w:rsid w:val="00401AC3"/>
    <w:pPr>
      <w:keepNext/>
      <w:jc w:val="right"/>
      <w:outlineLvl w:val="4"/>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1AC3"/>
    <w:pPr>
      <w:jc w:val="both"/>
    </w:pPr>
    <w:rPr>
      <w:sz w:val="20"/>
      <w:szCs w:val="20"/>
      <w:lang w:val="en-GB"/>
    </w:rPr>
  </w:style>
  <w:style w:type="paragraph" w:customStyle="1" w:styleId="PiedPPaysage">
    <w:name w:val="PiedPPaysage"/>
    <w:basedOn w:val="Footer"/>
    <w:rsid w:val="00401AC3"/>
    <w:pPr>
      <w:tabs>
        <w:tab w:val="clear" w:pos="4536"/>
        <w:tab w:val="clear" w:pos="9072"/>
        <w:tab w:val="center" w:pos="7513"/>
        <w:tab w:val="right" w:pos="14459"/>
        <w:tab w:val="right" w:pos="15026"/>
      </w:tabs>
    </w:pPr>
    <w:rPr>
      <w:sz w:val="22"/>
      <w:szCs w:val="20"/>
      <w:lang w:val="fr-FR"/>
    </w:rPr>
  </w:style>
  <w:style w:type="paragraph" w:customStyle="1" w:styleId="subpara">
    <w:name w:val="sub para"/>
    <w:basedOn w:val="Normal"/>
    <w:rsid w:val="00401AC3"/>
    <w:pPr>
      <w:spacing w:before="60" w:after="60"/>
      <w:ind w:left="1134" w:right="794" w:hanging="567"/>
      <w:jc w:val="both"/>
    </w:pPr>
    <w:rPr>
      <w:rFonts w:ascii="Arial Narrow" w:hAnsi="Arial Narrow"/>
      <w:sz w:val="22"/>
      <w:szCs w:val="20"/>
      <w:lang w:val="en-AU"/>
    </w:rPr>
  </w:style>
  <w:style w:type="paragraph" w:customStyle="1" w:styleId="subsubpara">
    <w:name w:val="subsub para"/>
    <w:basedOn w:val="subpara"/>
    <w:rsid w:val="00401AC3"/>
    <w:pPr>
      <w:ind w:left="1701"/>
    </w:pPr>
  </w:style>
  <w:style w:type="paragraph" w:styleId="Footer">
    <w:name w:val="footer"/>
    <w:basedOn w:val="Normal"/>
    <w:link w:val="FooterChar"/>
    <w:uiPriority w:val="99"/>
    <w:rsid w:val="00401AC3"/>
    <w:pPr>
      <w:tabs>
        <w:tab w:val="center" w:pos="4536"/>
        <w:tab w:val="right" w:pos="9072"/>
      </w:tabs>
    </w:pPr>
  </w:style>
  <w:style w:type="paragraph" w:styleId="ListParagraph">
    <w:name w:val="List Paragraph"/>
    <w:basedOn w:val="Normal"/>
    <w:uiPriority w:val="34"/>
    <w:qFormat/>
    <w:rsid w:val="00B067AB"/>
    <w:pPr>
      <w:ind w:left="720"/>
      <w:contextualSpacing/>
    </w:pPr>
  </w:style>
  <w:style w:type="character" w:styleId="CommentReference">
    <w:name w:val="annotation reference"/>
    <w:rsid w:val="00050606"/>
    <w:rPr>
      <w:sz w:val="16"/>
      <w:szCs w:val="16"/>
    </w:rPr>
  </w:style>
  <w:style w:type="paragraph" w:styleId="CommentText">
    <w:name w:val="annotation text"/>
    <w:basedOn w:val="Normal"/>
    <w:link w:val="CommentTextChar"/>
    <w:rsid w:val="00050606"/>
    <w:rPr>
      <w:sz w:val="20"/>
      <w:szCs w:val="20"/>
    </w:rPr>
  </w:style>
  <w:style w:type="character" w:customStyle="1" w:styleId="CommentTextChar">
    <w:name w:val="Comment Text Char"/>
    <w:link w:val="CommentText"/>
    <w:rsid w:val="00050606"/>
    <w:rPr>
      <w:rFonts w:eastAsia="Times New Roman"/>
    </w:rPr>
  </w:style>
  <w:style w:type="paragraph" w:styleId="CommentSubject">
    <w:name w:val="annotation subject"/>
    <w:basedOn w:val="CommentText"/>
    <w:next w:val="CommentText"/>
    <w:link w:val="CommentSubjectChar"/>
    <w:rsid w:val="00050606"/>
    <w:rPr>
      <w:b/>
      <w:bCs/>
    </w:rPr>
  </w:style>
  <w:style w:type="character" w:customStyle="1" w:styleId="CommentSubjectChar">
    <w:name w:val="Comment Subject Char"/>
    <w:link w:val="CommentSubject"/>
    <w:rsid w:val="00050606"/>
    <w:rPr>
      <w:rFonts w:eastAsia="Times New Roman"/>
      <w:b/>
      <w:bCs/>
    </w:rPr>
  </w:style>
  <w:style w:type="paragraph" w:styleId="BalloonText">
    <w:name w:val="Balloon Text"/>
    <w:basedOn w:val="Normal"/>
    <w:link w:val="BalloonTextChar"/>
    <w:rsid w:val="00050606"/>
    <w:rPr>
      <w:rFonts w:ascii="Segoe UI" w:hAnsi="Segoe UI" w:cs="Segoe UI"/>
      <w:sz w:val="18"/>
      <w:szCs w:val="18"/>
    </w:rPr>
  </w:style>
  <w:style w:type="character" w:customStyle="1" w:styleId="BalloonTextChar">
    <w:name w:val="Balloon Text Char"/>
    <w:link w:val="BalloonText"/>
    <w:rsid w:val="00050606"/>
    <w:rPr>
      <w:rFonts w:ascii="Segoe UI" w:eastAsia="Times New Roman" w:hAnsi="Segoe UI" w:cs="Segoe UI"/>
      <w:sz w:val="18"/>
      <w:szCs w:val="18"/>
    </w:rPr>
  </w:style>
  <w:style w:type="table" w:styleId="TableGrid">
    <w:name w:val="Table Grid"/>
    <w:basedOn w:val="TableNormal"/>
    <w:rsid w:val="00843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90EB6"/>
    <w:pPr>
      <w:tabs>
        <w:tab w:val="center" w:pos="4680"/>
        <w:tab w:val="right" w:pos="9360"/>
      </w:tabs>
    </w:pPr>
  </w:style>
  <w:style w:type="character" w:customStyle="1" w:styleId="HeaderChar">
    <w:name w:val="Header Char"/>
    <w:link w:val="Header"/>
    <w:uiPriority w:val="99"/>
    <w:rsid w:val="00B90EB6"/>
    <w:rPr>
      <w:rFonts w:eastAsia="Times New Roman"/>
      <w:sz w:val="24"/>
      <w:szCs w:val="24"/>
    </w:rPr>
  </w:style>
  <w:style w:type="paragraph" w:styleId="Revision">
    <w:name w:val="Revision"/>
    <w:hidden/>
    <w:uiPriority w:val="99"/>
    <w:semiHidden/>
    <w:rsid w:val="004A696E"/>
    <w:rPr>
      <w:rFonts w:eastAsia="Times New Roman"/>
      <w:sz w:val="24"/>
      <w:szCs w:val="24"/>
      <w:lang w:val="en-US" w:eastAsia="en-US"/>
    </w:rPr>
  </w:style>
  <w:style w:type="paragraph" w:styleId="FootnoteText">
    <w:name w:val="footnote text"/>
    <w:basedOn w:val="Normal"/>
    <w:link w:val="FootnoteTextChar"/>
    <w:rsid w:val="00976DA2"/>
    <w:rPr>
      <w:sz w:val="20"/>
      <w:szCs w:val="20"/>
    </w:rPr>
  </w:style>
  <w:style w:type="character" w:customStyle="1" w:styleId="FootnoteTextChar">
    <w:name w:val="Footnote Text Char"/>
    <w:basedOn w:val="DefaultParagraphFont"/>
    <w:link w:val="FootnoteText"/>
    <w:rsid w:val="00976DA2"/>
    <w:rPr>
      <w:rFonts w:eastAsia="Times New Roman"/>
      <w:lang w:val="en-US" w:eastAsia="en-US"/>
    </w:rPr>
  </w:style>
  <w:style w:type="character" w:styleId="FootnoteReference">
    <w:name w:val="footnote reference"/>
    <w:basedOn w:val="DefaultParagraphFont"/>
    <w:rsid w:val="00976DA2"/>
    <w:rPr>
      <w:vertAlign w:val="superscript"/>
    </w:rPr>
  </w:style>
  <w:style w:type="character" w:customStyle="1" w:styleId="FooterChar">
    <w:name w:val="Footer Char"/>
    <w:basedOn w:val="DefaultParagraphFont"/>
    <w:link w:val="Footer"/>
    <w:uiPriority w:val="99"/>
    <w:rsid w:val="00F32FDB"/>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27218">
      <w:bodyDiv w:val="1"/>
      <w:marLeft w:val="0"/>
      <w:marRight w:val="0"/>
      <w:marTop w:val="0"/>
      <w:marBottom w:val="0"/>
      <w:divBdr>
        <w:top w:val="none" w:sz="0" w:space="0" w:color="auto"/>
        <w:left w:val="none" w:sz="0" w:space="0" w:color="auto"/>
        <w:bottom w:val="none" w:sz="0" w:space="0" w:color="auto"/>
        <w:right w:val="none" w:sz="0" w:space="0" w:color="auto"/>
      </w:divBdr>
    </w:div>
    <w:div w:id="64470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FEF96E3FDB5449ADF5976012BDD9B1" ma:contentTypeVersion="12" ma:contentTypeDescription="Create a new document." ma:contentTypeScope="" ma:versionID="7782f0d0de59ad09aee35329e9a98437">
  <xsd:schema xmlns:xsd="http://www.w3.org/2001/XMLSchema" xmlns:xs="http://www.w3.org/2001/XMLSchema" xmlns:p="http://schemas.microsoft.com/office/2006/metadata/properties" xmlns:ns3="467b3584-da19-42db-9184-5b7074a95543" xmlns:ns4="1ff4b36c-a4d2-4d96-a8d6-eedaecf115c2" targetNamespace="http://schemas.microsoft.com/office/2006/metadata/properties" ma:root="true" ma:fieldsID="887fe6923258f4ba8bf1028d7a6cdb2a" ns3:_="" ns4:_="">
    <xsd:import namespace="467b3584-da19-42db-9184-5b7074a95543"/>
    <xsd:import namespace="1ff4b36c-a4d2-4d96-a8d6-eedaecf115c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b3584-da19-42db-9184-5b7074a9554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f4b36c-a4d2-4d96-a8d6-eedaecf115c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D82F7-D812-4D6C-AA65-49D91E0A6854}">
  <ds:schemaRefs>
    <ds:schemaRef ds:uri="http://schemas.microsoft.com/sharepoint/v3/contenttype/forms"/>
  </ds:schemaRefs>
</ds:datastoreItem>
</file>

<file path=customXml/itemProps2.xml><?xml version="1.0" encoding="utf-8"?>
<ds:datastoreItem xmlns:ds="http://schemas.openxmlformats.org/officeDocument/2006/customXml" ds:itemID="{71B33839-6318-458F-973A-67B49B377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b3584-da19-42db-9184-5b7074a95543"/>
    <ds:schemaRef ds:uri="1ff4b36c-a4d2-4d96-a8d6-eedaecf11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5A6CFF-5533-4845-AF87-36992D6D870C}">
  <ds:schemaRefs>
    <ds:schemaRef ds:uri="http://purl.org/dc/dcmitype/"/>
    <ds:schemaRef ds:uri="http://schemas.microsoft.com/office/2006/documentManagement/types"/>
    <ds:schemaRef ds:uri="http://purl.org/dc/elements/1.1/"/>
    <ds:schemaRef ds:uri="http://schemas.microsoft.com/office/2006/metadata/properties"/>
    <ds:schemaRef ds:uri="467b3584-da19-42db-9184-5b7074a95543"/>
    <ds:schemaRef ds:uri="http://purl.org/dc/terms/"/>
    <ds:schemaRef ds:uri="http://schemas.openxmlformats.org/package/2006/metadata/core-properties"/>
    <ds:schemaRef ds:uri="http://schemas.microsoft.com/office/infopath/2007/PartnerControls"/>
    <ds:schemaRef ds:uri="1ff4b36c-a4d2-4d96-a8d6-eedaecf115c2"/>
    <ds:schemaRef ds:uri="http://www.w3.org/XML/1998/namespace"/>
  </ds:schemaRefs>
</ds:datastoreItem>
</file>

<file path=customXml/itemProps4.xml><?xml version="1.0" encoding="utf-8"?>
<ds:datastoreItem xmlns:ds="http://schemas.openxmlformats.org/officeDocument/2006/customXml" ds:itemID="{07C328FB-9C96-4E9B-ADAE-DEEA73244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35C973D</Template>
  <TotalTime>0</TotalTime>
  <Pages>4</Pages>
  <Words>1598</Words>
  <Characters>9327</Characters>
  <Application>Microsoft Office Word</Application>
  <DocSecurity>0</DocSecurity>
  <Lines>77</Lines>
  <Paragraphs>21</Paragraphs>
  <ScaleCrop>false</ScaleCrop>
  <HeadingPairs>
    <vt:vector size="6" baseType="variant">
      <vt:variant>
        <vt:lpstr>Title</vt:lpstr>
      </vt:variant>
      <vt:variant>
        <vt:i4>1</vt:i4>
      </vt:variant>
      <vt:variant>
        <vt:lpstr>Titre</vt:lpstr>
      </vt:variant>
      <vt:variant>
        <vt:i4>1</vt:i4>
      </vt:variant>
      <vt:variant>
        <vt:lpstr>Rubrik</vt:lpstr>
      </vt:variant>
      <vt:variant>
        <vt:i4>1</vt:i4>
      </vt:variant>
    </vt:vector>
  </HeadingPairs>
  <TitlesOfParts>
    <vt:vector size="3" baseType="lpstr">
      <vt:lpstr>GUIDELINES FOR THE SUBMISSION OF</vt:lpstr>
      <vt:lpstr>GUIDELINES FOR THE SUBMISSION OF</vt:lpstr>
      <vt:lpstr>GUIDELINES FOR THE SUBMISSION OF</vt:lpstr>
    </vt:vector>
  </TitlesOfParts>
  <Company>IHB</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SUBMISSION OF</dc:title>
  <dc:creator>Michel HUET</dc:creator>
  <cp:lastModifiedBy>Donck, MCJ, van der, KTZ, CZSK/OPS/HYD</cp:lastModifiedBy>
  <cp:revision>2</cp:revision>
  <cp:lastPrinted>2020-09-17T16:26:00Z</cp:lastPrinted>
  <dcterms:created xsi:type="dcterms:W3CDTF">2020-09-23T13:30:00Z</dcterms:created>
  <dcterms:modified xsi:type="dcterms:W3CDTF">2020-09-23T13:30:00Z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0x01010096FEF96E3FDB5449ADF5976012BDD9B1</vt:lpwstr>
  </property>
</Properties>
</file>