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50BA" w14:textId="3F6E9614" w:rsidR="004D40CB" w:rsidRPr="008D4F78" w:rsidRDefault="00A05CAA" w:rsidP="00707326">
      <w:pPr>
        <w:tabs>
          <w:tab w:val="right" w:pos="8880"/>
        </w:tabs>
      </w:pPr>
      <w:r>
        <w:t>W</w:t>
      </w:r>
      <w:r w:rsidR="00707326">
        <w:t>W</w:t>
      </w:r>
      <w:r>
        <w:t>NWS</w:t>
      </w:r>
      <w:r w:rsidR="00707326" w:rsidRPr="008D4F78">
        <w:tab/>
      </w:r>
      <w:r w:rsidR="001A7FF8">
        <w:t>WWNWS</w:t>
      </w:r>
      <w:r w:rsidR="00684FC2">
        <w:t>1</w:t>
      </w:r>
      <w:r w:rsidR="00081AA0">
        <w:t>5</w:t>
      </w:r>
      <w:r w:rsidR="001A7FF8">
        <w:t>/</w:t>
      </w:r>
      <w:r w:rsidR="00636445">
        <w:t>#</w:t>
      </w:r>
      <w:r w:rsidR="001A7FF8">
        <w:t>/</w:t>
      </w:r>
      <w:r w:rsidR="00636445">
        <w:t>#</w:t>
      </w:r>
      <w:r w:rsidR="001A7FF8">
        <w:t>-</w:t>
      </w:r>
      <w:r w:rsidR="001A7FF8" w:rsidRPr="001A7FF8">
        <w:rPr>
          <w:i/>
        </w:rPr>
        <w:t>[NAV</w:t>
      </w:r>
      <w:r w:rsidR="00BF3195">
        <w:rPr>
          <w:i/>
        </w:rPr>
        <w:t>AREA XVII/XVIII</w:t>
      </w:r>
      <w:r w:rsidR="001A7FF8" w:rsidRPr="001A7FF8">
        <w:rPr>
          <w:i/>
        </w:rPr>
        <w:t>]</w:t>
      </w:r>
    </w:p>
    <w:p w14:paraId="2EA8C6B7" w14:textId="4EFE2D36" w:rsidR="00707326" w:rsidRPr="008D4F78" w:rsidRDefault="00707326" w:rsidP="00707326">
      <w:pPr>
        <w:tabs>
          <w:tab w:val="right" w:pos="8880"/>
        </w:tabs>
      </w:pPr>
      <w:r w:rsidRPr="008D4F78">
        <w:t xml:space="preserve">Meeting </w:t>
      </w:r>
      <w:r w:rsidR="00684FC2">
        <w:t>1</w:t>
      </w:r>
      <w:r w:rsidR="00081AA0">
        <w:t>5</w:t>
      </w:r>
      <w:r w:rsidRPr="008D4F78">
        <w:tab/>
      </w:r>
      <w:r w:rsidRPr="00F67C7C">
        <w:rPr>
          <w:i/>
        </w:rPr>
        <w:t>[</w:t>
      </w:r>
      <w:r w:rsidR="00AC1C8C">
        <w:rPr>
          <w:i/>
        </w:rPr>
        <w:t>Sept. 1, 2023</w:t>
      </w:r>
      <w:r w:rsidRPr="00F67C7C">
        <w:rPr>
          <w:i/>
        </w:rPr>
        <w:t>]</w:t>
      </w:r>
    </w:p>
    <w:p w14:paraId="1BDC177A" w14:textId="06D3A269" w:rsidR="00707326" w:rsidRPr="008D4F78" w:rsidRDefault="00707326" w:rsidP="00707326">
      <w:pPr>
        <w:tabs>
          <w:tab w:val="right" w:pos="8880"/>
        </w:tabs>
      </w:pPr>
      <w:r w:rsidRPr="008D4F78">
        <w:t xml:space="preserve">Agenda Item </w:t>
      </w:r>
      <w:r w:rsidR="00173240">
        <w:t>#</w:t>
      </w:r>
      <w:r w:rsidR="00461397">
        <w:t>.</w:t>
      </w:r>
      <w:r w:rsidR="00173240">
        <w:t>#</w:t>
      </w:r>
    </w:p>
    <w:p w14:paraId="657D5140" w14:textId="77777777" w:rsidR="00707326" w:rsidRPr="008D4F78" w:rsidRDefault="00707326" w:rsidP="00707326">
      <w:pPr>
        <w:tabs>
          <w:tab w:val="right" w:pos="8880"/>
        </w:tabs>
      </w:pPr>
    </w:p>
    <w:p w14:paraId="13A2EB5B" w14:textId="29D458C6" w:rsidR="00707326" w:rsidRDefault="00461397" w:rsidP="00707326">
      <w:pPr>
        <w:tabs>
          <w:tab w:val="right" w:pos="8880"/>
        </w:tabs>
        <w:jc w:val="center"/>
        <w:rPr>
          <w:i/>
        </w:rPr>
      </w:pPr>
      <w:r w:rsidRPr="00461397">
        <w:rPr>
          <w:b/>
        </w:rPr>
        <w:t>MSI Assessment</w:t>
      </w:r>
      <w:r w:rsidR="00F748B4">
        <w:rPr>
          <w:b/>
        </w:rPr>
        <w:t xml:space="preserve"> for</w:t>
      </w:r>
      <w:r w:rsidRPr="00461397">
        <w:rPr>
          <w:b/>
        </w:rPr>
        <w:t xml:space="preserve"> NAVAREA</w:t>
      </w:r>
      <w:r>
        <w:t xml:space="preserve"> </w:t>
      </w:r>
      <w:r w:rsidR="00BF3195" w:rsidRPr="00BF3195">
        <w:rPr>
          <w:b/>
          <w:bCs/>
        </w:rPr>
        <w:t>XVII/XVIII</w:t>
      </w:r>
    </w:p>
    <w:p w14:paraId="7BA44BA7" w14:textId="68F75288" w:rsidR="00991FBB" w:rsidRDefault="00991FBB" w:rsidP="00707326">
      <w:pPr>
        <w:tabs>
          <w:tab w:val="right" w:pos="8880"/>
        </w:tabs>
        <w:jc w:val="center"/>
        <w:rPr>
          <w:i/>
        </w:rPr>
      </w:pPr>
    </w:p>
    <w:p w14:paraId="732617D3" w14:textId="09FBCFB1" w:rsidR="00991FBB" w:rsidRPr="008D4F78" w:rsidRDefault="00991FBB" w:rsidP="00707326">
      <w:pPr>
        <w:tabs>
          <w:tab w:val="right" w:pos="8880"/>
        </w:tabs>
        <w:jc w:val="center"/>
      </w:pPr>
      <w:r>
        <w:rPr>
          <w:i/>
        </w:rPr>
        <w:t>Reporting period from 1</w:t>
      </w:r>
      <w:r w:rsidRPr="00E46A7C">
        <w:rPr>
          <w:i/>
          <w:vertAlign w:val="superscript"/>
        </w:rPr>
        <w:t>st</w:t>
      </w:r>
      <w:r w:rsidR="00081AA0">
        <w:rPr>
          <w:i/>
        </w:rPr>
        <w:t xml:space="preserve"> Jan 2022</w:t>
      </w:r>
      <w:r>
        <w:rPr>
          <w:i/>
        </w:rPr>
        <w:t xml:space="preserve"> to 3</w:t>
      </w:r>
      <w:r w:rsidR="00EC086F">
        <w:rPr>
          <w:i/>
        </w:rPr>
        <w:t>1</w:t>
      </w:r>
      <w:r w:rsidR="00BF3195">
        <w:rPr>
          <w:i/>
          <w:vertAlign w:val="superscript"/>
        </w:rPr>
        <w:t>st</w:t>
      </w:r>
      <w:r>
        <w:rPr>
          <w:i/>
        </w:rPr>
        <w:t xml:space="preserve"> </w:t>
      </w:r>
      <w:r w:rsidR="00EC086F">
        <w:rPr>
          <w:i/>
        </w:rPr>
        <w:t>December</w:t>
      </w:r>
      <w:r>
        <w:rPr>
          <w:i/>
        </w:rPr>
        <w:t xml:space="preserve"> 202</w:t>
      </w:r>
      <w:r w:rsidR="00081AA0">
        <w:rPr>
          <w:i/>
        </w:rPr>
        <w:t>2</w:t>
      </w:r>
    </w:p>
    <w:p w14:paraId="6C2BB322" w14:textId="77777777" w:rsidR="008D4F78" w:rsidRPr="008D4F78" w:rsidRDefault="008D4F78" w:rsidP="00707326">
      <w:pPr>
        <w:tabs>
          <w:tab w:val="right" w:pos="8880"/>
        </w:tabs>
        <w:jc w:val="center"/>
      </w:pPr>
    </w:p>
    <w:p w14:paraId="63841E94" w14:textId="3F296970" w:rsidR="008D4F78" w:rsidRPr="008D4F78" w:rsidRDefault="008D4F78" w:rsidP="00707326">
      <w:pPr>
        <w:tabs>
          <w:tab w:val="right" w:pos="8880"/>
        </w:tabs>
        <w:jc w:val="center"/>
      </w:pPr>
      <w:r w:rsidRPr="008D4F78">
        <w:t xml:space="preserve">Submitted by </w:t>
      </w:r>
      <w:r w:rsidR="00BF3195" w:rsidRPr="00BF3195">
        <w:rPr>
          <w:iCs/>
        </w:rPr>
        <w:t>Canada, Canadian Coast Guard</w:t>
      </w:r>
    </w:p>
    <w:p w14:paraId="5E95FE16" w14:textId="77777777" w:rsidR="00707326" w:rsidRDefault="002C45FB" w:rsidP="00707326">
      <w:pPr>
        <w:tabs>
          <w:tab w:val="right" w:pos="8880"/>
        </w:tabs>
      </w:pPr>
      <w:r>
        <w:rPr>
          <w:noProof/>
          <w:lang w:val="en-US" w:eastAsia="en-US"/>
        </w:rPr>
        <mc:AlternateContent>
          <mc:Choice Requires="wps">
            <w:drawing>
              <wp:anchor distT="0" distB="0" distL="114300" distR="114300" simplePos="0" relativeHeight="251657728" behindDoc="0" locked="0" layoutInCell="1" allowOverlap="1" wp14:anchorId="23AEA958" wp14:editId="016AFC99">
                <wp:simplePos x="0" y="0"/>
                <wp:positionH relativeFrom="column">
                  <wp:posOffset>9525</wp:posOffset>
                </wp:positionH>
                <wp:positionV relativeFrom="paragraph">
                  <wp:posOffset>137160</wp:posOffset>
                </wp:positionV>
                <wp:extent cx="5715000" cy="26003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00325"/>
                        </a:xfrm>
                        <a:prstGeom prst="rect">
                          <a:avLst/>
                        </a:prstGeom>
                        <a:solidFill>
                          <a:srgbClr val="FFFFFF"/>
                        </a:solidFill>
                        <a:ln w="9525">
                          <a:solidFill>
                            <a:srgbClr val="000000"/>
                          </a:solidFill>
                          <a:miter lim="800000"/>
                          <a:headEnd/>
                          <a:tailEnd/>
                        </a:ln>
                      </wps:spPr>
                      <wps:txb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5A3691AD" w:rsidR="00BE2A55" w:rsidRDefault="00BE2A55" w:rsidP="00C93554">
                            <w:pPr>
                              <w:tabs>
                                <w:tab w:val="left" w:pos="2160"/>
                              </w:tabs>
                              <w:ind w:left="2160" w:hanging="2160"/>
                            </w:pPr>
                            <w:r>
                              <w:t>Executive Summar</w:t>
                            </w:r>
                            <w:r w:rsidRPr="008D4F78">
                              <w:t xml:space="preserve">y: </w:t>
                            </w:r>
                            <w:r w:rsidR="00BF3195" w:rsidRPr="00C826F4">
                              <w:t xml:space="preserve">Synopsis of activities within NAVAREA </w:t>
                            </w:r>
                            <w:r w:rsidR="00BF3195">
                              <w:t>XVII</w:t>
                            </w:r>
                            <w:r w:rsidR="00BF3195" w:rsidRPr="00C826F4">
                              <w:t>/X</w:t>
                            </w:r>
                            <w:r w:rsidR="00BF3195">
                              <w:t>V</w:t>
                            </w:r>
                            <w:r w:rsidR="00BF3195" w:rsidRPr="00C826F4">
                              <w:t>II</w:t>
                            </w:r>
                            <w:r w:rsidR="00BF3195">
                              <w:t>I</w:t>
                            </w:r>
                            <w:r w:rsidR="00BF3195" w:rsidRPr="00C826F4">
                              <w:t xml:space="preserve"> since WWNWS1</w:t>
                            </w:r>
                            <w:r w:rsidR="00655308">
                              <w:t>4</w:t>
                            </w:r>
                            <w:r w:rsidR="00AC1C8C">
                              <w:t xml:space="preserve">: Canada is advising mariners about the intention to cease rectangular broadcasts in the Arctic NAVAREAs by Jan 1, 2024 and has also commenced the process of updating all NAVTEX stations across the country.  NAVAREA warnings have been added to the national navigational warning website so please update bookmarks accordingly.  </w:t>
                            </w:r>
                          </w:p>
                          <w:p w14:paraId="7A7F7A04" w14:textId="2A46A936" w:rsidR="006C203F" w:rsidRDefault="006C203F" w:rsidP="00C93554">
                            <w:pPr>
                              <w:tabs>
                                <w:tab w:val="left" w:pos="2160"/>
                              </w:tabs>
                              <w:ind w:left="2160" w:hanging="2160"/>
                            </w:pPr>
                          </w:p>
                          <w:p w14:paraId="3F03F6A5" w14:textId="7B184C33" w:rsidR="006C203F" w:rsidRPr="006C203F" w:rsidRDefault="006C203F" w:rsidP="00C93554">
                            <w:pPr>
                              <w:tabs>
                                <w:tab w:val="left" w:pos="2160"/>
                              </w:tabs>
                              <w:ind w:left="2160" w:hanging="2160"/>
                              <w:rPr>
                                <w:color w:val="000000"/>
                              </w:rPr>
                            </w:pPr>
                            <w:r w:rsidRPr="006C203F">
                              <w:rPr>
                                <w:color w:val="000000"/>
                              </w:rPr>
                              <w:t xml:space="preserve">Action to be taken: </w:t>
                            </w:r>
                            <w:r w:rsidRPr="006C203F">
                              <w:t>Note the report and update bookmarks accordingly for the NAVAREA warnings.</w:t>
                            </w:r>
                          </w:p>
                          <w:p w14:paraId="7A60A538" w14:textId="77777777" w:rsidR="006C203F" w:rsidRPr="006C203F" w:rsidRDefault="006C203F" w:rsidP="00C93554">
                            <w:pPr>
                              <w:tabs>
                                <w:tab w:val="left" w:pos="2160"/>
                              </w:tabs>
                              <w:ind w:left="2160" w:hanging="2160"/>
                              <w:rPr>
                                <w:color w:val="000000"/>
                              </w:rPr>
                            </w:pPr>
                          </w:p>
                          <w:p w14:paraId="73D633FD" w14:textId="34DF4B36" w:rsidR="006C203F" w:rsidRPr="006C203F" w:rsidRDefault="006C203F" w:rsidP="00C93554">
                            <w:pPr>
                              <w:tabs>
                                <w:tab w:val="left" w:pos="2160"/>
                              </w:tabs>
                              <w:ind w:left="2160" w:hanging="2160"/>
                            </w:pPr>
                            <w:r w:rsidRPr="006C203F">
                              <w:rPr>
                                <w:color w:val="000000"/>
                              </w:rPr>
                              <w:t xml:space="preserve">Related documents: </w:t>
                            </w:r>
                            <w:r w:rsidRPr="006C203F">
                              <w:rPr>
                                <w:color w:val="000000"/>
                              </w:rPr>
                              <w:t>None.</w:t>
                            </w:r>
                          </w:p>
                          <w:p w14:paraId="42DBD5E3" w14:textId="06A9423B" w:rsidR="006C203F" w:rsidRDefault="006C203F" w:rsidP="00C93554">
                            <w:pPr>
                              <w:tabs>
                                <w:tab w:val="left" w:pos="2160"/>
                              </w:tabs>
                              <w:ind w:left="2160" w:hanging="2160"/>
                            </w:pPr>
                          </w:p>
                          <w:p w14:paraId="265E7FF7" w14:textId="77777777" w:rsidR="006C203F" w:rsidRDefault="006C203F" w:rsidP="00C93554">
                            <w:pPr>
                              <w:tabs>
                                <w:tab w:val="left" w:pos="2160"/>
                              </w:tabs>
                              <w:ind w:left="2160" w:hanging="2160"/>
                            </w:pPr>
                          </w:p>
                          <w:p w14:paraId="010D9752" w14:textId="0172C683" w:rsidR="006C203F" w:rsidRDefault="006C203F" w:rsidP="00C93554">
                            <w:pPr>
                              <w:tabs>
                                <w:tab w:val="left" w:pos="2160"/>
                              </w:tabs>
                              <w:ind w:left="2160" w:hanging="2160"/>
                            </w:pPr>
                          </w:p>
                          <w:p w14:paraId="2B363907" w14:textId="77777777" w:rsidR="006C203F" w:rsidRPr="008D4F78" w:rsidRDefault="006C203F" w:rsidP="00C93554">
                            <w:pPr>
                              <w:tabs>
                                <w:tab w:val="left" w:pos="2160"/>
                              </w:tabs>
                              <w:ind w:left="2160" w:hanging="2160"/>
                            </w:pPr>
                          </w:p>
                          <w:p w14:paraId="059B16A8" w14:textId="77777777" w:rsidR="00BE2A55" w:rsidRPr="008D4F78" w:rsidRDefault="00BE2A55" w:rsidP="00C93554">
                            <w:pPr>
                              <w:tabs>
                                <w:tab w:val="left" w:pos="2160"/>
                              </w:tabs>
                              <w:ind w:left="2160" w:hanging="2160"/>
                            </w:pPr>
                          </w:p>
                          <w:p w14:paraId="29C0E10E" w14:textId="5561FF9B" w:rsidR="00BE2A55" w:rsidRPr="00F67C7C" w:rsidRDefault="00BE2A55" w:rsidP="00C93554">
                            <w:pPr>
                              <w:tabs>
                                <w:tab w:val="left" w:pos="2160"/>
                              </w:tabs>
                              <w:ind w:left="2160" w:hanging="2160"/>
                              <w:rPr>
                                <w:i/>
                              </w:rPr>
                            </w:pPr>
                            <w:r w:rsidRPr="008D4F78">
                              <w:t xml:space="preserve">Action to be taken: </w:t>
                            </w:r>
                            <w:r w:rsidR="00BF3195" w:rsidRPr="002F6893">
                              <w:rPr>
                                <w:iCs/>
                              </w:rPr>
                              <w:t>Note the report</w:t>
                            </w:r>
                            <w:r w:rsidR="00875436">
                              <w:rPr>
                                <w:iCs/>
                              </w:rPr>
                              <w:t xml:space="preserve"> and update bookmarks for new NAVAREA website</w:t>
                            </w:r>
                            <w:r w:rsidR="0042518C">
                              <w:rPr>
                                <w:iCs/>
                              </w:rPr>
                              <w:t xml:space="preserve"> located at </w:t>
                            </w:r>
                            <w:hyperlink r:id="rId7" w:history="1">
                              <w:r w:rsidR="0042518C">
                                <w:rPr>
                                  <w:rStyle w:val="Hyperlink"/>
                                </w:rPr>
                                <w:t>Navigational and NAVAREA warnings (ccg-gcc.gc.ca)</w:t>
                              </w:r>
                            </w:hyperlink>
                            <w:r w:rsidR="00875436">
                              <w:rPr>
                                <w:iCs/>
                              </w:rPr>
                              <w:t>.</w:t>
                            </w:r>
                          </w:p>
                          <w:p w14:paraId="6786AE80" w14:textId="77777777" w:rsidR="00BE2A55" w:rsidRPr="008D4F78" w:rsidRDefault="00BE2A55" w:rsidP="00C93554">
                            <w:pPr>
                              <w:tabs>
                                <w:tab w:val="left" w:pos="2160"/>
                              </w:tabs>
                              <w:ind w:left="2160" w:hanging="2160"/>
                            </w:pPr>
                          </w:p>
                          <w:p w14:paraId="34E14B3A" w14:textId="455B661B" w:rsidR="00BE2A55" w:rsidRPr="008D4F78" w:rsidRDefault="00BE2A55" w:rsidP="00C93554">
                            <w:pPr>
                              <w:tabs>
                                <w:tab w:val="left" w:pos="2160"/>
                              </w:tabs>
                              <w:ind w:left="2160" w:hanging="2160"/>
                            </w:pPr>
                            <w:r w:rsidRPr="008D4F78">
                              <w:t xml:space="preserve">Related documents: </w:t>
                            </w:r>
                            <w:r w:rsidR="002F6893" w:rsidRPr="002F6893">
                              <w:rPr>
                                <w:iCs/>
                              </w:rPr>
                              <w:t>None</w:t>
                            </w:r>
                            <w:r w:rsidR="002F6893">
                              <w:rPr>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A958" id="_x0000_t202" coordsize="21600,21600" o:spt="202" path="m,l,21600r21600,l21600,xe">
                <v:stroke joinstyle="miter"/>
                <v:path gradientshapeok="t" o:connecttype="rect"/>
              </v:shapetype>
              <v:shape id="Text Box 4" o:spid="_x0000_s1026" type="#_x0000_t202" style="position:absolute;margin-left:.75pt;margin-top:10.8pt;width:450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">
                <v:textbo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5A3691AD" w:rsidR="00BE2A55" w:rsidRDefault="00BE2A55" w:rsidP="00C93554">
                      <w:pPr>
                        <w:tabs>
                          <w:tab w:val="left" w:pos="2160"/>
                        </w:tabs>
                        <w:ind w:left="2160" w:hanging="2160"/>
                      </w:pPr>
                      <w:r>
                        <w:t>Executive Summar</w:t>
                      </w:r>
                      <w:r w:rsidRPr="008D4F78">
                        <w:t xml:space="preserve">y: </w:t>
                      </w:r>
                      <w:r w:rsidR="00BF3195" w:rsidRPr="00C826F4">
                        <w:t xml:space="preserve">Synopsis of activities within NAVAREA </w:t>
                      </w:r>
                      <w:r w:rsidR="00BF3195">
                        <w:t>XVII</w:t>
                      </w:r>
                      <w:r w:rsidR="00BF3195" w:rsidRPr="00C826F4">
                        <w:t>/X</w:t>
                      </w:r>
                      <w:r w:rsidR="00BF3195">
                        <w:t>V</w:t>
                      </w:r>
                      <w:r w:rsidR="00BF3195" w:rsidRPr="00C826F4">
                        <w:t>II</w:t>
                      </w:r>
                      <w:r w:rsidR="00BF3195">
                        <w:t>I</w:t>
                      </w:r>
                      <w:r w:rsidR="00BF3195" w:rsidRPr="00C826F4">
                        <w:t xml:space="preserve"> since WWNWS1</w:t>
                      </w:r>
                      <w:r w:rsidR="00655308">
                        <w:t>4</w:t>
                      </w:r>
                      <w:r w:rsidR="00AC1C8C">
                        <w:t xml:space="preserve">: Canada is advising mariners about the intention to cease rectangular broadcasts in the Arctic NAVAREAs by Jan 1, 2024 and has also commenced the process of updating all NAVTEX stations across the country.  NAVAREA warnings have been added to the national navigational warning website so please update bookmarks accordingly.  </w:t>
                      </w:r>
                    </w:p>
                    <w:p w14:paraId="7A7F7A04" w14:textId="2A46A936" w:rsidR="006C203F" w:rsidRDefault="006C203F" w:rsidP="00C93554">
                      <w:pPr>
                        <w:tabs>
                          <w:tab w:val="left" w:pos="2160"/>
                        </w:tabs>
                        <w:ind w:left="2160" w:hanging="2160"/>
                      </w:pPr>
                    </w:p>
                    <w:p w14:paraId="3F03F6A5" w14:textId="7B184C33" w:rsidR="006C203F" w:rsidRPr="006C203F" w:rsidRDefault="006C203F" w:rsidP="00C93554">
                      <w:pPr>
                        <w:tabs>
                          <w:tab w:val="left" w:pos="2160"/>
                        </w:tabs>
                        <w:ind w:left="2160" w:hanging="2160"/>
                        <w:rPr>
                          <w:color w:val="000000"/>
                        </w:rPr>
                      </w:pPr>
                      <w:r w:rsidRPr="006C203F">
                        <w:rPr>
                          <w:color w:val="000000"/>
                        </w:rPr>
                        <w:t xml:space="preserve">Action to be taken: </w:t>
                      </w:r>
                      <w:r w:rsidRPr="006C203F">
                        <w:t>Note the report and update bookmarks accordingly for the NAVAREA warnings.</w:t>
                      </w:r>
                    </w:p>
                    <w:p w14:paraId="7A60A538" w14:textId="77777777" w:rsidR="006C203F" w:rsidRPr="006C203F" w:rsidRDefault="006C203F" w:rsidP="00C93554">
                      <w:pPr>
                        <w:tabs>
                          <w:tab w:val="left" w:pos="2160"/>
                        </w:tabs>
                        <w:ind w:left="2160" w:hanging="2160"/>
                        <w:rPr>
                          <w:color w:val="000000"/>
                        </w:rPr>
                      </w:pPr>
                    </w:p>
                    <w:p w14:paraId="73D633FD" w14:textId="34DF4B36" w:rsidR="006C203F" w:rsidRPr="006C203F" w:rsidRDefault="006C203F" w:rsidP="00C93554">
                      <w:pPr>
                        <w:tabs>
                          <w:tab w:val="left" w:pos="2160"/>
                        </w:tabs>
                        <w:ind w:left="2160" w:hanging="2160"/>
                      </w:pPr>
                      <w:r w:rsidRPr="006C203F">
                        <w:rPr>
                          <w:color w:val="000000"/>
                        </w:rPr>
                        <w:t xml:space="preserve">Related documents: </w:t>
                      </w:r>
                      <w:r w:rsidRPr="006C203F">
                        <w:rPr>
                          <w:color w:val="000000"/>
                        </w:rPr>
                        <w:t>None.</w:t>
                      </w:r>
                    </w:p>
                    <w:p w14:paraId="42DBD5E3" w14:textId="06A9423B" w:rsidR="006C203F" w:rsidRDefault="006C203F" w:rsidP="00C93554">
                      <w:pPr>
                        <w:tabs>
                          <w:tab w:val="left" w:pos="2160"/>
                        </w:tabs>
                        <w:ind w:left="2160" w:hanging="2160"/>
                      </w:pPr>
                    </w:p>
                    <w:p w14:paraId="265E7FF7" w14:textId="77777777" w:rsidR="006C203F" w:rsidRDefault="006C203F" w:rsidP="00C93554">
                      <w:pPr>
                        <w:tabs>
                          <w:tab w:val="left" w:pos="2160"/>
                        </w:tabs>
                        <w:ind w:left="2160" w:hanging="2160"/>
                      </w:pPr>
                    </w:p>
                    <w:p w14:paraId="010D9752" w14:textId="0172C683" w:rsidR="006C203F" w:rsidRDefault="006C203F" w:rsidP="00C93554">
                      <w:pPr>
                        <w:tabs>
                          <w:tab w:val="left" w:pos="2160"/>
                        </w:tabs>
                        <w:ind w:left="2160" w:hanging="2160"/>
                      </w:pPr>
                    </w:p>
                    <w:p w14:paraId="2B363907" w14:textId="77777777" w:rsidR="006C203F" w:rsidRPr="008D4F78" w:rsidRDefault="006C203F" w:rsidP="00C93554">
                      <w:pPr>
                        <w:tabs>
                          <w:tab w:val="left" w:pos="2160"/>
                        </w:tabs>
                        <w:ind w:left="2160" w:hanging="2160"/>
                      </w:pPr>
                    </w:p>
                    <w:p w14:paraId="059B16A8" w14:textId="77777777" w:rsidR="00BE2A55" w:rsidRPr="008D4F78" w:rsidRDefault="00BE2A55" w:rsidP="00C93554">
                      <w:pPr>
                        <w:tabs>
                          <w:tab w:val="left" w:pos="2160"/>
                        </w:tabs>
                        <w:ind w:left="2160" w:hanging="2160"/>
                      </w:pPr>
                    </w:p>
                    <w:p w14:paraId="29C0E10E" w14:textId="5561FF9B" w:rsidR="00BE2A55" w:rsidRPr="00F67C7C" w:rsidRDefault="00BE2A55" w:rsidP="00C93554">
                      <w:pPr>
                        <w:tabs>
                          <w:tab w:val="left" w:pos="2160"/>
                        </w:tabs>
                        <w:ind w:left="2160" w:hanging="2160"/>
                        <w:rPr>
                          <w:i/>
                        </w:rPr>
                      </w:pPr>
                      <w:r w:rsidRPr="008D4F78">
                        <w:t xml:space="preserve">Action to be taken: </w:t>
                      </w:r>
                      <w:r w:rsidR="00BF3195" w:rsidRPr="002F6893">
                        <w:rPr>
                          <w:iCs/>
                        </w:rPr>
                        <w:t>Note the report</w:t>
                      </w:r>
                      <w:r w:rsidR="00875436">
                        <w:rPr>
                          <w:iCs/>
                        </w:rPr>
                        <w:t xml:space="preserve"> and update bookmarks for new NAVAREA website</w:t>
                      </w:r>
                      <w:r w:rsidR="0042518C">
                        <w:rPr>
                          <w:iCs/>
                        </w:rPr>
                        <w:t xml:space="preserve"> located at </w:t>
                      </w:r>
                      <w:hyperlink r:id="rId8" w:history="1">
                        <w:r w:rsidR="0042518C">
                          <w:rPr>
                            <w:rStyle w:val="Hyperlink"/>
                          </w:rPr>
                          <w:t>Navigational and NAVAREA warnings (ccg-gcc.gc.ca)</w:t>
                        </w:r>
                      </w:hyperlink>
                      <w:r w:rsidR="00875436">
                        <w:rPr>
                          <w:iCs/>
                        </w:rPr>
                        <w:t>.</w:t>
                      </w:r>
                    </w:p>
                    <w:p w14:paraId="6786AE80" w14:textId="77777777" w:rsidR="00BE2A55" w:rsidRPr="008D4F78" w:rsidRDefault="00BE2A55" w:rsidP="00C93554">
                      <w:pPr>
                        <w:tabs>
                          <w:tab w:val="left" w:pos="2160"/>
                        </w:tabs>
                        <w:ind w:left="2160" w:hanging="2160"/>
                      </w:pPr>
                    </w:p>
                    <w:p w14:paraId="34E14B3A" w14:textId="455B661B" w:rsidR="00BE2A55" w:rsidRPr="008D4F78" w:rsidRDefault="00BE2A55" w:rsidP="00C93554">
                      <w:pPr>
                        <w:tabs>
                          <w:tab w:val="left" w:pos="2160"/>
                        </w:tabs>
                        <w:ind w:left="2160" w:hanging="2160"/>
                      </w:pPr>
                      <w:r w:rsidRPr="008D4F78">
                        <w:t xml:space="preserve">Related documents: </w:t>
                      </w:r>
                      <w:r w:rsidR="002F6893" w:rsidRPr="002F6893">
                        <w:rPr>
                          <w:iCs/>
                        </w:rPr>
                        <w:t>None</w:t>
                      </w:r>
                      <w:r w:rsidR="002F6893">
                        <w:rPr>
                          <w:iCs/>
                        </w:rPr>
                        <w:t>.</w:t>
                      </w:r>
                    </w:p>
                  </w:txbxContent>
                </v:textbox>
              </v:shape>
            </w:pict>
          </mc:Fallback>
        </mc:AlternateContent>
      </w:r>
    </w:p>
    <w:p w14:paraId="3B418888" w14:textId="77777777" w:rsidR="008D4F78" w:rsidRDefault="008D4F78" w:rsidP="00707326">
      <w:pPr>
        <w:tabs>
          <w:tab w:val="right" w:pos="8880"/>
        </w:tabs>
      </w:pPr>
    </w:p>
    <w:p w14:paraId="5C1F8A84" w14:textId="74291D13" w:rsidR="008D4F78" w:rsidRDefault="008D4F78" w:rsidP="00707326">
      <w:pPr>
        <w:tabs>
          <w:tab w:val="right" w:pos="8880"/>
        </w:tabs>
      </w:pPr>
    </w:p>
    <w:p w14:paraId="4111E43D" w14:textId="77777777" w:rsidR="008D4F78" w:rsidRDefault="008D4F78" w:rsidP="00707326">
      <w:pPr>
        <w:tabs>
          <w:tab w:val="right" w:pos="8880"/>
        </w:tabs>
      </w:pPr>
    </w:p>
    <w:p w14:paraId="666DBC6B" w14:textId="77777777" w:rsidR="008D4F78" w:rsidRDefault="008D4F78" w:rsidP="00707326">
      <w:pPr>
        <w:tabs>
          <w:tab w:val="right" w:pos="8880"/>
        </w:tabs>
      </w:pPr>
    </w:p>
    <w:p w14:paraId="1AE240EC" w14:textId="77777777" w:rsidR="008D4F78" w:rsidRDefault="008D4F78" w:rsidP="00707326">
      <w:pPr>
        <w:tabs>
          <w:tab w:val="right" w:pos="8880"/>
        </w:tabs>
      </w:pPr>
    </w:p>
    <w:p w14:paraId="74E14E5C" w14:textId="77777777" w:rsidR="008D4F78" w:rsidRDefault="008D4F78" w:rsidP="00707326">
      <w:pPr>
        <w:tabs>
          <w:tab w:val="right" w:pos="8880"/>
        </w:tabs>
      </w:pPr>
    </w:p>
    <w:p w14:paraId="02881B35" w14:textId="77777777" w:rsidR="008D4F78" w:rsidRDefault="008D4F78" w:rsidP="00707326">
      <w:pPr>
        <w:tabs>
          <w:tab w:val="right" w:pos="8880"/>
        </w:tabs>
      </w:pPr>
    </w:p>
    <w:p w14:paraId="3A88766D" w14:textId="3423D3BE" w:rsidR="008D4F78" w:rsidRDefault="008D4F78" w:rsidP="00707326">
      <w:pPr>
        <w:tabs>
          <w:tab w:val="right" w:pos="8880"/>
        </w:tabs>
      </w:pPr>
    </w:p>
    <w:p w14:paraId="203419F4" w14:textId="77777777" w:rsidR="008D4F78" w:rsidRDefault="008D4F78" w:rsidP="00707326">
      <w:pPr>
        <w:tabs>
          <w:tab w:val="right" w:pos="8880"/>
        </w:tabs>
      </w:pPr>
    </w:p>
    <w:p w14:paraId="09D474C5" w14:textId="5094D6FD" w:rsidR="00707326" w:rsidRDefault="00707326" w:rsidP="00707326">
      <w:pPr>
        <w:tabs>
          <w:tab w:val="right" w:pos="8880"/>
        </w:tabs>
      </w:pPr>
    </w:p>
    <w:p w14:paraId="790875E8" w14:textId="54A048DB" w:rsidR="006C203F" w:rsidRDefault="006C203F" w:rsidP="00707326">
      <w:pPr>
        <w:tabs>
          <w:tab w:val="right" w:pos="8880"/>
        </w:tabs>
      </w:pPr>
    </w:p>
    <w:p w14:paraId="2417D1E7" w14:textId="40DC4450" w:rsidR="006C203F" w:rsidRDefault="006C203F" w:rsidP="00707326">
      <w:pPr>
        <w:tabs>
          <w:tab w:val="right" w:pos="8880"/>
        </w:tabs>
      </w:pPr>
    </w:p>
    <w:p w14:paraId="5D359025" w14:textId="6AE7C889" w:rsidR="006C203F" w:rsidRDefault="006C203F" w:rsidP="00707326">
      <w:pPr>
        <w:tabs>
          <w:tab w:val="right" w:pos="8880"/>
        </w:tabs>
      </w:pPr>
    </w:p>
    <w:p w14:paraId="59051B97" w14:textId="34005862" w:rsidR="006C203F" w:rsidRDefault="006C203F" w:rsidP="00707326">
      <w:pPr>
        <w:tabs>
          <w:tab w:val="right" w:pos="8880"/>
        </w:tabs>
      </w:pPr>
    </w:p>
    <w:p w14:paraId="0C4B69FE" w14:textId="442DE634" w:rsidR="006C203F" w:rsidRDefault="006C203F" w:rsidP="00707326">
      <w:pPr>
        <w:tabs>
          <w:tab w:val="right" w:pos="8880"/>
        </w:tabs>
      </w:pPr>
    </w:p>
    <w:p w14:paraId="2FE523D2" w14:textId="049BFB58" w:rsidR="006C203F" w:rsidRDefault="006C203F" w:rsidP="00707326">
      <w:pPr>
        <w:tabs>
          <w:tab w:val="right" w:pos="8880"/>
        </w:tabs>
      </w:pPr>
    </w:p>
    <w:p w14:paraId="6F062074" w14:textId="5917F8E7" w:rsidR="006C203F" w:rsidRDefault="006C203F" w:rsidP="00707326">
      <w:pPr>
        <w:tabs>
          <w:tab w:val="right" w:pos="8880"/>
        </w:tabs>
      </w:pPr>
    </w:p>
    <w:p w14:paraId="369055DA" w14:textId="1BA4A09F" w:rsidR="00171DF5" w:rsidRDefault="0090775F" w:rsidP="00E46A7C">
      <w:pPr>
        <w:pStyle w:val="ListParagraph"/>
        <w:numPr>
          <w:ilvl w:val="0"/>
          <w:numId w:val="2"/>
        </w:numPr>
      </w:pPr>
      <w:r w:rsidRPr="001F7DD1">
        <w:rPr>
          <w:u w:val="single"/>
        </w:rPr>
        <w:t>General information</w:t>
      </w:r>
      <w:r w:rsidR="00171DF5">
        <w:t>:</w:t>
      </w:r>
    </w:p>
    <w:p w14:paraId="59B8A12B" w14:textId="08551AC2" w:rsidR="0090775F" w:rsidRDefault="0090775F" w:rsidP="0090775F"/>
    <w:p w14:paraId="40C6A55F" w14:textId="2A0854FB" w:rsidR="00BF3195" w:rsidRPr="00BF3195" w:rsidRDefault="0090775F" w:rsidP="00BF3195">
      <w:pPr>
        <w:pStyle w:val="ListParagraph"/>
        <w:numPr>
          <w:ilvl w:val="1"/>
          <w:numId w:val="2"/>
        </w:numPr>
        <w:rPr>
          <w:i/>
          <w:iCs/>
          <w:color w:val="7F7F7F" w:themeColor="text1" w:themeTint="80"/>
        </w:rPr>
      </w:pPr>
      <w:r>
        <w:t>Geographic Boundaries of NAVAREA</w:t>
      </w:r>
      <w:r w:rsidR="00BF3195">
        <w:t xml:space="preserve">s XVII/XVIII and the associated rectangular broadcast zones for </w:t>
      </w:r>
      <w:proofErr w:type="spellStart"/>
      <w:r w:rsidR="00BF3195">
        <w:t>SafetyNET</w:t>
      </w:r>
      <w:proofErr w:type="spellEnd"/>
      <w:r w:rsidR="00BF3195">
        <w:t xml:space="preserve">, are depicted below.  </w:t>
      </w:r>
      <w:r w:rsidR="00142CCE">
        <w:t xml:space="preserve"> </w:t>
      </w:r>
    </w:p>
    <w:p w14:paraId="1CB0F57B" w14:textId="632EE066" w:rsidR="00BF3195" w:rsidRDefault="00BF3195" w:rsidP="00BF3195">
      <w:pPr>
        <w:rPr>
          <w:i/>
          <w:iCs/>
          <w:color w:val="7F7F7F" w:themeColor="text1" w:themeTint="80"/>
        </w:rPr>
      </w:pPr>
    </w:p>
    <w:p w14:paraId="1863A297" w14:textId="7424D872" w:rsidR="00BF3195" w:rsidRDefault="00BF3195" w:rsidP="00BF3195">
      <w:pPr>
        <w:rPr>
          <w:i/>
          <w:iCs/>
          <w:color w:val="7F7F7F" w:themeColor="text1" w:themeTint="80"/>
        </w:rPr>
      </w:pPr>
      <w:r w:rsidRPr="00BF3195">
        <w:rPr>
          <w:noProof/>
          <w:lang w:val="en-US" w:eastAsia="en-US"/>
        </w:rPr>
        <w:drawing>
          <wp:inline distT="0" distB="0" distL="0" distR="0" wp14:anchorId="1F347A30" wp14:editId="27AEB364">
            <wp:extent cx="5731510" cy="18859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885950"/>
                    </a:xfrm>
                    <a:prstGeom prst="rect">
                      <a:avLst/>
                    </a:prstGeom>
                    <a:noFill/>
                    <a:ln>
                      <a:noFill/>
                    </a:ln>
                  </pic:spPr>
                </pic:pic>
              </a:graphicData>
            </a:graphic>
          </wp:inline>
        </w:drawing>
      </w:r>
    </w:p>
    <w:p w14:paraId="44907471" w14:textId="1526B200" w:rsidR="00BF3195" w:rsidRPr="00BF3195" w:rsidRDefault="00BF3195" w:rsidP="00BF3195">
      <w:pPr>
        <w:rPr>
          <w:i/>
          <w:iCs/>
          <w:color w:val="7F7F7F" w:themeColor="text1" w:themeTint="80"/>
        </w:rPr>
      </w:pPr>
      <w:r>
        <w:rPr>
          <w:i/>
          <w:iCs/>
          <w:noProof/>
          <w:color w:val="7F7F7F" w:themeColor="text1" w:themeTint="80"/>
          <w:lang w:val="en-US" w:eastAsia="en-US"/>
        </w:rPr>
        <w:lastRenderedPageBreak/>
        <w:drawing>
          <wp:inline distT="0" distB="0" distL="0" distR="0" wp14:anchorId="40819DC4" wp14:editId="39471E50">
            <wp:extent cx="6079490" cy="3190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614" cy="3190940"/>
                    </a:xfrm>
                    <a:prstGeom prst="rect">
                      <a:avLst/>
                    </a:prstGeom>
                    <a:noFill/>
                  </pic:spPr>
                </pic:pic>
              </a:graphicData>
            </a:graphic>
          </wp:inline>
        </w:drawing>
      </w:r>
    </w:p>
    <w:p w14:paraId="721FDABD" w14:textId="088769FE" w:rsidR="00142CCE" w:rsidRPr="00142CCE" w:rsidRDefault="009B1B72" w:rsidP="002E1E2F">
      <w:pPr>
        <w:pStyle w:val="ListParagraph"/>
        <w:ind w:left="180"/>
        <w:jc w:val="center"/>
        <w:rPr>
          <w:iCs/>
          <w:color w:val="7F7F7F" w:themeColor="text1" w:themeTint="80"/>
        </w:rPr>
      </w:pPr>
      <w:r>
        <w:rPr>
          <w:noProof/>
          <w:lang w:val="en-US" w:eastAsia="en-US"/>
        </w:rPr>
        <mc:AlternateContent>
          <mc:Choice Requires="wps">
            <w:drawing>
              <wp:anchor distT="0" distB="0" distL="114300" distR="114300" simplePos="0" relativeHeight="251659776" behindDoc="0" locked="0" layoutInCell="1" allowOverlap="1" wp14:anchorId="2731C18B" wp14:editId="4DF9ED65">
                <wp:simplePos x="0" y="0"/>
                <wp:positionH relativeFrom="margin">
                  <wp:posOffset>1475740</wp:posOffset>
                </wp:positionH>
                <wp:positionV relativeFrom="paragraph">
                  <wp:posOffset>612141</wp:posOffset>
                </wp:positionV>
                <wp:extent cx="3514090" cy="2442845"/>
                <wp:effectExtent l="0" t="495300" r="0" b="497840"/>
                <wp:wrapNone/>
                <wp:docPr id="3" name="Text Box 3"/>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6BC2DFF2" w14:textId="3B76473F"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31C18B" id="Text Box 3" o:spid="_x0000_s1027" type="#_x0000_t202" style="position:absolute;left:0;text-align:left;margin-left:116.2pt;margin-top:48.2pt;width:276.7pt;height:192.35pt;rotation:-2062032fd;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" filled="f" stroked="f">
                <v:textbox style="mso-fit-shape-to-text:t">
                  <w:txbxContent>
                    <w:p w14:paraId="6BC2DFF2" w14:textId="3B76473F"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DD45E06" w14:textId="4B178B15" w:rsidR="0090775F" w:rsidRDefault="0090775F" w:rsidP="00E46A7C">
      <w:pPr>
        <w:pStyle w:val="ListParagraph"/>
        <w:numPr>
          <w:ilvl w:val="1"/>
          <w:numId w:val="2"/>
        </w:numPr>
      </w:pPr>
      <w:r w:rsidRPr="0090775F">
        <w:t>Operational Points of Contact for National Co-ordinators within the NAVAREA</w:t>
      </w:r>
    </w:p>
    <w:p w14:paraId="5A3A4D15" w14:textId="77777777" w:rsidR="00171DF5" w:rsidRDefault="00171DF5" w:rsidP="00BE2A55"/>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610"/>
        <w:gridCol w:w="1620"/>
        <w:gridCol w:w="1620"/>
        <w:gridCol w:w="1890"/>
      </w:tblGrid>
      <w:tr w:rsidR="00BF3195" w:rsidRPr="004E3A1F" w14:paraId="49DF5BE3" w14:textId="77777777" w:rsidTr="00C74967">
        <w:tc>
          <w:tcPr>
            <w:tcW w:w="1345" w:type="dxa"/>
            <w:vAlign w:val="center"/>
          </w:tcPr>
          <w:p w14:paraId="39356424" w14:textId="77777777" w:rsidR="00BF3195" w:rsidRPr="00031E3A" w:rsidRDefault="00BF3195" w:rsidP="00BE5A8B">
            <w:pPr>
              <w:rPr>
                <w:b/>
                <w:sz w:val="22"/>
                <w:szCs w:val="22"/>
              </w:rPr>
            </w:pPr>
            <w:r w:rsidRPr="00031E3A">
              <w:rPr>
                <w:b/>
                <w:sz w:val="22"/>
                <w:szCs w:val="22"/>
              </w:rPr>
              <w:t>COUNTRY</w:t>
            </w:r>
          </w:p>
        </w:tc>
        <w:tc>
          <w:tcPr>
            <w:tcW w:w="2610" w:type="dxa"/>
          </w:tcPr>
          <w:p w14:paraId="504F9504" w14:textId="77777777" w:rsidR="00BF3195" w:rsidRPr="00031E3A" w:rsidRDefault="00BF3195" w:rsidP="00BE5A8B">
            <w:pPr>
              <w:rPr>
                <w:b/>
                <w:sz w:val="22"/>
                <w:szCs w:val="22"/>
              </w:rPr>
            </w:pPr>
            <w:r w:rsidRPr="00031E3A">
              <w:rPr>
                <w:b/>
                <w:sz w:val="22"/>
                <w:szCs w:val="22"/>
              </w:rPr>
              <w:t>INSTITUTION</w:t>
            </w:r>
          </w:p>
        </w:tc>
        <w:tc>
          <w:tcPr>
            <w:tcW w:w="1620" w:type="dxa"/>
            <w:vAlign w:val="center"/>
          </w:tcPr>
          <w:p w14:paraId="18148F6D" w14:textId="77777777" w:rsidR="00BF3195" w:rsidRPr="00031E3A" w:rsidRDefault="00BF3195" w:rsidP="00BE5A8B">
            <w:pPr>
              <w:rPr>
                <w:b/>
                <w:sz w:val="22"/>
                <w:szCs w:val="22"/>
              </w:rPr>
            </w:pPr>
            <w:r w:rsidRPr="00031E3A">
              <w:rPr>
                <w:b/>
                <w:sz w:val="22"/>
                <w:szCs w:val="22"/>
              </w:rPr>
              <w:t xml:space="preserve">TELEPHONE </w:t>
            </w:r>
          </w:p>
        </w:tc>
        <w:tc>
          <w:tcPr>
            <w:tcW w:w="1620" w:type="dxa"/>
            <w:vAlign w:val="center"/>
          </w:tcPr>
          <w:p w14:paraId="67CEFB52" w14:textId="77777777" w:rsidR="00BF3195" w:rsidRPr="00031E3A" w:rsidRDefault="00BF3195" w:rsidP="00BE5A8B">
            <w:pPr>
              <w:rPr>
                <w:b/>
                <w:sz w:val="22"/>
                <w:szCs w:val="22"/>
              </w:rPr>
            </w:pPr>
            <w:r w:rsidRPr="00031E3A">
              <w:rPr>
                <w:b/>
                <w:sz w:val="22"/>
                <w:szCs w:val="22"/>
              </w:rPr>
              <w:t>FACSIMILE</w:t>
            </w:r>
          </w:p>
        </w:tc>
        <w:tc>
          <w:tcPr>
            <w:tcW w:w="1890" w:type="dxa"/>
            <w:vAlign w:val="center"/>
          </w:tcPr>
          <w:p w14:paraId="0A8C77DF" w14:textId="77777777" w:rsidR="00BF3195" w:rsidRPr="00031E3A" w:rsidRDefault="00BF3195" w:rsidP="00BE5A8B">
            <w:pPr>
              <w:rPr>
                <w:b/>
                <w:sz w:val="22"/>
                <w:szCs w:val="22"/>
              </w:rPr>
            </w:pPr>
            <w:r w:rsidRPr="00031E3A">
              <w:rPr>
                <w:b/>
                <w:sz w:val="22"/>
                <w:szCs w:val="22"/>
              </w:rPr>
              <w:t>EMAIL</w:t>
            </w:r>
          </w:p>
        </w:tc>
      </w:tr>
      <w:tr w:rsidR="00BF3195" w14:paraId="57E15A65" w14:textId="77777777" w:rsidTr="00C74967">
        <w:tc>
          <w:tcPr>
            <w:tcW w:w="1345" w:type="dxa"/>
          </w:tcPr>
          <w:p w14:paraId="18D4DDF2" w14:textId="77777777" w:rsidR="00BF3195" w:rsidRDefault="00BF3195" w:rsidP="00BE5A8B">
            <w:r w:rsidRPr="00A45CCA">
              <w:t>Canada</w:t>
            </w:r>
          </w:p>
        </w:tc>
        <w:tc>
          <w:tcPr>
            <w:tcW w:w="2610" w:type="dxa"/>
          </w:tcPr>
          <w:p w14:paraId="39535585" w14:textId="77777777" w:rsidR="00BF3195" w:rsidRDefault="00BF3195" w:rsidP="00BE5A8B">
            <w:r>
              <w:rPr>
                <w:noProof/>
                <w:lang w:val="en-US" w:eastAsia="en-US"/>
              </w:rPr>
              <mc:AlternateContent>
                <mc:Choice Requires="wps">
                  <w:drawing>
                    <wp:anchor distT="0" distB="0" distL="114300" distR="114300" simplePos="0" relativeHeight="251661824" behindDoc="0" locked="0" layoutInCell="1" allowOverlap="1" wp14:anchorId="747A8CE9" wp14:editId="1C7CBB76">
                      <wp:simplePos x="0" y="0"/>
                      <wp:positionH relativeFrom="margin">
                        <wp:posOffset>1475740</wp:posOffset>
                      </wp:positionH>
                      <wp:positionV relativeFrom="paragraph">
                        <wp:posOffset>612141</wp:posOffset>
                      </wp:positionV>
                      <wp:extent cx="3514090" cy="2442845"/>
                      <wp:effectExtent l="0" t="342900" r="0" b="364490"/>
                      <wp:wrapNone/>
                      <wp:docPr id="7" name="Text Box 7"/>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368373BD" w14:textId="77777777" w:rsidR="00BF3195" w:rsidRPr="00031E3A" w:rsidRDefault="00BF3195" w:rsidP="00BF3195">
                                  <w:pP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7A8CE9" id="Text Box 7" o:spid="_x0000_s1028" type="#_x0000_t202" style="position:absolute;margin-left:116.2pt;margin-top:48.2pt;width:276.7pt;height:192.35pt;rotation:-2062032fd;z-index:2516618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" filled="f" stroked="f">
                      <v:textbox style="mso-fit-shape-to-text:t">
                        <w:txbxContent>
                          <w:p w14:paraId="368373BD" w14:textId="77777777" w:rsidR="00BF3195" w:rsidRPr="00031E3A" w:rsidRDefault="00BF3195" w:rsidP="00BF3195">
                            <w:pP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A45CCA">
              <w:t>NAVAREA XVII/XVIII Coordinator  Canadian National NAVTEX Coordinator</w:t>
            </w:r>
          </w:p>
        </w:tc>
        <w:tc>
          <w:tcPr>
            <w:tcW w:w="1620" w:type="dxa"/>
          </w:tcPr>
          <w:p w14:paraId="4D04A988" w14:textId="77777777" w:rsidR="00BF3195" w:rsidRDefault="00BF3195" w:rsidP="00BE5A8B">
            <w:r w:rsidRPr="00A45CCA">
              <w:t>343-548-1868</w:t>
            </w:r>
          </w:p>
        </w:tc>
        <w:tc>
          <w:tcPr>
            <w:tcW w:w="1620" w:type="dxa"/>
          </w:tcPr>
          <w:p w14:paraId="46E8948E" w14:textId="77777777" w:rsidR="00BF3195" w:rsidRDefault="00BF3195" w:rsidP="00BE5A8B"/>
        </w:tc>
        <w:tc>
          <w:tcPr>
            <w:tcW w:w="1890" w:type="dxa"/>
          </w:tcPr>
          <w:p w14:paraId="6397F6BB" w14:textId="44DA9BB3" w:rsidR="00BF3195" w:rsidRDefault="00C74967" w:rsidP="00BE5A8B">
            <w:r>
              <w:t>v</w:t>
            </w:r>
            <w:r w:rsidR="00BF3195" w:rsidRPr="00A45CCA">
              <w:t>alerie.</w:t>
            </w:r>
            <w:r>
              <w:t>m</w:t>
            </w:r>
            <w:r w:rsidR="00BF3195" w:rsidRPr="00A45CCA">
              <w:t>arquette@dfo-mpo.gc.ca</w:t>
            </w:r>
          </w:p>
        </w:tc>
      </w:tr>
      <w:tr w:rsidR="00BF3195" w14:paraId="4F23FBC9" w14:textId="77777777" w:rsidTr="00C74967">
        <w:tc>
          <w:tcPr>
            <w:tcW w:w="1345" w:type="dxa"/>
          </w:tcPr>
          <w:p w14:paraId="7B55B532" w14:textId="77777777" w:rsidR="00BF3195" w:rsidRDefault="00BF3195" w:rsidP="00BE5A8B">
            <w:r w:rsidRPr="00A45CCA">
              <w:t>Canada</w:t>
            </w:r>
          </w:p>
        </w:tc>
        <w:tc>
          <w:tcPr>
            <w:tcW w:w="2610" w:type="dxa"/>
          </w:tcPr>
          <w:p w14:paraId="22153D92" w14:textId="77777777" w:rsidR="00BF3195" w:rsidRDefault="00BF3195" w:rsidP="00BE5A8B">
            <w:r w:rsidRPr="00A45CCA">
              <w:t>MCTS Iqaluit</w:t>
            </w:r>
          </w:p>
        </w:tc>
        <w:tc>
          <w:tcPr>
            <w:tcW w:w="1620" w:type="dxa"/>
          </w:tcPr>
          <w:p w14:paraId="23E7CE00" w14:textId="77777777" w:rsidR="00BF3195" w:rsidRDefault="00BF3195" w:rsidP="00BE5A8B">
            <w:r w:rsidRPr="00A45CCA">
              <w:t>867-979-5269</w:t>
            </w:r>
          </w:p>
        </w:tc>
        <w:tc>
          <w:tcPr>
            <w:tcW w:w="1620" w:type="dxa"/>
          </w:tcPr>
          <w:p w14:paraId="0ED6A62D" w14:textId="77777777" w:rsidR="00BF3195" w:rsidRDefault="00BF3195" w:rsidP="00BE5A8B">
            <w:r w:rsidRPr="00A45CCA">
              <w:t>867-979-4264</w:t>
            </w:r>
          </w:p>
        </w:tc>
        <w:tc>
          <w:tcPr>
            <w:tcW w:w="1890" w:type="dxa"/>
          </w:tcPr>
          <w:p w14:paraId="5BB1CD75" w14:textId="77777777" w:rsidR="00BF3195" w:rsidRDefault="00BF3195" w:rsidP="00BE5A8B">
            <w:r w:rsidRPr="00A45CCA">
              <w:t>iqanordreg@innav.gc.ca</w:t>
            </w:r>
          </w:p>
        </w:tc>
      </w:tr>
      <w:tr w:rsidR="00BF3195" w14:paraId="4B5BF6B8" w14:textId="77777777" w:rsidTr="00C74967">
        <w:tc>
          <w:tcPr>
            <w:tcW w:w="1345" w:type="dxa"/>
          </w:tcPr>
          <w:p w14:paraId="327F38A5" w14:textId="77777777" w:rsidR="00BF3195" w:rsidRDefault="00BF3195" w:rsidP="00BE5A8B">
            <w:r w:rsidRPr="00A45CCA">
              <w:t>Canada</w:t>
            </w:r>
          </w:p>
        </w:tc>
        <w:tc>
          <w:tcPr>
            <w:tcW w:w="2610" w:type="dxa"/>
          </w:tcPr>
          <w:p w14:paraId="55ACD7A0" w14:textId="77777777" w:rsidR="00BF3195" w:rsidRDefault="00BF3195" w:rsidP="00BE5A8B">
            <w:r w:rsidRPr="00A45CCA">
              <w:t>MCTS Prescott</w:t>
            </w:r>
          </w:p>
        </w:tc>
        <w:tc>
          <w:tcPr>
            <w:tcW w:w="1620" w:type="dxa"/>
          </w:tcPr>
          <w:p w14:paraId="62D8EC1D" w14:textId="77777777" w:rsidR="00BF3195" w:rsidRDefault="00BF3195" w:rsidP="00BE5A8B">
            <w:r w:rsidRPr="00A45CCA">
              <w:t>613-925-0666</w:t>
            </w:r>
          </w:p>
        </w:tc>
        <w:tc>
          <w:tcPr>
            <w:tcW w:w="1620" w:type="dxa"/>
          </w:tcPr>
          <w:p w14:paraId="36E71051" w14:textId="77777777" w:rsidR="00BF3195" w:rsidRDefault="00BF3195" w:rsidP="00BE5A8B">
            <w:r w:rsidRPr="00A45CCA">
              <w:t>613-925-4519</w:t>
            </w:r>
          </w:p>
        </w:tc>
        <w:tc>
          <w:tcPr>
            <w:tcW w:w="1890" w:type="dxa"/>
          </w:tcPr>
          <w:p w14:paraId="5969CFF6" w14:textId="77777777" w:rsidR="00BF3195" w:rsidRDefault="00BF3195" w:rsidP="00BE5A8B">
            <w:r w:rsidRPr="00A45CCA">
              <w:t>navarea17.18@innav.gc.ca</w:t>
            </w:r>
          </w:p>
        </w:tc>
      </w:tr>
      <w:tr w:rsidR="00BF3195" w14:paraId="6A2A5137" w14:textId="77777777" w:rsidTr="00C74967">
        <w:tc>
          <w:tcPr>
            <w:tcW w:w="1345" w:type="dxa"/>
          </w:tcPr>
          <w:p w14:paraId="2214CF55" w14:textId="77777777" w:rsidR="00BF3195" w:rsidRDefault="00BF3195" w:rsidP="00BE5A8B">
            <w:r w:rsidRPr="00A45CCA">
              <w:t>Greenland</w:t>
            </w:r>
          </w:p>
        </w:tc>
        <w:tc>
          <w:tcPr>
            <w:tcW w:w="2610" w:type="dxa"/>
          </w:tcPr>
          <w:p w14:paraId="1362A53B" w14:textId="77777777" w:rsidR="00BF3195" w:rsidRDefault="00BF3195" w:rsidP="00BE5A8B">
            <w:r w:rsidRPr="00A45CCA">
              <w:t xml:space="preserve">MRCC </w:t>
            </w:r>
            <w:proofErr w:type="spellStart"/>
            <w:r w:rsidRPr="00A45CCA">
              <w:t>Groennedal</w:t>
            </w:r>
            <w:proofErr w:type="spellEnd"/>
          </w:p>
        </w:tc>
        <w:tc>
          <w:tcPr>
            <w:tcW w:w="1620" w:type="dxa"/>
          </w:tcPr>
          <w:p w14:paraId="4A69887F" w14:textId="77777777" w:rsidR="00BF3195" w:rsidRDefault="00BF3195" w:rsidP="00BE5A8B">
            <w:r w:rsidRPr="00A45CCA">
              <w:t>299-691911</w:t>
            </w:r>
          </w:p>
        </w:tc>
        <w:tc>
          <w:tcPr>
            <w:tcW w:w="1620" w:type="dxa"/>
          </w:tcPr>
          <w:p w14:paraId="4DA65597" w14:textId="77777777" w:rsidR="00BF3195" w:rsidRDefault="00BF3195" w:rsidP="00BE5A8B">
            <w:r w:rsidRPr="00A45CCA">
              <w:t>299-691949</w:t>
            </w:r>
          </w:p>
        </w:tc>
        <w:tc>
          <w:tcPr>
            <w:tcW w:w="1890" w:type="dxa"/>
          </w:tcPr>
          <w:p w14:paraId="012E5973" w14:textId="77777777" w:rsidR="00BF3195" w:rsidRDefault="00BF3195" w:rsidP="00BE5A8B">
            <w:r w:rsidRPr="00A45CCA">
              <w:t>mrcc@glk.gl</w:t>
            </w:r>
          </w:p>
        </w:tc>
      </w:tr>
    </w:tbl>
    <w:p w14:paraId="62329173" w14:textId="4902D86C" w:rsidR="00BF3195" w:rsidRDefault="00BF3195" w:rsidP="004E3A1F"/>
    <w:p w14:paraId="0D357371" w14:textId="77777777" w:rsidR="00BF3195" w:rsidRDefault="00BF3195" w:rsidP="004E3A1F"/>
    <w:p w14:paraId="62589D6C" w14:textId="77777777" w:rsidR="001F7DD1" w:rsidRDefault="00991FBB" w:rsidP="00DC656F">
      <w:pPr>
        <w:pStyle w:val="ListParagraph"/>
        <w:numPr>
          <w:ilvl w:val="1"/>
          <w:numId w:val="2"/>
        </w:numPr>
      </w:pPr>
      <w:r>
        <w:t>GMDSS Master Plan</w:t>
      </w:r>
      <w:r w:rsidR="006C6BB7">
        <w:t>:</w:t>
      </w:r>
      <w:r w:rsidR="008A7AAA">
        <w:br/>
      </w:r>
    </w:p>
    <w:p w14:paraId="35CEA5DD" w14:textId="77777777" w:rsidR="00A56E8A" w:rsidRDefault="00BF3195" w:rsidP="001F7DD1">
      <w:pPr>
        <w:pStyle w:val="ListParagraph"/>
        <w:ind w:left="792"/>
      </w:pPr>
      <w:r w:rsidRPr="001F7DD1">
        <w:t>Canada is planning to discontinue the use of NAVTEX stations within the Great Lakes region in Canada</w:t>
      </w:r>
      <w:r w:rsidR="001F7DD1">
        <w:t>, this includes stations located in Ferndale and Pass Lake</w:t>
      </w:r>
      <w:r w:rsidRPr="001F7DD1">
        <w:t>.</w:t>
      </w:r>
    </w:p>
    <w:p w14:paraId="338371E4" w14:textId="77777777" w:rsidR="00A56E8A" w:rsidRDefault="00A56E8A" w:rsidP="001F7DD1">
      <w:pPr>
        <w:pStyle w:val="ListParagraph"/>
        <w:ind w:left="792"/>
      </w:pPr>
    </w:p>
    <w:p w14:paraId="577EC435" w14:textId="5816E62C" w:rsidR="001F7DD1" w:rsidRDefault="00A56E8A" w:rsidP="001F7DD1">
      <w:pPr>
        <w:pStyle w:val="ListParagraph"/>
        <w:ind w:left="792"/>
        <w:rPr>
          <w:i/>
          <w:iCs/>
        </w:rPr>
      </w:pPr>
      <w:r>
        <w:t xml:space="preserve">All the remaining NAVTEX stations will receive an upgrade </w:t>
      </w:r>
      <w:r w:rsidR="00C74967">
        <w:t xml:space="preserve">in 2024/2025 </w:t>
      </w:r>
      <w:r>
        <w:t xml:space="preserve">as Canada proceeds with a renewal project, </w:t>
      </w:r>
      <w:r w:rsidR="00C74967">
        <w:t>currently</w:t>
      </w:r>
      <w:r>
        <w:t xml:space="preserve"> in the procurement </w:t>
      </w:r>
      <w:r w:rsidR="00C74967">
        <w:t>stage</w:t>
      </w:r>
      <w:r>
        <w:t xml:space="preserve">.  </w:t>
      </w:r>
    </w:p>
    <w:p w14:paraId="0BB02618" w14:textId="77777777" w:rsidR="001F7DD1" w:rsidRPr="001F7DD1" w:rsidRDefault="001F7DD1" w:rsidP="001F7DD1">
      <w:pPr>
        <w:pStyle w:val="ListParagraph"/>
        <w:ind w:left="792"/>
      </w:pPr>
    </w:p>
    <w:p w14:paraId="63B9BF4A" w14:textId="37B05085" w:rsidR="0090775F" w:rsidRPr="00DC656F" w:rsidRDefault="001F7DD1" w:rsidP="001F7DD1">
      <w:pPr>
        <w:pStyle w:val="ListParagraph"/>
        <w:ind w:left="792"/>
      </w:pPr>
      <w:r>
        <w:t>Canada has begun the process of discontinuing the use of rectangular broadcasts for vessels with older Inmarsat terminals.</w:t>
      </w:r>
      <w:r w:rsidR="008A7AAA" w:rsidRPr="00DC656F">
        <w:rPr>
          <w:i/>
          <w:iCs/>
          <w:color w:val="7F7F7F" w:themeColor="text1" w:themeTint="80"/>
        </w:rPr>
        <w:br/>
      </w:r>
      <w:r w:rsidR="008A7AAA" w:rsidRPr="00DC656F">
        <w:rPr>
          <w:i/>
          <w:iCs/>
          <w:color w:val="7F7F7F" w:themeColor="text1" w:themeTint="80"/>
        </w:rPr>
        <w:br/>
      </w:r>
    </w:p>
    <w:p w14:paraId="67A66ED7" w14:textId="020DDB3B" w:rsidR="00171DF5" w:rsidRDefault="0090775F" w:rsidP="00E46A7C">
      <w:pPr>
        <w:pStyle w:val="ListParagraph"/>
        <w:numPr>
          <w:ilvl w:val="0"/>
          <w:numId w:val="2"/>
        </w:numPr>
      </w:pPr>
      <w:r w:rsidRPr="001F7DD1">
        <w:rPr>
          <w:u w:val="single"/>
        </w:rPr>
        <w:t>NAVAREA</w:t>
      </w:r>
      <w:r w:rsidR="00246DA5" w:rsidRPr="001F7DD1">
        <w:rPr>
          <w:u w:val="single"/>
        </w:rPr>
        <w:t xml:space="preserve"> EGC</w:t>
      </w:r>
      <w:r w:rsidR="00DD58F9" w:rsidRPr="001F7DD1">
        <w:rPr>
          <w:u w:val="single"/>
        </w:rPr>
        <w:t xml:space="preserve"> broadcast and</w:t>
      </w:r>
      <w:r w:rsidR="00246DA5" w:rsidRPr="001F7DD1">
        <w:rPr>
          <w:u w:val="single"/>
        </w:rPr>
        <w:t xml:space="preserve"> monitoring e</w:t>
      </w:r>
      <w:r w:rsidRPr="001F7DD1">
        <w:rPr>
          <w:u w:val="single"/>
        </w:rPr>
        <w:t xml:space="preserve">quipment </w:t>
      </w:r>
      <w:r w:rsidR="00246DA5" w:rsidRPr="001F7DD1">
        <w:rPr>
          <w:u w:val="single"/>
        </w:rPr>
        <w:t>or software</w:t>
      </w:r>
      <w:r w:rsidR="00171DF5">
        <w:t>:</w:t>
      </w:r>
    </w:p>
    <w:p w14:paraId="68A022E6" w14:textId="3F2C38D1" w:rsidR="001F7DD1" w:rsidRDefault="001F7DD1" w:rsidP="001F7DD1"/>
    <w:p w14:paraId="7D634DB1" w14:textId="77777777" w:rsidR="006C203F" w:rsidRDefault="006C203F" w:rsidP="001F7DD1">
      <w:pPr>
        <w:pStyle w:val="ListParagraph"/>
        <w:ind w:left="360"/>
        <w:rPr>
          <w:b/>
        </w:rPr>
      </w:pPr>
    </w:p>
    <w:p w14:paraId="0C5E478B" w14:textId="77777777" w:rsidR="006C203F" w:rsidRDefault="006C203F" w:rsidP="001F7DD1">
      <w:pPr>
        <w:pStyle w:val="ListParagraph"/>
        <w:ind w:left="360"/>
        <w:rPr>
          <w:b/>
        </w:rPr>
      </w:pPr>
    </w:p>
    <w:p w14:paraId="3C72EE41" w14:textId="77777777" w:rsidR="006C203F" w:rsidRDefault="006C203F" w:rsidP="001F7DD1">
      <w:pPr>
        <w:pStyle w:val="ListParagraph"/>
        <w:ind w:left="360"/>
        <w:rPr>
          <w:b/>
        </w:rPr>
      </w:pPr>
    </w:p>
    <w:p w14:paraId="13448BE4" w14:textId="17EB6448" w:rsidR="001F7DD1" w:rsidRPr="00031E3A" w:rsidRDefault="001F7DD1" w:rsidP="001F7DD1">
      <w:pPr>
        <w:pStyle w:val="ListParagraph"/>
        <w:ind w:left="360"/>
        <w:rPr>
          <w:b/>
        </w:rPr>
      </w:pPr>
      <w:r w:rsidRPr="00031E3A">
        <w:rPr>
          <w:b/>
        </w:rPr>
        <w:lastRenderedPageBreak/>
        <w:t xml:space="preserve">NAVARE XVII: </w:t>
      </w:r>
    </w:p>
    <w:p w14:paraId="1E8C7F92" w14:textId="6A9038F9" w:rsidR="001F7DD1" w:rsidRDefault="001F7DD1" w:rsidP="001F7DD1"/>
    <w:tbl>
      <w:tblPr>
        <w:tblStyle w:val="TableGrid0"/>
        <w:tblW w:w="9016" w:type="dxa"/>
        <w:tblInd w:w="445" w:type="dxa"/>
        <w:tblCellMar>
          <w:top w:w="7" w:type="dxa"/>
          <w:left w:w="108" w:type="dxa"/>
          <w:right w:w="108" w:type="dxa"/>
        </w:tblCellMar>
        <w:tblLook w:val="04A0" w:firstRow="1" w:lastRow="0" w:firstColumn="1" w:lastColumn="0" w:noHBand="0" w:noVBand="1"/>
      </w:tblPr>
      <w:tblGrid>
        <w:gridCol w:w="2965"/>
        <w:gridCol w:w="2401"/>
        <w:gridCol w:w="3650"/>
      </w:tblGrid>
      <w:tr w:rsidR="001F7DD1" w:rsidRPr="001B527A" w14:paraId="5C1C2DEC" w14:textId="77777777" w:rsidTr="00BE5A8B">
        <w:trPr>
          <w:trHeight w:val="676"/>
        </w:trPr>
        <w:tc>
          <w:tcPr>
            <w:tcW w:w="2965" w:type="dxa"/>
            <w:tcBorders>
              <w:top w:val="single" w:sz="4" w:space="0" w:color="000000"/>
              <w:left w:val="single" w:sz="4" w:space="0" w:color="000000"/>
              <w:bottom w:val="single" w:sz="4" w:space="0" w:color="000000"/>
              <w:right w:val="single" w:sz="4" w:space="0" w:color="000000"/>
            </w:tcBorders>
          </w:tcPr>
          <w:p w14:paraId="5B15B9EE" w14:textId="77777777" w:rsidR="001F7DD1" w:rsidRDefault="001F7DD1" w:rsidP="00BE5A8B">
            <w:pPr>
              <w:spacing w:line="259" w:lineRule="auto"/>
              <w:jc w:val="center"/>
            </w:pPr>
            <w:r>
              <w:rPr>
                <w:b/>
              </w:rPr>
              <w:t>Broadcast Equipment/Software</w:t>
            </w:r>
            <w:r>
              <w:rPr>
                <w:b/>
              </w:rPr>
              <w:br/>
            </w:r>
          </w:p>
        </w:tc>
        <w:tc>
          <w:tcPr>
            <w:tcW w:w="2401" w:type="dxa"/>
            <w:tcBorders>
              <w:top w:val="single" w:sz="4" w:space="0" w:color="000000"/>
              <w:left w:val="single" w:sz="4" w:space="0" w:color="000000"/>
              <w:bottom w:val="single" w:sz="4" w:space="0" w:color="000000"/>
              <w:right w:val="single" w:sz="4" w:space="0" w:color="000000"/>
            </w:tcBorders>
          </w:tcPr>
          <w:p w14:paraId="6B8AC297" w14:textId="77777777" w:rsidR="001F7DD1" w:rsidRDefault="001F7DD1" w:rsidP="00BE5A8B">
            <w:pPr>
              <w:spacing w:line="259" w:lineRule="auto"/>
              <w:jc w:val="center"/>
              <w:rPr>
                <w:b/>
              </w:rPr>
            </w:pPr>
            <w:r>
              <w:rPr>
                <w:b/>
              </w:rPr>
              <w:t>Broad cast schedule/Satellite</w:t>
            </w:r>
          </w:p>
        </w:tc>
        <w:tc>
          <w:tcPr>
            <w:tcW w:w="3650" w:type="dxa"/>
            <w:tcBorders>
              <w:top w:val="single" w:sz="4" w:space="0" w:color="000000"/>
              <w:left w:val="single" w:sz="4" w:space="0" w:color="000000"/>
              <w:bottom w:val="single" w:sz="4" w:space="0" w:color="000000"/>
              <w:right w:val="single" w:sz="4" w:space="0" w:color="000000"/>
            </w:tcBorders>
          </w:tcPr>
          <w:p w14:paraId="4558009C" w14:textId="77777777" w:rsidR="001F7DD1" w:rsidRPr="001B527A" w:rsidRDefault="001F7DD1" w:rsidP="00BE5A8B">
            <w:pPr>
              <w:spacing w:line="259" w:lineRule="auto"/>
              <w:jc w:val="center"/>
              <w:rPr>
                <w:b/>
                <w:lang w:val="fr-CA"/>
              </w:rPr>
            </w:pPr>
            <w:r w:rsidRPr="001B527A">
              <w:rPr>
                <w:b/>
                <w:lang w:val="fr-CA"/>
              </w:rPr>
              <w:t>Manufacturer/Location (LES)/</w:t>
            </w:r>
            <w:proofErr w:type="spellStart"/>
            <w:r w:rsidRPr="001B527A">
              <w:rPr>
                <w:b/>
                <w:lang w:val="fr-CA"/>
              </w:rPr>
              <w:t>Implementation</w:t>
            </w:r>
            <w:proofErr w:type="spellEnd"/>
          </w:p>
        </w:tc>
      </w:tr>
      <w:tr w:rsidR="001F7DD1" w14:paraId="1885EC13" w14:textId="77777777" w:rsidTr="00BE5A8B">
        <w:trPr>
          <w:trHeight w:val="290"/>
        </w:trPr>
        <w:tc>
          <w:tcPr>
            <w:tcW w:w="2965" w:type="dxa"/>
            <w:tcBorders>
              <w:top w:val="single" w:sz="4" w:space="0" w:color="000000"/>
              <w:left w:val="single" w:sz="4" w:space="0" w:color="000000"/>
              <w:bottom w:val="single" w:sz="4" w:space="0" w:color="000000"/>
              <w:right w:val="single" w:sz="4" w:space="0" w:color="000000"/>
            </w:tcBorders>
          </w:tcPr>
          <w:p w14:paraId="401A9AFD" w14:textId="77777777" w:rsidR="001F7DD1" w:rsidRPr="00246DA5" w:rsidRDefault="001F7DD1" w:rsidP="00BE5A8B">
            <w:pPr>
              <w:spacing w:line="259" w:lineRule="auto"/>
              <w:rPr>
                <w:rFonts w:ascii="Times New Roman" w:eastAsia="MS Mincho" w:hAnsi="Times New Roman" w:cs="Times New Roman"/>
                <w:i/>
                <w:iCs/>
                <w:color w:val="7F7F7F" w:themeColor="text1" w:themeTint="80"/>
              </w:rPr>
            </w:pPr>
            <w:proofErr w:type="spellStart"/>
            <w:r w:rsidRPr="0094003F">
              <w:t>SafetyNET</w:t>
            </w:r>
            <w:proofErr w:type="spellEnd"/>
            <w:r w:rsidRPr="0094003F">
              <w:t xml:space="preserve"> II web app</w:t>
            </w:r>
          </w:p>
        </w:tc>
        <w:tc>
          <w:tcPr>
            <w:tcW w:w="2401" w:type="dxa"/>
            <w:tcBorders>
              <w:top w:val="single" w:sz="4" w:space="0" w:color="000000"/>
              <w:left w:val="single" w:sz="4" w:space="0" w:color="000000"/>
              <w:bottom w:val="single" w:sz="4" w:space="0" w:color="000000"/>
              <w:right w:val="single" w:sz="4" w:space="0" w:color="000000"/>
            </w:tcBorders>
          </w:tcPr>
          <w:p w14:paraId="57B8B719" w14:textId="77777777" w:rsidR="001F7DD1" w:rsidRDefault="001F7DD1" w:rsidP="00BE5A8B">
            <w:pPr>
              <w:spacing w:line="259" w:lineRule="auto"/>
            </w:pPr>
            <w:r w:rsidRPr="0094003F">
              <w:t xml:space="preserve">1130 and 2330; </w:t>
            </w:r>
          </w:p>
          <w:p w14:paraId="64551618" w14:textId="77777777" w:rsidR="001F7DD1" w:rsidRDefault="001F7DD1" w:rsidP="00BE5A8B">
            <w:pPr>
              <w:spacing w:line="259" w:lineRule="auto"/>
            </w:pPr>
            <w:r>
              <w:t>I-4 F3  (AOR-W)</w:t>
            </w:r>
          </w:p>
          <w:p w14:paraId="2F3D72A8" w14:textId="77777777" w:rsidR="001F7DD1" w:rsidRDefault="001F7DD1" w:rsidP="00BE5A8B">
            <w:pPr>
              <w:spacing w:line="259" w:lineRule="auto"/>
            </w:pPr>
            <w:r w:rsidRPr="00254F6D">
              <w:t>I-3 F5 (AOR-E)</w:t>
            </w:r>
          </w:p>
          <w:p w14:paraId="63646C00" w14:textId="77777777" w:rsidR="001F7DD1" w:rsidRPr="00254F6D" w:rsidRDefault="001F7DD1" w:rsidP="00BE5A8B">
            <w:pPr>
              <w:spacing w:line="259" w:lineRule="auto"/>
            </w:pPr>
            <w:r>
              <w:t>I</w:t>
            </w:r>
            <w:r w:rsidRPr="00254F6D">
              <w:t>-4 F1 (POR</w:t>
            </w:r>
            <w:r>
              <w:t>)</w:t>
            </w:r>
          </w:p>
        </w:tc>
        <w:tc>
          <w:tcPr>
            <w:tcW w:w="3650" w:type="dxa"/>
            <w:tcBorders>
              <w:top w:val="single" w:sz="4" w:space="0" w:color="000000"/>
              <w:left w:val="single" w:sz="4" w:space="0" w:color="000000"/>
              <w:bottom w:val="single" w:sz="4" w:space="0" w:color="000000"/>
              <w:right w:val="single" w:sz="4" w:space="0" w:color="000000"/>
            </w:tcBorders>
          </w:tcPr>
          <w:p w14:paraId="1E901518" w14:textId="77777777" w:rsidR="001F7DD1" w:rsidRPr="00254F6D" w:rsidRDefault="001F7DD1" w:rsidP="00BE5A8B">
            <w:pPr>
              <w:spacing w:line="259" w:lineRule="auto"/>
            </w:pPr>
          </w:p>
        </w:tc>
      </w:tr>
      <w:tr w:rsidR="001F7DD1" w14:paraId="178A3892" w14:textId="77777777" w:rsidTr="00BE5A8B">
        <w:trPr>
          <w:trHeight w:val="292"/>
        </w:trPr>
        <w:tc>
          <w:tcPr>
            <w:tcW w:w="2965" w:type="dxa"/>
            <w:tcBorders>
              <w:top w:val="single" w:sz="4" w:space="0" w:color="000000"/>
              <w:left w:val="single" w:sz="4" w:space="0" w:color="000000"/>
              <w:bottom w:val="single" w:sz="4" w:space="0" w:color="000000"/>
              <w:right w:val="single" w:sz="4" w:space="0" w:color="000000"/>
            </w:tcBorders>
          </w:tcPr>
          <w:p w14:paraId="64BE4AC6" w14:textId="77777777" w:rsidR="001F7DD1" w:rsidRPr="00E1509D" w:rsidRDefault="001F7DD1" w:rsidP="00BE5A8B">
            <w:pPr>
              <w:spacing w:line="259" w:lineRule="auto"/>
            </w:pPr>
            <w:r w:rsidRPr="00E1509D">
              <w:t xml:space="preserve">Iridium </w:t>
            </w:r>
            <w:proofErr w:type="spellStart"/>
            <w:r w:rsidRPr="00E1509D">
              <w:t>SafetyCast</w:t>
            </w:r>
            <w:proofErr w:type="spellEnd"/>
            <w:r>
              <w:t xml:space="preserve"> web app</w:t>
            </w:r>
          </w:p>
        </w:tc>
        <w:tc>
          <w:tcPr>
            <w:tcW w:w="2401" w:type="dxa"/>
            <w:tcBorders>
              <w:top w:val="single" w:sz="4" w:space="0" w:color="000000"/>
              <w:left w:val="single" w:sz="4" w:space="0" w:color="000000"/>
              <w:bottom w:val="single" w:sz="4" w:space="0" w:color="000000"/>
              <w:right w:val="single" w:sz="4" w:space="0" w:color="000000"/>
            </w:tcBorders>
          </w:tcPr>
          <w:p w14:paraId="73477EC5" w14:textId="77777777" w:rsidR="001F7DD1" w:rsidRDefault="001F7DD1" w:rsidP="00BE5A8B">
            <w:pPr>
              <w:spacing w:line="259" w:lineRule="auto"/>
            </w:pPr>
            <w:r w:rsidRPr="00E1509D">
              <w:t xml:space="preserve">1130 and 2330; </w:t>
            </w:r>
          </w:p>
          <w:p w14:paraId="18D73A8A" w14:textId="77777777" w:rsidR="001F7DD1" w:rsidRPr="00E1509D" w:rsidRDefault="001F7DD1" w:rsidP="00BE5A8B">
            <w:pPr>
              <w:spacing w:line="259" w:lineRule="auto"/>
            </w:pPr>
            <w:r>
              <w:t xml:space="preserve">Appropriate Iridium satellites </w:t>
            </w:r>
          </w:p>
        </w:tc>
        <w:tc>
          <w:tcPr>
            <w:tcW w:w="3650" w:type="dxa"/>
            <w:tcBorders>
              <w:top w:val="single" w:sz="4" w:space="0" w:color="000000"/>
              <w:left w:val="single" w:sz="4" w:space="0" w:color="000000"/>
              <w:bottom w:val="single" w:sz="4" w:space="0" w:color="000000"/>
              <w:right w:val="single" w:sz="4" w:space="0" w:color="000000"/>
            </w:tcBorders>
          </w:tcPr>
          <w:p w14:paraId="13ED7410" w14:textId="77777777" w:rsidR="001F7DD1" w:rsidRPr="00E1509D" w:rsidRDefault="001F7DD1" w:rsidP="00BE5A8B">
            <w:pPr>
              <w:spacing w:line="259" w:lineRule="auto"/>
            </w:pPr>
          </w:p>
        </w:tc>
      </w:tr>
      <w:tr w:rsidR="001F7DD1" w14:paraId="13841DDE" w14:textId="77777777" w:rsidTr="00BE5A8B">
        <w:trPr>
          <w:trHeight w:val="292"/>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CA8F9B4" w14:textId="77777777" w:rsidR="001F7DD1" w:rsidRPr="00246DA5" w:rsidRDefault="001F7DD1" w:rsidP="00BE5A8B">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9803EDD" w14:textId="77777777" w:rsidR="001F7DD1" w:rsidRDefault="001F7DD1" w:rsidP="00BE5A8B">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7F88145" w14:textId="77777777" w:rsidR="001F7DD1" w:rsidRDefault="001F7DD1" w:rsidP="00BE5A8B">
            <w:pPr>
              <w:spacing w:line="259" w:lineRule="auto"/>
              <w:rPr>
                <w:i/>
                <w:iCs/>
                <w:color w:val="7F7F7F" w:themeColor="text1" w:themeTint="80"/>
              </w:rPr>
            </w:pPr>
          </w:p>
        </w:tc>
      </w:tr>
      <w:tr w:rsidR="001F7DD1" w14:paraId="258F32B4" w14:textId="77777777" w:rsidTr="00BE5A8B">
        <w:trPr>
          <w:trHeight w:val="290"/>
        </w:trPr>
        <w:tc>
          <w:tcPr>
            <w:tcW w:w="2965" w:type="dxa"/>
            <w:tcBorders>
              <w:top w:val="single" w:sz="4" w:space="0" w:color="000000"/>
              <w:left w:val="single" w:sz="4" w:space="0" w:color="000000"/>
              <w:bottom w:val="single" w:sz="4" w:space="0" w:color="000000"/>
              <w:right w:val="single" w:sz="4" w:space="0" w:color="000000"/>
            </w:tcBorders>
          </w:tcPr>
          <w:p w14:paraId="4E7A9368" w14:textId="77777777" w:rsidR="001F7DD1" w:rsidRPr="00FC2610" w:rsidRDefault="001F7DD1" w:rsidP="00BE5A8B">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4F75DABE" w14:textId="77777777" w:rsidR="001F7DD1" w:rsidRDefault="001F7DD1" w:rsidP="00BE5A8B">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77557C51" w14:textId="77777777" w:rsidR="001F7DD1" w:rsidRPr="00FC2610" w:rsidRDefault="001F7DD1" w:rsidP="00BE5A8B">
            <w:pPr>
              <w:spacing w:line="259" w:lineRule="auto"/>
              <w:rPr>
                <w:i/>
                <w:iCs/>
                <w:color w:val="7F7F7F" w:themeColor="text1" w:themeTint="80"/>
              </w:rPr>
            </w:pPr>
            <w:r>
              <w:rPr>
                <w:b/>
              </w:rPr>
              <w:t>Manufacturer/Software</w:t>
            </w:r>
          </w:p>
        </w:tc>
      </w:tr>
      <w:tr w:rsidR="001F7DD1" w14:paraId="52C681BB" w14:textId="77777777" w:rsidTr="00BE5A8B">
        <w:trPr>
          <w:trHeight w:val="432"/>
        </w:trPr>
        <w:tc>
          <w:tcPr>
            <w:tcW w:w="2965" w:type="dxa"/>
            <w:tcBorders>
              <w:top w:val="single" w:sz="4" w:space="0" w:color="000000"/>
              <w:left w:val="single" w:sz="4" w:space="0" w:color="000000"/>
              <w:bottom w:val="single" w:sz="4" w:space="0" w:color="000000"/>
              <w:right w:val="single" w:sz="4" w:space="0" w:color="000000"/>
            </w:tcBorders>
          </w:tcPr>
          <w:p w14:paraId="0198DFDD" w14:textId="77777777" w:rsidR="001F7DD1" w:rsidRPr="00E1509D" w:rsidRDefault="001F7DD1" w:rsidP="00BE5A8B">
            <w:pPr>
              <w:spacing w:line="259" w:lineRule="auto"/>
            </w:pPr>
            <w:proofErr w:type="spellStart"/>
            <w:r w:rsidRPr="00E1509D">
              <w:t>SafetyNET</w:t>
            </w:r>
            <w:proofErr w:type="spellEnd"/>
            <w:r w:rsidRPr="00E1509D">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60D0C4CD" w14:textId="77777777" w:rsidR="001F7DD1" w:rsidRPr="00E1509D" w:rsidRDefault="001F7DD1" w:rsidP="00BE5A8B">
            <w:pPr>
              <w:spacing w:line="259" w:lineRule="auto"/>
            </w:pPr>
          </w:p>
        </w:tc>
        <w:tc>
          <w:tcPr>
            <w:tcW w:w="3650" w:type="dxa"/>
            <w:tcBorders>
              <w:top w:val="single" w:sz="4" w:space="0" w:color="000000"/>
              <w:left w:val="single" w:sz="4" w:space="0" w:color="000000"/>
              <w:bottom w:val="single" w:sz="4" w:space="0" w:color="000000"/>
              <w:right w:val="single" w:sz="4" w:space="0" w:color="000000"/>
            </w:tcBorders>
          </w:tcPr>
          <w:p w14:paraId="441ACA0F" w14:textId="77777777" w:rsidR="001F7DD1" w:rsidRPr="00E1509D" w:rsidRDefault="001F7DD1" w:rsidP="00BE5A8B">
            <w:pPr>
              <w:spacing w:line="259" w:lineRule="auto"/>
            </w:pPr>
            <w:r w:rsidRPr="00E1509D">
              <w:t>Sailor TT-3026/s mini-c</w:t>
            </w:r>
          </w:p>
        </w:tc>
      </w:tr>
      <w:tr w:rsidR="001F7DD1" w14:paraId="484215D8" w14:textId="77777777" w:rsidTr="00BE5A8B">
        <w:trPr>
          <w:trHeight w:val="432"/>
        </w:trPr>
        <w:tc>
          <w:tcPr>
            <w:tcW w:w="2965" w:type="dxa"/>
            <w:tcBorders>
              <w:top w:val="single" w:sz="4" w:space="0" w:color="000000"/>
              <w:left w:val="single" w:sz="4" w:space="0" w:color="000000"/>
              <w:bottom w:val="single" w:sz="4" w:space="0" w:color="000000"/>
              <w:right w:val="single" w:sz="4" w:space="0" w:color="000000"/>
            </w:tcBorders>
          </w:tcPr>
          <w:p w14:paraId="246BCC6F" w14:textId="77777777" w:rsidR="001F7DD1" w:rsidRPr="00E1509D" w:rsidRDefault="001F7DD1" w:rsidP="00BE5A8B">
            <w:pPr>
              <w:spacing w:line="259" w:lineRule="auto"/>
            </w:pPr>
            <w:r w:rsidRPr="00E1509D">
              <w:t xml:space="preserve">Iridium </w:t>
            </w:r>
            <w:proofErr w:type="spellStart"/>
            <w:r w:rsidRPr="00E1509D">
              <w:t>SafetyCast</w:t>
            </w:r>
            <w:proofErr w:type="spellEnd"/>
            <w:r w:rsidRPr="00E1509D">
              <w:t xml:space="preserve"> web app</w:t>
            </w:r>
          </w:p>
        </w:tc>
        <w:tc>
          <w:tcPr>
            <w:tcW w:w="2401" w:type="dxa"/>
            <w:tcBorders>
              <w:top w:val="single" w:sz="4" w:space="0" w:color="000000"/>
              <w:left w:val="single" w:sz="4" w:space="0" w:color="000000"/>
              <w:bottom w:val="single" w:sz="4" w:space="0" w:color="000000"/>
              <w:right w:val="single" w:sz="4" w:space="0" w:color="000000"/>
            </w:tcBorders>
          </w:tcPr>
          <w:p w14:paraId="568E8E92" w14:textId="77777777" w:rsidR="001F7DD1" w:rsidRPr="00E1509D" w:rsidRDefault="001F7DD1" w:rsidP="00BE5A8B">
            <w:pPr>
              <w:spacing w:line="259" w:lineRule="auto"/>
            </w:pPr>
          </w:p>
        </w:tc>
        <w:tc>
          <w:tcPr>
            <w:tcW w:w="3650" w:type="dxa"/>
            <w:tcBorders>
              <w:top w:val="single" w:sz="4" w:space="0" w:color="000000"/>
              <w:left w:val="single" w:sz="4" w:space="0" w:color="000000"/>
              <w:bottom w:val="single" w:sz="4" w:space="0" w:color="000000"/>
              <w:right w:val="single" w:sz="4" w:space="0" w:color="000000"/>
            </w:tcBorders>
          </w:tcPr>
          <w:p w14:paraId="3600657C" w14:textId="77777777" w:rsidR="001F7DD1" w:rsidRPr="00E1509D" w:rsidRDefault="001F7DD1" w:rsidP="00BE5A8B">
            <w:pPr>
              <w:spacing w:line="259" w:lineRule="auto"/>
            </w:pPr>
            <w:r w:rsidRPr="00E1509D">
              <w:t>Iridium web app</w:t>
            </w:r>
          </w:p>
        </w:tc>
      </w:tr>
    </w:tbl>
    <w:p w14:paraId="2FAFC14E" w14:textId="77777777" w:rsidR="006C203F" w:rsidRDefault="006C203F" w:rsidP="001F7DD1">
      <w:pPr>
        <w:pStyle w:val="ListParagraph"/>
        <w:ind w:left="360"/>
        <w:rPr>
          <w:b/>
        </w:rPr>
      </w:pPr>
    </w:p>
    <w:p w14:paraId="4E332D23" w14:textId="0497913A" w:rsidR="001F7DD1" w:rsidRPr="00031E3A" w:rsidRDefault="001F7DD1" w:rsidP="001F7DD1">
      <w:pPr>
        <w:pStyle w:val="ListParagraph"/>
        <w:ind w:left="360"/>
        <w:rPr>
          <w:b/>
        </w:rPr>
      </w:pPr>
      <w:r w:rsidRPr="00031E3A">
        <w:rPr>
          <w:b/>
        </w:rPr>
        <w:t>NAVAREA XVIII:</w:t>
      </w:r>
    </w:p>
    <w:p w14:paraId="39E6AB48" w14:textId="19932AA6" w:rsidR="001F7DD1" w:rsidRDefault="001F7DD1" w:rsidP="001F7DD1"/>
    <w:tbl>
      <w:tblPr>
        <w:tblStyle w:val="TableGrid0"/>
        <w:tblW w:w="9016" w:type="dxa"/>
        <w:tblInd w:w="355" w:type="dxa"/>
        <w:tblCellMar>
          <w:top w:w="7" w:type="dxa"/>
          <w:left w:w="108" w:type="dxa"/>
          <w:right w:w="108" w:type="dxa"/>
        </w:tblCellMar>
        <w:tblLook w:val="04A0" w:firstRow="1" w:lastRow="0" w:firstColumn="1" w:lastColumn="0" w:noHBand="0" w:noVBand="1"/>
      </w:tblPr>
      <w:tblGrid>
        <w:gridCol w:w="2965"/>
        <w:gridCol w:w="2401"/>
        <w:gridCol w:w="3650"/>
      </w:tblGrid>
      <w:tr w:rsidR="001F7DD1" w:rsidRPr="001B527A" w14:paraId="2CDDCEBD" w14:textId="77777777" w:rsidTr="00BE5A8B">
        <w:trPr>
          <w:trHeight w:val="676"/>
        </w:trPr>
        <w:tc>
          <w:tcPr>
            <w:tcW w:w="2965" w:type="dxa"/>
            <w:tcBorders>
              <w:top w:val="single" w:sz="4" w:space="0" w:color="000000"/>
              <w:left w:val="single" w:sz="4" w:space="0" w:color="000000"/>
              <w:bottom w:val="single" w:sz="4" w:space="0" w:color="000000"/>
              <w:right w:val="single" w:sz="4" w:space="0" w:color="000000"/>
            </w:tcBorders>
          </w:tcPr>
          <w:p w14:paraId="3B745F08" w14:textId="77777777" w:rsidR="001F7DD1" w:rsidRDefault="001F7DD1" w:rsidP="00BE5A8B">
            <w:pPr>
              <w:spacing w:line="259" w:lineRule="auto"/>
              <w:jc w:val="center"/>
            </w:pPr>
            <w:r>
              <w:rPr>
                <w:b/>
              </w:rPr>
              <w:t>Broadcast Equipment/Software</w:t>
            </w:r>
            <w:r>
              <w:rPr>
                <w:b/>
              </w:rPr>
              <w:br/>
            </w:r>
          </w:p>
        </w:tc>
        <w:tc>
          <w:tcPr>
            <w:tcW w:w="2401" w:type="dxa"/>
            <w:tcBorders>
              <w:top w:val="single" w:sz="4" w:space="0" w:color="000000"/>
              <w:left w:val="single" w:sz="4" w:space="0" w:color="000000"/>
              <w:bottom w:val="single" w:sz="4" w:space="0" w:color="000000"/>
              <w:right w:val="single" w:sz="4" w:space="0" w:color="000000"/>
            </w:tcBorders>
          </w:tcPr>
          <w:p w14:paraId="7A6E8E8B" w14:textId="77777777" w:rsidR="001F7DD1" w:rsidRDefault="001F7DD1" w:rsidP="00BE5A8B">
            <w:pPr>
              <w:spacing w:line="259" w:lineRule="auto"/>
              <w:jc w:val="center"/>
              <w:rPr>
                <w:b/>
              </w:rPr>
            </w:pPr>
            <w:r>
              <w:rPr>
                <w:b/>
              </w:rPr>
              <w:t>Broad cast schedule/Satellite</w:t>
            </w:r>
          </w:p>
        </w:tc>
        <w:tc>
          <w:tcPr>
            <w:tcW w:w="3650" w:type="dxa"/>
            <w:tcBorders>
              <w:top w:val="single" w:sz="4" w:space="0" w:color="000000"/>
              <w:left w:val="single" w:sz="4" w:space="0" w:color="000000"/>
              <w:bottom w:val="single" w:sz="4" w:space="0" w:color="000000"/>
              <w:right w:val="single" w:sz="4" w:space="0" w:color="000000"/>
            </w:tcBorders>
          </w:tcPr>
          <w:p w14:paraId="7E5F6620" w14:textId="77777777" w:rsidR="001F7DD1" w:rsidRPr="001B527A" w:rsidRDefault="001F7DD1" w:rsidP="00BE5A8B">
            <w:pPr>
              <w:spacing w:line="259" w:lineRule="auto"/>
              <w:jc w:val="center"/>
              <w:rPr>
                <w:b/>
                <w:lang w:val="fr-CA"/>
              </w:rPr>
            </w:pPr>
            <w:r w:rsidRPr="001B527A">
              <w:rPr>
                <w:b/>
                <w:lang w:val="fr-CA"/>
              </w:rPr>
              <w:t>Manufacturer/Location (LES)/</w:t>
            </w:r>
            <w:proofErr w:type="spellStart"/>
            <w:r w:rsidRPr="001B527A">
              <w:rPr>
                <w:b/>
                <w:lang w:val="fr-CA"/>
              </w:rPr>
              <w:t>Implementation</w:t>
            </w:r>
            <w:proofErr w:type="spellEnd"/>
          </w:p>
        </w:tc>
      </w:tr>
      <w:tr w:rsidR="001F7DD1" w14:paraId="0A04BA00" w14:textId="77777777" w:rsidTr="00BE5A8B">
        <w:trPr>
          <w:trHeight w:val="20"/>
        </w:trPr>
        <w:tc>
          <w:tcPr>
            <w:tcW w:w="2965" w:type="dxa"/>
            <w:tcBorders>
              <w:top w:val="single" w:sz="4" w:space="0" w:color="000000"/>
              <w:left w:val="single" w:sz="4" w:space="0" w:color="000000"/>
              <w:bottom w:val="single" w:sz="4" w:space="0" w:color="000000"/>
              <w:right w:val="single" w:sz="4" w:space="0" w:color="000000"/>
            </w:tcBorders>
          </w:tcPr>
          <w:p w14:paraId="5450FEE7" w14:textId="77777777" w:rsidR="001F7DD1" w:rsidRPr="00246DA5" w:rsidRDefault="001F7DD1" w:rsidP="00BE5A8B">
            <w:pPr>
              <w:spacing w:line="259" w:lineRule="auto"/>
              <w:rPr>
                <w:rFonts w:ascii="Times New Roman" w:eastAsia="MS Mincho" w:hAnsi="Times New Roman" w:cs="Times New Roman"/>
                <w:i/>
                <w:iCs/>
                <w:color w:val="7F7F7F" w:themeColor="text1" w:themeTint="80"/>
              </w:rPr>
            </w:pPr>
            <w:proofErr w:type="spellStart"/>
            <w:r w:rsidRPr="0094003F">
              <w:t>SafetyNET</w:t>
            </w:r>
            <w:proofErr w:type="spellEnd"/>
            <w:r w:rsidRPr="0094003F">
              <w:t xml:space="preserve"> II web app</w:t>
            </w:r>
          </w:p>
        </w:tc>
        <w:tc>
          <w:tcPr>
            <w:tcW w:w="2401" w:type="dxa"/>
            <w:tcBorders>
              <w:top w:val="single" w:sz="4" w:space="0" w:color="000000"/>
              <w:left w:val="single" w:sz="4" w:space="0" w:color="000000"/>
              <w:bottom w:val="single" w:sz="4" w:space="0" w:color="000000"/>
              <w:right w:val="single" w:sz="4" w:space="0" w:color="000000"/>
            </w:tcBorders>
          </w:tcPr>
          <w:p w14:paraId="424FC061" w14:textId="77777777" w:rsidR="001F7DD1" w:rsidRDefault="001F7DD1" w:rsidP="00BE5A8B">
            <w:pPr>
              <w:spacing w:line="259" w:lineRule="auto"/>
            </w:pPr>
            <w:r w:rsidRPr="0094003F">
              <w:t>11</w:t>
            </w:r>
            <w:r>
              <w:t>00</w:t>
            </w:r>
            <w:r w:rsidRPr="0094003F">
              <w:t xml:space="preserve"> and 23</w:t>
            </w:r>
            <w:r>
              <w:t>0</w:t>
            </w:r>
            <w:r w:rsidRPr="0094003F">
              <w:t xml:space="preserve">0; </w:t>
            </w:r>
          </w:p>
          <w:p w14:paraId="089428A0" w14:textId="77777777" w:rsidR="001F7DD1" w:rsidRDefault="001F7DD1" w:rsidP="00BE5A8B">
            <w:pPr>
              <w:spacing w:line="259" w:lineRule="auto"/>
            </w:pPr>
            <w:r>
              <w:t>I-4 F3  (AOR-W)</w:t>
            </w:r>
          </w:p>
          <w:p w14:paraId="36E73E5E" w14:textId="77777777" w:rsidR="001F7DD1" w:rsidRPr="00254F6D" w:rsidRDefault="001F7DD1" w:rsidP="00BE5A8B">
            <w:pPr>
              <w:spacing w:line="259" w:lineRule="auto"/>
            </w:pPr>
            <w:r w:rsidRPr="00254F6D">
              <w:t>I-3 F5 (AOR-E)</w:t>
            </w:r>
          </w:p>
        </w:tc>
        <w:tc>
          <w:tcPr>
            <w:tcW w:w="3650" w:type="dxa"/>
            <w:tcBorders>
              <w:top w:val="single" w:sz="4" w:space="0" w:color="000000"/>
              <w:left w:val="single" w:sz="4" w:space="0" w:color="000000"/>
              <w:bottom w:val="single" w:sz="4" w:space="0" w:color="000000"/>
              <w:right w:val="single" w:sz="4" w:space="0" w:color="000000"/>
            </w:tcBorders>
          </w:tcPr>
          <w:p w14:paraId="6050777C" w14:textId="77777777" w:rsidR="001F7DD1" w:rsidRPr="00254F6D" w:rsidRDefault="001F7DD1" w:rsidP="00BE5A8B">
            <w:pPr>
              <w:spacing w:line="259" w:lineRule="auto"/>
            </w:pPr>
          </w:p>
        </w:tc>
      </w:tr>
      <w:tr w:rsidR="001F7DD1" w14:paraId="799F00E9" w14:textId="77777777" w:rsidTr="00BE5A8B">
        <w:trPr>
          <w:trHeight w:val="20"/>
        </w:trPr>
        <w:tc>
          <w:tcPr>
            <w:tcW w:w="2965" w:type="dxa"/>
            <w:tcBorders>
              <w:top w:val="single" w:sz="4" w:space="0" w:color="000000"/>
              <w:left w:val="single" w:sz="4" w:space="0" w:color="000000"/>
              <w:bottom w:val="single" w:sz="4" w:space="0" w:color="000000"/>
              <w:right w:val="single" w:sz="4" w:space="0" w:color="000000"/>
            </w:tcBorders>
          </w:tcPr>
          <w:p w14:paraId="72603F54" w14:textId="77777777" w:rsidR="001F7DD1" w:rsidRPr="00E1509D" w:rsidRDefault="001F7DD1" w:rsidP="00BE5A8B">
            <w:pPr>
              <w:spacing w:line="259" w:lineRule="auto"/>
            </w:pPr>
            <w:r w:rsidRPr="00E1509D">
              <w:t xml:space="preserve">Iridium </w:t>
            </w:r>
            <w:proofErr w:type="spellStart"/>
            <w:r w:rsidRPr="00E1509D">
              <w:t>SafetyCast</w:t>
            </w:r>
            <w:proofErr w:type="spellEnd"/>
            <w:r>
              <w:t xml:space="preserve"> web app</w:t>
            </w:r>
          </w:p>
        </w:tc>
        <w:tc>
          <w:tcPr>
            <w:tcW w:w="2401" w:type="dxa"/>
            <w:tcBorders>
              <w:top w:val="single" w:sz="4" w:space="0" w:color="000000"/>
              <w:left w:val="single" w:sz="4" w:space="0" w:color="000000"/>
              <w:bottom w:val="single" w:sz="4" w:space="0" w:color="000000"/>
              <w:right w:val="single" w:sz="4" w:space="0" w:color="000000"/>
            </w:tcBorders>
          </w:tcPr>
          <w:p w14:paraId="716A7598" w14:textId="77777777" w:rsidR="001F7DD1" w:rsidRDefault="001F7DD1" w:rsidP="00BE5A8B">
            <w:pPr>
              <w:spacing w:line="259" w:lineRule="auto"/>
            </w:pPr>
            <w:r w:rsidRPr="00E1509D">
              <w:t>11</w:t>
            </w:r>
            <w:r>
              <w:t>0</w:t>
            </w:r>
            <w:r w:rsidRPr="00E1509D">
              <w:t>0 and 23</w:t>
            </w:r>
            <w:r>
              <w:t>0</w:t>
            </w:r>
            <w:r w:rsidRPr="00E1509D">
              <w:t xml:space="preserve">0; </w:t>
            </w:r>
          </w:p>
          <w:p w14:paraId="1C2E40A2" w14:textId="77777777" w:rsidR="001F7DD1" w:rsidRPr="00E1509D" w:rsidRDefault="001F7DD1" w:rsidP="00BE5A8B">
            <w:pPr>
              <w:spacing w:line="259" w:lineRule="auto"/>
            </w:pPr>
            <w:r>
              <w:t xml:space="preserve">Appropriate Iridium satellites </w:t>
            </w:r>
          </w:p>
        </w:tc>
        <w:tc>
          <w:tcPr>
            <w:tcW w:w="3650" w:type="dxa"/>
            <w:tcBorders>
              <w:top w:val="single" w:sz="4" w:space="0" w:color="000000"/>
              <w:left w:val="single" w:sz="4" w:space="0" w:color="000000"/>
              <w:bottom w:val="single" w:sz="4" w:space="0" w:color="000000"/>
              <w:right w:val="single" w:sz="4" w:space="0" w:color="000000"/>
            </w:tcBorders>
          </w:tcPr>
          <w:p w14:paraId="3572366F" w14:textId="77777777" w:rsidR="001F7DD1" w:rsidRPr="00E1509D" w:rsidRDefault="001F7DD1" w:rsidP="00BE5A8B">
            <w:pPr>
              <w:spacing w:line="259" w:lineRule="auto"/>
            </w:pPr>
          </w:p>
        </w:tc>
      </w:tr>
      <w:tr w:rsidR="001F7DD1" w14:paraId="6D8A7786" w14:textId="77777777" w:rsidTr="00BE5A8B">
        <w:trPr>
          <w:trHeight w:val="226"/>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3F2DA83" w14:textId="77777777" w:rsidR="001F7DD1" w:rsidRPr="00246DA5" w:rsidRDefault="001F7DD1" w:rsidP="00BE5A8B">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6B5B4C5" w14:textId="77777777" w:rsidR="001F7DD1" w:rsidRDefault="001F7DD1" w:rsidP="00BE5A8B">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3E4D9F6" w14:textId="77777777" w:rsidR="001F7DD1" w:rsidRDefault="001F7DD1" w:rsidP="00BE5A8B">
            <w:pPr>
              <w:spacing w:line="259" w:lineRule="auto"/>
              <w:rPr>
                <w:i/>
                <w:iCs/>
                <w:color w:val="7F7F7F" w:themeColor="text1" w:themeTint="80"/>
              </w:rPr>
            </w:pPr>
          </w:p>
        </w:tc>
      </w:tr>
      <w:tr w:rsidR="001F7DD1" w14:paraId="1D219AC7" w14:textId="77777777" w:rsidTr="00BE5A8B">
        <w:trPr>
          <w:trHeight w:val="290"/>
        </w:trPr>
        <w:tc>
          <w:tcPr>
            <w:tcW w:w="2965" w:type="dxa"/>
            <w:tcBorders>
              <w:top w:val="single" w:sz="4" w:space="0" w:color="000000"/>
              <w:left w:val="single" w:sz="4" w:space="0" w:color="000000"/>
              <w:bottom w:val="single" w:sz="4" w:space="0" w:color="000000"/>
              <w:right w:val="single" w:sz="4" w:space="0" w:color="000000"/>
            </w:tcBorders>
          </w:tcPr>
          <w:p w14:paraId="7418429E" w14:textId="77777777" w:rsidR="001F7DD1" w:rsidRPr="00FC2610" w:rsidRDefault="001F7DD1" w:rsidP="00BE5A8B">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61C099D0" w14:textId="77777777" w:rsidR="001F7DD1" w:rsidRDefault="001F7DD1" w:rsidP="00BE5A8B">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34D9A87D" w14:textId="77777777" w:rsidR="001F7DD1" w:rsidRPr="00FC2610" w:rsidRDefault="001F7DD1" w:rsidP="00BE5A8B">
            <w:pPr>
              <w:spacing w:line="259" w:lineRule="auto"/>
              <w:rPr>
                <w:i/>
                <w:iCs/>
                <w:color w:val="7F7F7F" w:themeColor="text1" w:themeTint="80"/>
              </w:rPr>
            </w:pPr>
            <w:r>
              <w:rPr>
                <w:b/>
              </w:rPr>
              <w:t>Manufacturer/Software</w:t>
            </w:r>
          </w:p>
        </w:tc>
      </w:tr>
      <w:tr w:rsidR="001F7DD1" w14:paraId="5C4EACC5" w14:textId="77777777" w:rsidTr="00BE5A8B">
        <w:trPr>
          <w:trHeight w:val="432"/>
        </w:trPr>
        <w:tc>
          <w:tcPr>
            <w:tcW w:w="2965" w:type="dxa"/>
            <w:tcBorders>
              <w:top w:val="single" w:sz="4" w:space="0" w:color="000000"/>
              <w:left w:val="single" w:sz="4" w:space="0" w:color="000000"/>
              <w:bottom w:val="single" w:sz="4" w:space="0" w:color="000000"/>
              <w:right w:val="single" w:sz="4" w:space="0" w:color="000000"/>
            </w:tcBorders>
          </w:tcPr>
          <w:p w14:paraId="2D3B9631" w14:textId="77777777" w:rsidR="001F7DD1" w:rsidRPr="00E1509D" w:rsidRDefault="001F7DD1" w:rsidP="00BE5A8B">
            <w:pPr>
              <w:spacing w:line="259" w:lineRule="auto"/>
            </w:pPr>
            <w:proofErr w:type="spellStart"/>
            <w:r w:rsidRPr="00E1509D">
              <w:t>SafetyNET</w:t>
            </w:r>
            <w:proofErr w:type="spellEnd"/>
            <w:r w:rsidRPr="00E1509D">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61FD9DBB" w14:textId="77777777" w:rsidR="001F7DD1" w:rsidRPr="00E1509D" w:rsidRDefault="001F7DD1" w:rsidP="00BE5A8B">
            <w:pPr>
              <w:spacing w:line="259" w:lineRule="auto"/>
            </w:pPr>
          </w:p>
        </w:tc>
        <w:tc>
          <w:tcPr>
            <w:tcW w:w="3650" w:type="dxa"/>
            <w:tcBorders>
              <w:top w:val="single" w:sz="4" w:space="0" w:color="000000"/>
              <w:left w:val="single" w:sz="4" w:space="0" w:color="000000"/>
              <w:bottom w:val="single" w:sz="4" w:space="0" w:color="000000"/>
              <w:right w:val="single" w:sz="4" w:space="0" w:color="000000"/>
            </w:tcBorders>
          </w:tcPr>
          <w:p w14:paraId="5998F728" w14:textId="77777777" w:rsidR="001F7DD1" w:rsidRPr="00E1509D" w:rsidRDefault="001F7DD1" w:rsidP="00BE5A8B">
            <w:pPr>
              <w:spacing w:line="259" w:lineRule="auto"/>
            </w:pPr>
            <w:r w:rsidRPr="00E1509D">
              <w:t>Sailor TT-3026/s mini-c</w:t>
            </w:r>
          </w:p>
        </w:tc>
      </w:tr>
      <w:tr w:rsidR="001F7DD1" w14:paraId="64230A58" w14:textId="77777777" w:rsidTr="00BE5A8B">
        <w:trPr>
          <w:trHeight w:val="432"/>
        </w:trPr>
        <w:tc>
          <w:tcPr>
            <w:tcW w:w="2965" w:type="dxa"/>
            <w:tcBorders>
              <w:top w:val="single" w:sz="4" w:space="0" w:color="000000"/>
              <w:left w:val="single" w:sz="4" w:space="0" w:color="000000"/>
              <w:bottom w:val="single" w:sz="4" w:space="0" w:color="000000"/>
              <w:right w:val="single" w:sz="4" w:space="0" w:color="000000"/>
            </w:tcBorders>
          </w:tcPr>
          <w:p w14:paraId="5146E957" w14:textId="77777777" w:rsidR="001F7DD1" w:rsidRPr="00E1509D" w:rsidRDefault="001F7DD1" w:rsidP="00BE5A8B">
            <w:pPr>
              <w:spacing w:line="259" w:lineRule="auto"/>
            </w:pPr>
            <w:r w:rsidRPr="00E1509D">
              <w:t xml:space="preserve">Iridium </w:t>
            </w:r>
            <w:proofErr w:type="spellStart"/>
            <w:r w:rsidRPr="00E1509D">
              <w:t>SafetyCast</w:t>
            </w:r>
            <w:proofErr w:type="spellEnd"/>
            <w:r w:rsidRPr="00E1509D">
              <w:t xml:space="preserve"> web app</w:t>
            </w:r>
          </w:p>
        </w:tc>
        <w:tc>
          <w:tcPr>
            <w:tcW w:w="2401" w:type="dxa"/>
            <w:tcBorders>
              <w:top w:val="single" w:sz="4" w:space="0" w:color="000000"/>
              <w:left w:val="single" w:sz="4" w:space="0" w:color="000000"/>
              <w:bottom w:val="single" w:sz="4" w:space="0" w:color="000000"/>
              <w:right w:val="single" w:sz="4" w:space="0" w:color="000000"/>
            </w:tcBorders>
          </w:tcPr>
          <w:p w14:paraId="28729E66" w14:textId="77777777" w:rsidR="001F7DD1" w:rsidRPr="00E1509D" w:rsidRDefault="001F7DD1" w:rsidP="00BE5A8B">
            <w:pPr>
              <w:spacing w:line="259" w:lineRule="auto"/>
            </w:pPr>
          </w:p>
        </w:tc>
        <w:tc>
          <w:tcPr>
            <w:tcW w:w="3650" w:type="dxa"/>
            <w:tcBorders>
              <w:top w:val="single" w:sz="4" w:space="0" w:color="000000"/>
              <w:left w:val="single" w:sz="4" w:space="0" w:color="000000"/>
              <w:bottom w:val="single" w:sz="4" w:space="0" w:color="000000"/>
              <w:right w:val="single" w:sz="4" w:space="0" w:color="000000"/>
            </w:tcBorders>
          </w:tcPr>
          <w:p w14:paraId="50338931" w14:textId="77777777" w:rsidR="001F7DD1" w:rsidRPr="00E1509D" w:rsidRDefault="001F7DD1" w:rsidP="00BE5A8B">
            <w:pPr>
              <w:spacing w:line="259" w:lineRule="auto"/>
            </w:pPr>
            <w:r w:rsidRPr="00E1509D">
              <w:t>Iridium web app</w:t>
            </w:r>
          </w:p>
        </w:tc>
      </w:tr>
    </w:tbl>
    <w:p w14:paraId="3DD7EE35" w14:textId="77777777" w:rsidR="001F7DD1" w:rsidRDefault="001F7DD1" w:rsidP="001F7DD1"/>
    <w:p w14:paraId="52C39DD3" w14:textId="0C55D689" w:rsidR="00991FBB" w:rsidRDefault="00991FBB" w:rsidP="0090775F">
      <w:pPr>
        <w:pStyle w:val="ListParagraph"/>
        <w:ind w:left="360"/>
      </w:pPr>
    </w:p>
    <w:p w14:paraId="33720250" w14:textId="77777777" w:rsidR="00472E84" w:rsidRPr="00472E84" w:rsidRDefault="005E4CDC" w:rsidP="00613F97">
      <w:pPr>
        <w:pStyle w:val="ListParagraph"/>
        <w:numPr>
          <w:ilvl w:val="1"/>
          <w:numId w:val="2"/>
        </w:numPr>
      </w:pPr>
      <w:r w:rsidRPr="00E46A7C">
        <w:t>Details of</w:t>
      </w:r>
      <w:r w:rsidR="00613F97">
        <w:t xml:space="preserve"> EGC </w:t>
      </w:r>
      <w:r w:rsidR="002B330C" w:rsidRPr="002B330C">
        <w:t>services</w:t>
      </w:r>
      <w:r w:rsidR="006C6BB7">
        <w:t>:</w:t>
      </w:r>
      <w:r w:rsidRPr="00613F97">
        <w:rPr>
          <w:i/>
          <w:iCs/>
          <w:color w:val="D0CECE" w:themeColor="background2" w:themeShade="E6"/>
        </w:rPr>
        <w:t xml:space="preserve"> </w:t>
      </w:r>
      <w:r w:rsidR="00613F97">
        <w:rPr>
          <w:i/>
          <w:iCs/>
          <w:color w:val="D0CECE" w:themeColor="background2" w:themeShade="E6"/>
        </w:rPr>
        <w:br/>
      </w:r>
    </w:p>
    <w:p w14:paraId="4ACF5204" w14:textId="0A61AAF7" w:rsidR="00D84525" w:rsidRPr="00613F97" w:rsidRDefault="00472E84" w:rsidP="00472E84">
      <w:pPr>
        <w:pStyle w:val="ListParagraph"/>
        <w:ind w:left="792"/>
      </w:pPr>
      <w:r w:rsidRPr="00031E3A">
        <w:rPr>
          <w:rFonts w:asciiTheme="minorHAnsi" w:eastAsiaTheme="minorEastAsia" w:hAnsiTheme="minorHAnsi" w:cstheme="minorBidi"/>
        </w:rPr>
        <w:t>NAVAREA XVII/XVIII promulgates all warnings on all IMO Recognized Mobile Satellite Service Providers (RMSS) as per the scheduled broadcast times</w:t>
      </w:r>
      <w:r>
        <w:rPr>
          <w:rFonts w:asciiTheme="minorHAnsi" w:eastAsiaTheme="minorEastAsia" w:hAnsiTheme="minorHAnsi" w:cstheme="minorBidi"/>
        </w:rPr>
        <w:t xml:space="preserve"> noted in the table above.  Additional, as warranted by the necessity, navigational warnings may also be </w:t>
      </w:r>
      <w:r w:rsidRPr="00031E3A">
        <w:rPr>
          <w:rFonts w:asciiTheme="minorHAnsi" w:eastAsiaTheme="minorEastAsia" w:hAnsiTheme="minorHAnsi" w:cstheme="minorBidi"/>
        </w:rPr>
        <w:t>promulgated as soon as possibl</w:t>
      </w:r>
      <w:r>
        <w:rPr>
          <w:rFonts w:asciiTheme="minorHAnsi" w:eastAsiaTheme="minorEastAsia" w:hAnsiTheme="minorHAnsi" w:cstheme="minorBidi"/>
        </w:rPr>
        <w:t xml:space="preserve">e. </w:t>
      </w:r>
      <w:r w:rsidR="00D84525" w:rsidRPr="00613F97">
        <w:rPr>
          <w:i/>
          <w:iCs/>
          <w:color w:val="FF0000"/>
        </w:rPr>
        <w:br/>
      </w:r>
    </w:p>
    <w:p w14:paraId="661EA44A" w14:textId="01878DD3" w:rsidR="00B2631C" w:rsidRPr="00472E84" w:rsidRDefault="00D84525" w:rsidP="00D84525">
      <w:pPr>
        <w:pStyle w:val="ListParagraph"/>
        <w:numPr>
          <w:ilvl w:val="1"/>
          <w:numId w:val="2"/>
        </w:numPr>
        <w:rPr>
          <w:color w:val="D0CECE" w:themeColor="background2" w:themeShade="E6"/>
        </w:rPr>
      </w:pPr>
      <w:r>
        <w:lastRenderedPageBreak/>
        <w:t>NAVTEX</w:t>
      </w:r>
      <w:r w:rsidR="00721324">
        <w:t>:</w:t>
      </w:r>
      <w:r>
        <w:t xml:space="preserve"> </w:t>
      </w:r>
      <w:r w:rsidR="00721324">
        <w:br/>
      </w:r>
    </w:p>
    <w:p w14:paraId="48588642" w14:textId="586CCF1F" w:rsidR="00472E84" w:rsidRPr="00D84525" w:rsidRDefault="00472E84" w:rsidP="00472E84">
      <w:pPr>
        <w:pStyle w:val="ListParagraph"/>
        <w:ind w:left="792"/>
        <w:rPr>
          <w:color w:val="D0CECE" w:themeColor="background2" w:themeShade="E6"/>
        </w:rPr>
      </w:pPr>
      <w:r w:rsidRPr="007524F1">
        <w:rPr>
          <w:rFonts w:asciiTheme="minorHAnsi" w:eastAsiaTheme="minorEastAsia" w:hAnsiTheme="minorHAnsi" w:cstheme="minorBidi"/>
        </w:rPr>
        <w:t>There are no NAVTEX transmitters located in NAVAREAs XVII &amp; XVIII.  The Canadian Coast Guard has no plans to expand NAVTEX coverage into Arctic waters.</w:t>
      </w:r>
    </w:p>
    <w:p w14:paraId="38A41D13" w14:textId="382135FD" w:rsidR="00553BFB" w:rsidRPr="00112639" w:rsidRDefault="00553BFB" w:rsidP="00553BFB">
      <w:pPr>
        <w:rPr>
          <w:i/>
          <w:iCs/>
        </w:rPr>
      </w:pPr>
    </w:p>
    <w:p w14:paraId="03B41C73" w14:textId="42771F9D" w:rsidR="00605E56" w:rsidRPr="00BA5138" w:rsidRDefault="00B2631C" w:rsidP="00BA5138">
      <w:pPr>
        <w:pStyle w:val="ListParagraph"/>
        <w:numPr>
          <w:ilvl w:val="1"/>
          <w:numId w:val="2"/>
        </w:numPr>
        <w:rPr>
          <w:i/>
          <w:iCs/>
        </w:rPr>
      </w:pPr>
      <w:r w:rsidRPr="00B2631C">
        <w:t>Other methods of promulgation</w:t>
      </w:r>
      <w:r w:rsidR="00721324">
        <w:t>:</w:t>
      </w:r>
      <w:r w:rsidRPr="00F225A2">
        <w:rPr>
          <w:color w:val="7F7F7F" w:themeColor="text1" w:themeTint="80"/>
        </w:rPr>
        <w:t xml:space="preserve"> </w:t>
      </w:r>
      <w:r w:rsidR="00BA5138">
        <w:rPr>
          <w:color w:val="7F7F7F" w:themeColor="text1" w:themeTint="80"/>
        </w:rPr>
        <w:t xml:space="preserve">  </w:t>
      </w:r>
      <w:r w:rsidR="00605E56" w:rsidRPr="00BA5138">
        <w:rPr>
          <w:rFonts w:asciiTheme="minorHAnsi" w:eastAsiaTheme="minorEastAsia" w:hAnsiTheme="minorHAnsi" w:cstheme="minorBidi"/>
        </w:rPr>
        <w:t xml:space="preserve">Canada provides an HF-NBDP supplemental </w:t>
      </w:r>
      <w:proofErr w:type="spellStart"/>
      <w:r w:rsidR="00605E56" w:rsidRPr="00BA5138">
        <w:rPr>
          <w:rFonts w:asciiTheme="minorHAnsi" w:eastAsiaTheme="minorEastAsia" w:hAnsiTheme="minorHAnsi" w:cstheme="minorBidi"/>
        </w:rPr>
        <w:t>SafetyNET</w:t>
      </w:r>
      <w:proofErr w:type="spellEnd"/>
      <w:r w:rsidR="00605E56" w:rsidRPr="00BA5138">
        <w:rPr>
          <w:rFonts w:asciiTheme="minorHAnsi" w:eastAsiaTheme="minorEastAsia" w:hAnsiTheme="minorHAnsi" w:cstheme="minorBidi"/>
        </w:rPr>
        <w:t xml:space="preserve"> Service from Iqaluit on a seasonal basis.</w:t>
      </w:r>
    </w:p>
    <w:p w14:paraId="2FB4187B" w14:textId="77777777" w:rsidR="00605E56" w:rsidRDefault="00605E56" w:rsidP="00605E56">
      <w:pPr>
        <w:pStyle w:val="ListParagraph"/>
        <w:ind w:left="792"/>
        <w:rPr>
          <w:rFonts w:asciiTheme="minorHAnsi" w:eastAsiaTheme="minorEastAsia" w:hAnsiTheme="minorHAnsi" w:cstheme="minorBidi"/>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6"/>
        <w:gridCol w:w="3119"/>
      </w:tblGrid>
      <w:tr w:rsidR="00605E56" w:rsidRPr="00B96960" w14:paraId="34B69530" w14:textId="77777777" w:rsidTr="00BE5A8B">
        <w:trPr>
          <w:trHeight w:val="283"/>
        </w:trPr>
        <w:tc>
          <w:tcPr>
            <w:tcW w:w="1730" w:type="dxa"/>
            <w:shd w:val="clear" w:color="auto" w:fill="auto"/>
            <w:vAlign w:val="center"/>
          </w:tcPr>
          <w:p w14:paraId="2B1C0312" w14:textId="77777777" w:rsidR="00605E56" w:rsidRPr="00B96960" w:rsidRDefault="00605E56" w:rsidP="00BE5A8B">
            <w:pPr>
              <w:jc w:val="center"/>
              <w:rPr>
                <w:b/>
              </w:rPr>
            </w:pPr>
            <w:r w:rsidRPr="00B96960">
              <w:rPr>
                <w:b/>
              </w:rPr>
              <w:t>Time (UTC)</w:t>
            </w:r>
          </w:p>
        </w:tc>
        <w:tc>
          <w:tcPr>
            <w:tcW w:w="2126" w:type="dxa"/>
            <w:shd w:val="clear" w:color="auto" w:fill="auto"/>
            <w:vAlign w:val="center"/>
          </w:tcPr>
          <w:p w14:paraId="6CAEA1F4" w14:textId="77777777" w:rsidR="00605E56" w:rsidRPr="00B96960" w:rsidRDefault="00605E56" w:rsidP="00BE5A8B">
            <w:pPr>
              <w:jc w:val="center"/>
              <w:rPr>
                <w:b/>
              </w:rPr>
            </w:pPr>
            <w:r w:rsidRPr="00B96960">
              <w:rPr>
                <w:b/>
              </w:rPr>
              <w:t>System</w:t>
            </w:r>
          </w:p>
        </w:tc>
        <w:tc>
          <w:tcPr>
            <w:tcW w:w="3119" w:type="dxa"/>
            <w:shd w:val="clear" w:color="auto" w:fill="auto"/>
            <w:vAlign w:val="center"/>
          </w:tcPr>
          <w:p w14:paraId="0287F45F" w14:textId="77777777" w:rsidR="00605E56" w:rsidRPr="00B96960" w:rsidRDefault="00605E56" w:rsidP="00BE5A8B">
            <w:pPr>
              <w:jc w:val="center"/>
              <w:rPr>
                <w:b/>
              </w:rPr>
            </w:pPr>
            <w:r w:rsidRPr="00B96960">
              <w:rPr>
                <w:b/>
              </w:rPr>
              <w:t xml:space="preserve">Frequency </w:t>
            </w:r>
          </w:p>
        </w:tc>
      </w:tr>
      <w:tr w:rsidR="00605E56" w:rsidRPr="00B96960" w14:paraId="7D8C5D95" w14:textId="77777777" w:rsidTr="00BE5A8B">
        <w:trPr>
          <w:trHeight w:val="432"/>
        </w:trPr>
        <w:tc>
          <w:tcPr>
            <w:tcW w:w="1730" w:type="dxa"/>
            <w:shd w:val="clear" w:color="auto" w:fill="auto"/>
            <w:vAlign w:val="center"/>
          </w:tcPr>
          <w:p w14:paraId="5B862084" w14:textId="77777777" w:rsidR="00605E56" w:rsidRPr="00D00F05" w:rsidRDefault="00605E56" w:rsidP="00BE5A8B">
            <w:pPr>
              <w:jc w:val="center"/>
            </w:pPr>
            <w:r w:rsidRPr="00D00F05">
              <w:t>0330</w:t>
            </w:r>
          </w:p>
        </w:tc>
        <w:tc>
          <w:tcPr>
            <w:tcW w:w="2126" w:type="dxa"/>
            <w:shd w:val="clear" w:color="auto" w:fill="auto"/>
            <w:vAlign w:val="center"/>
          </w:tcPr>
          <w:p w14:paraId="439A3CC6" w14:textId="77777777" w:rsidR="00605E56" w:rsidRPr="00D00F05" w:rsidRDefault="00605E56" w:rsidP="00BE5A8B">
            <w:pPr>
              <w:jc w:val="center"/>
            </w:pPr>
            <w:r w:rsidRPr="00D00F05">
              <w:t>HF-NBDP</w:t>
            </w:r>
          </w:p>
        </w:tc>
        <w:tc>
          <w:tcPr>
            <w:tcW w:w="3119" w:type="dxa"/>
            <w:shd w:val="clear" w:color="auto" w:fill="auto"/>
            <w:vAlign w:val="center"/>
          </w:tcPr>
          <w:p w14:paraId="0F1A4316" w14:textId="77777777" w:rsidR="00605E56" w:rsidRPr="00D00F05" w:rsidRDefault="00605E56" w:rsidP="00BE5A8B">
            <w:pPr>
              <w:jc w:val="center"/>
            </w:pPr>
            <w:r w:rsidRPr="00D00F05">
              <w:t>8416.5 kHz</w:t>
            </w:r>
            <w:r w:rsidRPr="00D00F05">
              <w:rPr>
                <w:color w:val="FF0000"/>
              </w:rPr>
              <w:t>*</w:t>
            </w:r>
          </w:p>
        </w:tc>
      </w:tr>
      <w:tr w:rsidR="00605E56" w:rsidRPr="00B96960" w14:paraId="45A7849D" w14:textId="77777777" w:rsidTr="00BE5A8B">
        <w:trPr>
          <w:trHeight w:val="432"/>
        </w:trPr>
        <w:tc>
          <w:tcPr>
            <w:tcW w:w="1730" w:type="dxa"/>
            <w:shd w:val="clear" w:color="auto" w:fill="auto"/>
            <w:vAlign w:val="center"/>
          </w:tcPr>
          <w:p w14:paraId="0CEF1EFC" w14:textId="77777777" w:rsidR="00605E56" w:rsidRPr="00D00F05" w:rsidRDefault="00605E56" w:rsidP="00BE5A8B">
            <w:pPr>
              <w:jc w:val="center"/>
            </w:pPr>
            <w:r w:rsidRPr="00D00F05">
              <w:t>1530</w:t>
            </w:r>
          </w:p>
        </w:tc>
        <w:tc>
          <w:tcPr>
            <w:tcW w:w="2126" w:type="dxa"/>
            <w:shd w:val="clear" w:color="auto" w:fill="auto"/>
            <w:vAlign w:val="center"/>
          </w:tcPr>
          <w:p w14:paraId="4C8454C8" w14:textId="77777777" w:rsidR="00605E56" w:rsidRPr="00D00F05" w:rsidRDefault="00605E56" w:rsidP="00BE5A8B">
            <w:pPr>
              <w:jc w:val="center"/>
            </w:pPr>
            <w:r w:rsidRPr="00D00F05">
              <w:t>HF-NBDP</w:t>
            </w:r>
          </w:p>
        </w:tc>
        <w:tc>
          <w:tcPr>
            <w:tcW w:w="3119" w:type="dxa"/>
            <w:shd w:val="clear" w:color="auto" w:fill="auto"/>
            <w:vAlign w:val="center"/>
          </w:tcPr>
          <w:p w14:paraId="0BB54F15" w14:textId="77777777" w:rsidR="00605E56" w:rsidRPr="00D00F05" w:rsidRDefault="00605E56" w:rsidP="00BE5A8B">
            <w:pPr>
              <w:jc w:val="center"/>
            </w:pPr>
            <w:r w:rsidRPr="00D00F05">
              <w:t>8416.5 kHz</w:t>
            </w:r>
            <w:r w:rsidRPr="00D00F05">
              <w:rPr>
                <w:color w:val="FF0000"/>
              </w:rPr>
              <w:t>*</w:t>
            </w:r>
          </w:p>
        </w:tc>
      </w:tr>
    </w:tbl>
    <w:p w14:paraId="4697466A" w14:textId="77777777" w:rsidR="00605E56" w:rsidRDefault="00605E56" w:rsidP="00605E56">
      <w:pPr>
        <w:pStyle w:val="ListParagraph"/>
        <w:ind w:left="792"/>
        <w:rPr>
          <w:i/>
          <w:iCs/>
        </w:rPr>
      </w:pPr>
      <w:r w:rsidRPr="00D00F05">
        <w:rPr>
          <w:b/>
          <w:i/>
          <w:iCs/>
          <w:color w:val="FF0000"/>
        </w:rPr>
        <w:t>*</w:t>
      </w:r>
      <w:r w:rsidRPr="00D00F05">
        <w:rPr>
          <w:i/>
          <w:iCs/>
        </w:rPr>
        <w:t>HF NBDP available from mid-May to mid-December (navigational season)</w:t>
      </w:r>
    </w:p>
    <w:p w14:paraId="34752002" w14:textId="77777777" w:rsidR="00605E56" w:rsidRDefault="00605E56" w:rsidP="00605E56">
      <w:pPr>
        <w:pStyle w:val="ListParagraph"/>
        <w:ind w:left="792"/>
        <w:rPr>
          <w:i/>
          <w:iCs/>
        </w:rPr>
      </w:pPr>
    </w:p>
    <w:p w14:paraId="2E0411A5" w14:textId="6F04999B" w:rsidR="00553BFB" w:rsidRPr="00BA5138" w:rsidRDefault="00553BFB" w:rsidP="00553BFB">
      <w:pPr>
        <w:pStyle w:val="ListParagraph"/>
        <w:numPr>
          <w:ilvl w:val="0"/>
          <w:numId w:val="2"/>
        </w:numPr>
        <w:rPr>
          <w:iCs/>
          <w:color w:val="000000" w:themeColor="text1"/>
          <w:u w:val="single"/>
        </w:rPr>
      </w:pPr>
      <w:r w:rsidRPr="00605E56">
        <w:rPr>
          <w:iCs/>
          <w:u w:val="single"/>
        </w:rPr>
        <w:t>NAVAREA Metrics</w:t>
      </w:r>
      <w:r w:rsidR="00605E56">
        <w:rPr>
          <w:iCs/>
          <w:u w:val="single"/>
        </w:rPr>
        <w:t>:</w:t>
      </w:r>
    </w:p>
    <w:p w14:paraId="40419DEE" w14:textId="33532899" w:rsidR="00925ADA" w:rsidRPr="00605E56" w:rsidRDefault="003E6327" w:rsidP="00553BFB">
      <w:pPr>
        <w:pStyle w:val="ListParagraph"/>
        <w:numPr>
          <w:ilvl w:val="1"/>
          <w:numId w:val="2"/>
        </w:numPr>
        <w:rPr>
          <w:iCs/>
          <w:color w:val="FF0000"/>
        </w:rPr>
      </w:pPr>
      <w:r w:rsidRPr="008E523B">
        <w:rPr>
          <w:iCs/>
        </w:rPr>
        <w:t>Coast</w:t>
      </w:r>
      <w:r w:rsidR="006421C4" w:rsidRPr="008E523B">
        <w:rPr>
          <w:iCs/>
        </w:rPr>
        <w:t>al</w:t>
      </w:r>
      <w:r w:rsidRPr="008E523B">
        <w:rPr>
          <w:iCs/>
        </w:rPr>
        <w:t xml:space="preserve"> Warnings issued by </w:t>
      </w:r>
      <w:r w:rsidR="00C358BA">
        <w:rPr>
          <w:iCs/>
        </w:rPr>
        <w:t xml:space="preserve">International </w:t>
      </w:r>
      <w:r w:rsidR="00F05198" w:rsidRPr="008E523B">
        <w:rPr>
          <w:iCs/>
        </w:rPr>
        <w:t xml:space="preserve">NAVTEX </w:t>
      </w:r>
      <w:r w:rsidRPr="008E523B">
        <w:rPr>
          <w:iCs/>
        </w:rPr>
        <w:t xml:space="preserve">or </w:t>
      </w:r>
      <w:r w:rsidR="00553BFB">
        <w:rPr>
          <w:iCs/>
        </w:rPr>
        <w:t xml:space="preserve">EGC </w:t>
      </w:r>
      <w:r w:rsidR="00F05198" w:rsidRPr="008E523B">
        <w:rPr>
          <w:iCs/>
        </w:rPr>
        <w:t xml:space="preserve">coastal warning </w:t>
      </w:r>
      <w:r w:rsidRPr="008E523B">
        <w:rPr>
          <w:iCs/>
        </w:rPr>
        <w:t>area</w:t>
      </w:r>
      <w:r w:rsidR="00BE6EAB">
        <w:rPr>
          <w:iCs/>
        </w:rPr>
        <w:t>:</w:t>
      </w:r>
      <w:r w:rsidR="006211D5">
        <w:rPr>
          <w:iCs/>
        </w:rPr>
        <w:t xml:space="preserve"> </w:t>
      </w:r>
    </w:p>
    <w:p w14:paraId="18493FF3" w14:textId="357DBF89" w:rsidR="00605E56" w:rsidRDefault="00605E56" w:rsidP="00605E56">
      <w:pPr>
        <w:rPr>
          <w:iCs/>
          <w:color w:val="FF0000"/>
        </w:rPr>
      </w:pPr>
    </w:p>
    <w:p w14:paraId="3429B241" w14:textId="77777777" w:rsidR="00605E56" w:rsidRPr="00605E56" w:rsidRDefault="00605E56" w:rsidP="00605E56">
      <w:pPr>
        <w:rPr>
          <w:iCs/>
          <w:color w:val="FF0000"/>
        </w:rPr>
      </w:pPr>
    </w:p>
    <w:tbl>
      <w:tblPr>
        <w:tblStyle w:val="TableGrid"/>
        <w:tblW w:w="11070" w:type="dxa"/>
        <w:tblInd w:w="-995" w:type="dxa"/>
        <w:tblLook w:val="04A0" w:firstRow="1" w:lastRow="0" w:firstColumn="1" w:lastColumn="0" w:noHBand="0" w:noVBand="1"/>
      </w:tblPr>
      <w:tblGrid>
        <w:gridCol w:w="1594"/>
        <w:gridCol w:w="1159"/>
        <w:gridCol w:w="1499"/>
        <w:gridCol w:w="936"/>
        <w:gridCol w:w="1022"/>
        <w:gridCol w:w="1440"/>
        <w:gridCol w:w="1800"/>
        <w:gridCol w:w="1620"/>
      </w:tblGrid>
      <w:tr w:rsidR="00605E56" w14:paraId="55E9AA9B" w14:textId="77777777" w:rsidTr="00BE5A8B">
        <w:tc>
          <w:tcPr>
            <w:tcW w:w="1594" w:type="dxa"/>
          </w:tcPr>
          <w:p w14:paraId="3EE65DFA" w14:textId="77777777" w:rsidR="00605E56" w:rsidRPr="006709C0" w:rsidRDefault="00605E56" w:rsidP="00BE5A8B">
            <w:pPr>
              <w:pStyle w:val="ListParagraph"/>
              <w:ind w:left="0"/>
              <w:jc w:val="center"/>
              <w:rPr>
                <w:iCs/>
                <w:sz w:val="20"/>
                <w:szCs w:val="20"/>
              </w:rPr>
            </w:pPr>
          </w:p>
        </w:tc>
        <w:tc>
          <w:tcPr>
            <w:tcW w:w="1159" w:type="dxa"/>
          </w:tcPr>
          <w:p w14:paraId="26B01F22" w14:textId="77777777" w:rsidR="00605E56" w:rsidRDefault="00605E56" w:rsidP="00BE5A8B">
            <w:pPr>
              <w:pStyle w:val="ListParagraph"/>
              <w:ind w:left="0"/>
              <w:jc w:val="center"/>
              <w:rPr>
                <w:i/>
              </w:rPr>
            </w:pPr>
          </w:p>
        </w:tc>
        <w:tc>
          <w:tcPr>
            <w:tcW w:w="1499" w:type="dxa"/>
          </w:tcPr>
          <w:p w14:paraId="4DA710A0" w14:textId="77777777" w:rsidR="00605E56" w:rsidRDefault="00605E56" w:rsidP="00BE5A8B">
            <w:pPr>
              <w:pStyle w:val="ListParagraph"/>
              <w:ind w:left="0"/>
              <w:jc w:val="center"/>
              <w:rPr>
                <w:i/>
              </w:rPr>
            </w:pPr>
          </w:p>
        </w:tc>
        <w:tc>
          <w:tcPr>
            <w:tcW w:w="936" w:type="dxa"/>
          </w:tcPr>
          <w:p w14:paraId="1D35A996" w14:textId="77777777" w:rsidR="00605E56" w:rsidRDefault="00605E56" w:rsidP="00BE5A8B">
            <w:pPr>
              <w:pStyle w:val="ListParagraph"/>
              <w:ind w:left="0"/>
              <w:jc w:val="center"/>
              <w:rPr>
                <w:i/>
              </w:rPr>
            </w:pPr>
          </w:p>
        </w:tc>
        <w:tc>
          <w:tcPr>
            <w:tcW w:w="5882" w:type="dxa"/>
            <w:gridSpan w:val="4"/>
          </w:tcPr>
          <w:p w14:paraId="2EB7A2B4" w14:textId="77824BA2" w:rsidR="00605E56" w:rsidRDefault="00605E56" w:rsidP="00BE5A8B">
            <w:pPr>
              <w:pStyle w:val="ListParagraph"/>
              <w:ind w:left="0"/>
              <w:jc w:val="center"/>
              <w:rPr>
                <w:i/>
              </w:rPr>
            </w:pPr>
            <w:r>
              <w:rPr>
                <w:i/>
              </w:rPr>
              <w:t>202</w:t>
            </w:r>
            <w:r w:rsidR="00BA5138">
              <w:rPr>
                <w:i/>
              </w:rPr>
              <w:t>2</w:t>
            </w:r>
          </w:p>
        </w:tc>
      </w:tr>
      <w:tr w:rsidR="00605E56" w14:paraId="46812BE2" w14:textId="77777777" w:rsidTr="00BE5A8B">
        <w:tc>
          <w:tcPr>
            <w:tcW w:w="1594" w:type="dxa"/>
          </w:tcPr>
          <w:p w14:paraId="0042E6A3" w14:textId="77777777" w:rsidR="00605E56" w:rsidRPr="00E46A7C" w:rsidRDefault="00605E56" w:rsidP="00BE5A8B">
            <w:pPr>
              <w:pStyle w:val="ListParagraph"/>
              <w:ind w:left="0"/>
              <w:jc w:val="center"/>
              <w:rPr>
                <w:iCs/>
                <w:sz w:val="20"/>
                <w:szCs w:val="20"/>
              </w:rPr>
            </w:pPr>
            <w:r>
              <w:rPr>
                <w:iCs/>
                <w:sz w:val="20"/>
                <w:szCs w:val="20"/>
              </w:rPr>
              <w:t>Country</w:t>
            </w:r>
          </w:p>
        </w:tc>
        <w:tc>
          <w:tcPr>
            <w:tcW w:w="1159" w:type="dxa"/>
          </w:tcPr>
          <w:p w14:paraId="2196A507" w14:textId="77777777" w:rsidR="00605E56" w:rsidRDefault="00605E56" w:rsidP="00BE5A8B">
            <w:pPr>
              <w:pStyle w:val="ListParagraph"/>
              <w:ind w:left="0"/>
              <w:jc w:val="center"/>
              <w:rPr>
                <w:iCs/>
                <w:sz w:val="18"/>
                <w:szCs w:val="18"/>
              </w:rPr>
            </w:pPr>
            <w:r>
              <w:rPr>
                <w:iCs/>
                <w:sz w:val="18"/>
                <w:szCs w:val="18"/>
              </w:rPr>
              <w:t>NAVTEX station name</w:t>
            </w:r>
          </w:p>
        </w:tc>
        <w:tc>
          <w:tcPr>
            <w:tcW w:w="1499" w:type="dxa"/>
          </w:tcPr>
          <w:p w14:paraId="2B45BEA9" w14:textId="77777777" w:rsidR="00605E56" w:rsidRPr="00E46A7C" w:rsidRDefault="00605E56" w:rsidP="00BE5A8B">
            <w:pPr>
              <w:pStyle w:val="ListParagraph"/>
              <w:ind w:left="0"/>
              <w:jc w:val="center"/>
              <w:rPr>
                <w:iCs/>
                <w:sz w:val="18"/>
                <w:szCs w:val="18"/>
              </w:rPr>
            </w:pPr>
            <w:r>
              <w:rPr>
                <w:iCs/>
                <w:sz w:val="18"/>
                <w:szCs w:val="18"/>
              </w:rPr>
              <w:t>B1 Character or Coastal Warning Area</w:t>
            </w:r>
          </w:p>
        </w:tc>
        <w:tc>
          <w:tcPr>
            <w:tcW w:w="936" w:type="dxa"/>
          </w:tcPr>
          <w:p w14:paraId="2DB01557" w14:textId="77777777" w:rsidR="00605E56" w:rsidRDefault="00605E56" w:rsidP="00BE5A8B">
            <w:pPr>
              <w:pStyle w:val="ListParagraph"/>
              <w:ind w:left="0"/>
              <w:jc w:val="center"/>
              <w:rPr>
                <w:iCs/>
                <w:sz w:val="18"/>
                <w:szCs w:val="18"/>
              </w:rPr>
            </w:pPr>
            <w:r>
              <w:rPr>
                <w:iCs/>
                <w:sz w:val="18"/>
                <w:szCs w:val="18"/>
              </w:rPr>
              <w:t>Broadcast schedule times UTC (only for EGC)</w:t>
            </w:r>
          </w:p>
        </w:tc>
        <w:tc>
          <w:tcPr>
            <w:tcW w:w="1022" w:type="dxa"/>
          </w:tcPr>
          <w:p w14:paraId="572F6A12" w14:textId="77777777" w:rsidR="00605E56" w:rsidRPr="00E46A7C" w:rsidRDefault="00605E56" w:rsidP="00BE5A8B">
            <w:pPr>
              <w:pStyle w:val="ListParagraph"/>
              <w:ind w:left="0"/>
              <w:jc w:val="center"/>
              <w:rPr>
                <w:iCs/>
                <w:sz w:val="18"/>
                <w:szCs w:val="18"/>
              </w:rPr>
            </w:pPr>
            <w:r w:rsidRPr="00E46A7C">
              <w:rPr>
                <w:iCs/>
                <w:sz w:val="18"/>
                <w:szCs w:val="18"/>
              </w:rPr>
              <w:t>Total number of warnings broadcast</w:t>
            </w:r>
          </w:p>
        </w:tc>
        <w:tc>
          <w:tcPr>
            <w:tcW w:w="1440" w:type="dxa"/>
          </w:tcPr>
          <w:p w14:paraId="5105089C" w14:textId="77777777" w:rsidR="00605E56" w:rsidRDefault="00605E56" w:rsidP="00BE5A8B">
            <w:pPr>
              <w:pStyle w:val="ListParagraph"/>
              <w:ind w:left="0"/>
              <w:jc w:val="center"/>
              <w:rPr>
                <w:iCs/>
                <w:sz w:val="18"/>
                <w:szCs w:val="18"/>
              </w:rPr>
            </w:pPr>
            <w:r>
              <w:rPr>
                <w:iCs/>
                <w:sz w:val="18"/>
                <w:szCs w:val="18"/>
              </w:rPr>
              <w:t>Number of warnings broadcast with urgent priority (EGC) or vital (NAVTEX)</w:t>
            </w:r>
          </w:p>
        </w:tc>
        <w:tc>
          <w:tcPr>
            <w:tcW w:w="1800" w:type="dxa"/>
          </w:tcPr>
          <w:p w14:paraId="49281ADE" w14:textId="77777777" w:rsidR="00605E56" w:rsidRPr="00E46A7C" w:rsidRDefault="00605E56" w:rsidP="00BE5A8B">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20" w:type="dxa"/>
          </w:tcPr>
          <w:p w14:paraId="229B9A74"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r>
      <w:tr w:rsidR="00605E56" w14:paraId="42212A2A" w14:textId="77777777" w:rsidTr="00BE5A8B">
        <w:tc>
          <w:tcPr>
            <w:tcW w:w="1594" w:type="dxa"/>
          </w:tcPr>
          <w:p w14:paraId="647D4B7A" w14:textId="77777777" w:rsidR="00605E56" w:rsidRPr="00D00F05" w:rsidRDefault="00605E56" w:rsidP="00BE5A8B">
            <w:pPr>
              <w:jc w:val="center"/>
            </w:pPr>
            <w:r w:rsidRPr="00D00F05">
              <w:t>Canada</w:t>
            </w:r>
          </w:p>
        </w:tc>
        <w:tc>
          <w:tcPr>
            <w:tcW w:w="1159" w:type="dxa"/>
          </w:tcPr>
          <w:p w14:paraId="35C56103" w14:textId="77777777" w:rsidR="00605E56" w:rsidRPr="00D00F05" w:rsidRDefault="00605E56" w:rsidP="00BE5A8B">
            <w:pPr>
              <w:jc w:val="center"/>
            </w:pPr>
          </w:p>
        </w:tc>
        <w:tc>
          <w:tcPr>
            <w:tcW w:w="1499" w:type="dxa"/>
          </w:tcPr>
          <w:p w14:paraId="702773D3" w14:textId="77777777" w:rsidR="00605E56" w:rsidRPr="00D00F05" w:rsidRDefault="00605E56" w:rsidP="00BE5A8B">
            <w:pPr>
              <w:jc w:val="center"/>
            </w:pPr>
          </w:p>
        </w:tc>
        <w:tc>
          <w:tcPr>
            <w:tcW w:w="936" w:type="dxa"/>
          </w:tcPr>
          <w:p w14:paraId="34934749" w14:textId="77777777" w:rsidR="00605E56" w:rsidRPr="00D00F05" w:rsidRDefault="00605E56" w:rsidP="00BE5A8B">
            <w:pPr>
              <w:jc w:val="center"/>
            </w:pPr>
          </w:p>
        </w:tc>
        <w:tc>
          <w:tcPr>
            <w:tcW w:w="1022" w:type="dxa"/>
          </w:tcPr>
          <w:p w14:paraId="11228913" w14:textId="77777777" w:rsidR="00605E56" w:rsidRPr="00D00F05" w:rsidRDefault="00605E56" w:rsidP="00BE5A8B">
            <w:pPr>
              <w:jc w:val="center"/>
            </w:pPr>
            <w:r w:rsidRPr="00D00F05">
              <w:t>0</w:t>
            </w:r>
            <w:r w:rsidRPr="00D00F05">
              <w:rPr>
                <w:color w:val="FF0000"/>
              </w:rPr>
              <w:t>**</w:t>
            </w:r>
          </w:p>
        </w:tc>
        <w:tc>
          <w:tcPr>
            <w:tcW w:w="1440" w:type="dxa"/>
          </w:tcPr>
          <w:p w14:paraId="74F1514D" w14:textId="77777777" w:rsidR="00605E56" w:rsidRPr="00D00F05" w:rsidRDefault="00605E56" w:rsidP="00BE5A8B">
            <w:pPr>
              <w:jc w:val="center"/>
            </w:pPr>
            <w:r w:rsidRPr="00D00F05">
              <w:t>0</w:t>
            </w:r>
          </w:p>
        </w:tc>
        <w:tc>
          <w:tcPr>
            <w:tcW w:w="1800" w:type="dxa"/>
          </w:tcPr>
          <w:p w14:paraId="68C8E80A" w14:textId="77777777" w:rsidR="00605E56" w:rsidRPr="00D00F05" w:rsidRDefault="00605E56" w:rsidP="00BE5A8B">
            <w:pPr>
              <w:jc w:val="center"/>
            </w:pPr>
            <w:r w:rsidRPr="00D00F05">
              <w:t>0</w:t>
            </w:r>
          </w:p>
        </w:tc>
        <w:tc>
          <w:tcPr>
            <w:tcW w:w="1620" w:type="dxa"/>
          </w:tcPr>
          <w:p w14:paraId="7E7AA537" w14:textId="77777777" w:rsidR="00605E56" w:rsidRPr="00D00F05" w:rsidRDefault="00605E56" w:rsidP="00BE5A8B">
            <w:pPr>
              <w:jc w:val="center"/>
            </w:pPr>
            <w:r w:rsidRPr="00D00F05">
              <w:t>0</w:t>
            </w:r>
          </w:p>
        </w:tc>
      </w:tr>
    </w:tbl>
    <w:p w14:paraId="2A43F782" w14:textId="155B6EE0" w:rsidR="00250A3D" w:rsidRDefault="00250A3D" w:rsidP="00250A3D"/>
    <w:tbl>
      <w:tblPr>
        <w:tblStyle w:val="TableGrid"/>
        <w:tblpPr w:leftFromText="180" w:rightFromText="180" w:vertAnchor="text" w:horzAnchor="margin" w:tblpXSpec="center" w:tblpY="281"/>
        <w:tblW w:w="11065" w:type="dxa"/>
        <w:tblLook w:val="04A0" w:firstRow="1" w:lastRow="0" w:firstColumn="1" w:lastColumn="0" w:noHBand="0" w:noVBand="1"/>
      </w:tblPr>
      <w:tblGrid>
        <w:gridCol w:w="1594"/>
        <w:gridCol w:w="1159"/>
        <w:gridCol w:w="1499"/>
        <w:gridCol w:w="936"/>
        <w:gridCol w:w="1022"/>
        <w:gridCol w:w="1350"/>
        <w:gridCol w:w="1890"/>
        <w:gridCol w:w="1615"/>
      </w:tblGrid>
      <w:tr w:rsidR="00605E56" w14:paraId="667F010A" w14:textId="77777777" w:rsidTr="00BE5A8B">
        <w:tc>
          <w:tcPr>
            <w:tcW w:w="1594" w:type="dxa"/>
          </w:tcPr>
          <w:p w14:paraId="63C5E6FA" w14:textId="77777777" w:rsidR="00605E56" w:rsidRPr="006709C0" w:rsidRDefault="00605E56" w:rsidP="00BE5A8B">
            <w:pPr>
              <w:pStyle w:val="ListParagraph"/>
              <w:ind w:left="0"/>
              <w:jc w:val="center"/>
              <w:rPr>
                <w:iCs/>
                <w:sz w:val="20"/>
                <w:szCs w:val="20"/>
              </w:rPr>
            </w:pPr>
          </w:p>
        </w:tc>
        <w:tc>
          <w:tcPr>
            <w:tcW w:w="1159" w:type="dxa"/>
          </w:tcPr>
          <w:p w14:paraId="3A3AF30A" w14:textId="77777777" w:rsidR="00605E56" w:rsidRDefault="00605E56" w:rsidP="00BE5A8B">
            <w:pPr>
              <w:pStyle w:val="ListParagraph"/>
              <w:ind w:left="0"/>
              <w:jc w:val="center"/>
              <w:rPr>
                <w:i/>
              </w:rPr>
            </w:pPr>
          </w:p>
        </w:tc>
        <w:tc>
          <w:tcPr>
            <w:tcW w:w="1499" w:type="dxa"/>
          </w:tcPr>
          <w:p w14:paraId="028AA7E5" w14:textId="77777777" w:rsidR="00605E56" w:rsidRDefault="00605E56" w:rsidP="00BE5A8B">
            <w:pPr>
              <w:pStyle w:val="ListParagraph"/>
              <w:ind w:left="0"/>
              <w:jc w:val="center"/>
              <w:rPr>
                <w:i/>
              </w:rPr>
            </w:pPr>
          </w:p>
        </w:tc>
        <w:tc>
          <w:tcPr>
            <w:tcW w:w="936" w:type="dxa"/>
          </w:tcPr>
          <w:p w14:paraId="1C57A6D4" w14:textId="77777777" w:rsidR="00605E56" w:rsidRDefault="00605E56" w:rsidP="00BE5A8B">
            <w:pPr>
              <w:pStyle w:val="ListParagraph"/>
              <w:ind w:left="0"/>
              <w:jc w:val="center"/>
              <w:rPr>
                <w:i/>
              </w:rPr>
            </w:pPr>
          </w:p>
        </w:tc>
        <w:tc>
          <w:tcPr>
            <w:tcW w:w="5877" w:type="dxa"/>
            <w:gridSpan w:val="4"/>
          </w:tcPr>
          <w:p w14:paraId="69A7D40E" w14:textId="7CDAECBA" w:rsidR="00605E56" w:rsidRDefault="00605E56" w:rsidP="00BE5A8B">
            <w:pPr>
              <w:pStyle w:val="ListParagraph"/>
              <w:ind w:left="0"/>
              <w:jc w:val="center"/>
              <w:rPr>
                <w:i/>
              </w:rPr>
            </w:pPr>
            <w:r>
              <w:rPr>
                <w:i/>
              </w:rPr>
              <w:t>202</w:t>
            </w:r>
            <w:r w:rsidR="00BA5138">
              <w:rPr>
                <w:i/>
              </w:rPr>
              <w:t>3</w:t>
            </w:r>
          </w:p>
        </w:tc>
      </w:tr>
      <w:tr w:rsidR="00605E56" w14:paraId="1BDDC2DC" w14:textId="77777777" w:rsidTr="00BE5A8B">
        <w:tc>
          <w:tcPr>
            <w:tcW w:w="1594" w:type="dxa"/>
          </w:tcPr>
          <w:p w14:paraId="3157C250" w14:textId="77777777" w:rsidR="00605E56" w:rsidRPr="00E46A7C" w:rsidRDefault="00605E56" w:rsidP="00BE5A8B">
            <w:pPr>
              <w:pStyle w:val="ListParagraph"/>
              <w:ind w:left="0"/>
              <w:jc w:val="center"/>
              <w:rPr>
                <w:iCs/>
                <w:sz w:val="20"/>
                <w:szCs w:val="20"/>
              </w:rPr>
            </w:pPr>
            <w:r>
              <w:rPr>
                <w:iCs/>
                <w:sz w:val="20"/>
                <w:szCs w:val="20"/>
              </w:rPr>
              <w:t>Country</w:t>
            </w:r>
          </w:p>
        </w:tc>
        <w:tc>
          <w:tcPr>
            <w:tcW w:w="1159" w:type="dxa"/>
          </w:tcPr>
          <w:p w14:paraId="0EC63D33" w14:textId="77777777" w:rsidR="00605E56" w:rsidRDefault="00605E56" w:rsidP="00BE5A8B">
            <w:pPr>
              <w:pStyle w:val="ListParagraph"/>
              <w:ind w:left="0"/>
              <w:jc w:val="center"/>
              <w:rPr>
                <w:iCs/>
                <w:sz w:val="18"/>
                <w:szCs w:val="18"/>
              </w:rPr>
            </w:pPr>
            <w:r>
              <w:rPr>
                <w:iCs/>
                <w:sz w:val="18"/>
                <w:szCs w:val="18"/>
              </w:rPr>
              <w:t>NAVTEX station name</w:t>
            </w:r>
          </w:p>
        </w:tc>
        <w:tc>
          <w:tcPr>
            <w:tcW w:w="1499" w:type="dxa"/>
          </w:tcPr>
          <w:p w14:paraId="6626819A" w14:textId="77777777" w:rsidR="00605E56" w:rsidRPr="00E46A7C" w:rsidRDefault="00605E56" w:rsidP="00BE5A8B">
            <w:pPr>
              <w:pStyle w:val="ListParagraph"/>
              <w:ind w:left="0"/>
              <w:jc w:val="center"/>
              <w:rPr>
                <w:iCs/>
                <w:sz w:val="18"/>
                <w:szCs w:val="18"/>
              </w:rPr>
            </w:pPr>
            <w:r>
              <w:rPr>
                <w:iCs/>
                <w:sz w:val="18"/>
                <w:szCs w:val="18"/>
              </w:rPr>
              <w:t>B1 Character or Coastal Warning Area</w:t>
            </w:r>
          </w:p>
        </w:tc>
        <w:tc>
          <w:tcPr>
            <w:tcW w:w="936" w:type="dxa"/>
          </w:tcPr>
          <w:p w14:paraId="6E46D3FF" w14:textId="77777777" w:rsidR="00605E56" w:rsidRDefault="00605E56" w:rsidP="00BE5A8B">
            <w:pPr>
              <w:pStyle w:val="ListParagraph"/>
              <w:ind w:left="0"/>
              <w:jc w:val="center"/>
              <w:rPr>
                <w:iCs/>
                <w:sz w:val="18"/>
                <w:szCs w:val="18"/>
              </w:rPr>
            </w:pPr>
            <w:r>
              <w:rPr>
                <w:iCs/>
                <w:sz w:val="18"/>
                <w:szCs w:val="18"/>
              </w:rPr>
              <w:t>Broadcast schedule times (UTC)</w:t>
            </w:r>
          </w:p>
        </w:tc>
        <w:tc>
          <w:tcPr>
            <w:tcW w:w="1022" w:type="dxa"/>
          </w:tcPr>
          <w:p w14:paraId="2E3FE2C9" w14:textId="77777777" w:rsidR="00605E56" w:rsidRPr="00E46A7C" w:rsidRDefault="00605E56" w:rsidP="00BE5A8B">
            <w:pPr>
              <w:pStyle w:val="ListParagraph"/>
              <w:ind w:left="0"/>
              <w:jc w:val="center"/>
              <w:rPr>
                <w:iCs/>
                <w:sz w:val="18"/>
                <w:szCs w:val="18"/>
              </w:rPr>
            </w:pPr>
            <w:r w:rsidRPr="00E46A7C">
              <w:rPr>
                <w:iCs/>
                <w:sz w:val="18"/>
                <w:szCs w:val="18"/>
              </w:rPr>
              <w:t>Total number of warnings broadcast</w:t>
            </w:r>
          </w:p>
        </w:tc>
        <w:tc>
          <w:tcPr>
            <w:tcW w:w="1350" w:type="dxa"/>
          </w:tcPr>
          <w:p w14:paraId="63EC0A51" w14:textId="77777777" w:rsidR="00605E56" w:rsidRDefault="00605E56" w:rsidP="00BE5A8B">
            <w:pPr>
              <w:pStyle w:val="ListParagraph"/>
              <w:ind w:left="0"/>
              <w:jc w:val="center"/>
              <w:rPr>
                <w:iCs/>
                <w:sz w:val="18"/>
                <w:szCs w:val="18"/>
              </w:rPr>
            </w:pPr>
            <w:r>
              <w:rPr>
                <w:iCs/>
                <w:sz w:val="18"/>
                <w:szCs w:val="18"/>
              </w:rPr>
              <w:t>Number of warnings broadcast with urgent priority (EGC) or vital (NAVTEX)</w:t>
            </w:r>
          </w:p>
        </w:tc>
        <w:tc>
          <w:tcPr>
            <w:tcW w:w="1890" w:type="dxa"/>
          </w:tcPr>
          <w:p w14:paraId="7154A256" w14:textId="77777777" w:rsidR="00605E56" w:rsidRPr="00E46A7C" w:rsidRDefault="00605E56" w:rsidP="00BE5A8B">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15" w:type="dxa"/>
          </w:tcPr>
          <w:p w14:paraId="56E4A012"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r>
      <w:tr w:rsidR="00605E56" w14:paraId="3733B6AA" w14:textId="77777777" w:rsidTr="00BE5A8B">
        <w:tc>
          <w:tcPr>
            <w:tcW w:w="1594" w:type="dxa"/>
          </w:tcPr>
          <w:p w14:paraId="2589301D" w14:textId="77777777" w:rsidR="00605E56" w:rsidRPr="00D00F05" w:rsidRDefault="00605E56" w:rsidP="00BE5A8B">
            <w:pPr>
              <w:jc w:val="center"/>
            </w:pPr>
            <w:r w:rsidRPr="00D00F05">
              <w:t>Canada</w:t>
            </w:r>
          </w:p>
        </w:tc>
        <w:tc>
          <w:tcPr>
            <w:tcW w:w="1159" w:type="dxa"/>
          </w:tcPr>
          <w:p w14:paraId="1B07993C" w14:textId="77777777" w:rsidR="00605E56" w:rsidRPr="00D00F05" w:rsidRDefault="00605E56" w:rsidP="00BE5A8B">
            <w:pPr>
              <w:jc w:val="center"/>
            </w:pPr>
          </w:p>
        </w:tc>
        <w:tc>
          <w:tcPr>
            <w:tcW w:w="1499" w:type="dxa"/>
          </w:tcPr>
          <w:p w14:paraId="0D8E5E54" w14:textId="77777777" w:rsidR="00605E56" w:rsidRPr="00D00F05" w:rsidRDefault="00605E56" w:rsidP="00BE5A8B">
            <w:pPr>
              <w:jc w:val="center"/>
            </w:pPr>
          </w:p>
        </w:tc>
        <w:tc>
          <w:tcPr>
            <w:tcW w:w="936" w:type="dxa"/>
          </w:tcPr>
          <w:p w14:paraId="29C57397" w14:textId="77777777" w:rsidR="00605E56" w:rsidRPr="00D00F05" w:rsidRDefault="00605E56" w:rsidP="00BE5A8B">
            <w:pPr>
              <w:jc w:val="center"/>
            </w:pPr>
          </w:p>
        </w:tc>
        <w:tc>
          <w:tcPr>
            <w:tcW w:w="1022" w:type="dxa"/>
          </w:tcPr>
          <w:p w14:paraId="16F02EBE" w14:textId="77777777" w:rsidR="00605E56" w:rsidRPr="00D00F05" w:rsidRDefault="00605E56" w:rsidP="00BE5A8B">
            <w:pPr>
              <w:jc w:val="center"/>
            </w:pPr>
            <w:r w:rsidRPr="00D00F05">
              <w:t>0</w:t>
            </w:r>
            <w:r w:rsidRPr="00D00F05">
              <w:rPr>
                <w:b/>
                <w:color w:val="FF0000"/>
              </w:rPr>
              <w:t>**</w:t>
            </w:r>
          </w:p>
        </w:tc>
        <w:tc>
          <w:tcPr>
            <w:tcW w:w="1350" w:type="dxa"/>
          </w:tcPr>
          <w:p w14:paraId="173DDC0F" w14:textId="77777777" w:rsidR="00605E56" w:rsidRPr="00D00F05" w:rsidRDefault="00605E56" w:rsidP="00BE5A8B">
            <w:pPr>
              <w:jc w:val="center"/>
            </w:pPr>
            <w:r w:rsidRPr="00D00F05">
              <w:t>0</w:t>
            </w:r>
          </w:p>
        </w:tc>
        <w:tc>
          <w:tcPr>
            <w:tcW w:w="1890" w:type="dxa"/>
          </w:tcPr>
          <w:p w14:paraId="3B2FE54B" w14:textId="77777777" w:rsidR="00605E56" w:rsidRPr="00D00F05" w:rsidRDefault="00605E56" w:rsidP="00BE5A8B">
            <w:pPr>
              <w:jc w:val="center"/>
            </w:pPr>
            <w:r w:rsidRPr="00D00F05">
              <w:t>0</w:t>
            </w:r>
          </w:p>
        </w:tc>
        <w:tc>
          <w:tcPr>
            <w:tcW w:w="1615" w:type="dxa"/>
          </w:tcPr>
          <w:p w14:paraId="377C50C7" w14:textId="77777777" w:rsidR="00605E56" w:rsidRPr="00D00F05" w:rsidRDefault="00605E56" w:rsidP="00BE5A8B">
            <w:pPr>
              <w:jc w:val="center"/>
            </w:pPr>
            <w:r w:rsidRPr="00D00F05">
              <w:t>0</w:t>
            </w:r>
          </w:p>
        </w:tc>
      </w:tr>
    </w:tbl>
    <w:p w14:paraId="76C6DCA6" w14:textId="2EDA965A" w:rsidR="00904FF3" w:rsidRDefault="00904FF3" w:rsidP="00250A3D"/>
    <w:p w14:paraId="2036AFB8" w14:textId="402D1985" w:rsidR="002E1E2F" w:rsidRDefault="002E1E2F" w:rsidP="00250A3D"/>
    <w:p w14:paraId="16277306" w14:textId="77777777" w:rsidR="00605E56" w:rsidRDefault="00605E56" w:rsidP="00605E56">
      <w:pPr>
        <w:ind w:left="720"/>
      </w:pPr>
      <w:r w:rsidRPr="00D00F05">
        <w:rPr>
          <w:color w:val="FF0000"/>
        </w:rPr>
        <w:t xml:space="preserve">** </w:t>
      </w:r>
      <w:r>
        <w:t>Canada’s NAVAREA XVII/XVIII does not normally use the urgency priority for navigational warnings.</w:t>
      </w:r>
    </w:p>
    <w:p w14:paraId="1D38DAC3" w14:textId="292D1D58" w:rsidR="00932919" w:rsidRDefault="00932919" w:rsidP="00250A3D"/>
    <w:p w14:paraId="2F3B64F0" w14:textId="413FAFFF" w:rsidR="00AD0970" w:rsidRPr="00605E56" w:rsidRDefault="006709C0" w:rsidP="00BA1BAE">
      <w:pPr>
        <w:pStyle w:val="ListParagraph"/>
        <w:numPr>
          <w:ilvl w:val="1"/>
          <w:numId w:val="2"/>
        </w:numPr>
        <w:rPr>
          <w:i/>
        </w:rPr>
      </w:pPr>
      <w:r>
        <w:rPr>
          <w:iCs/>
        </w:rPr>
        <w:t>NAVAREA Warnings</w:t>
      </w:r>
      <w:r w:rsidR="00C979F9" w:rsidRPr="00BA1BAE">
        <w:rPr>
          <w:iCs/>
        </w:rPr>
        <w:t xml:space="preserve"> broadcast</w:t>
      </w:r>
      <w:r w:rsidR="0053334E" w:rsidRPr="00BA1BAE">
        <w:rPr>
          <w:iCs/>
        </w:rPr>
        <w:t>s</w:t>
      </w:r>
      <w:r w:rsidR="000342C8" w:rsidRPr="00BA1BAE">
        <w:rPr>
          <w:iCs/>
        </w:rPr>
        <w:t>:</w:t>
      </w:r>
      <w:r w:rsidR="002E1E2F" w:rsidRPr="00BA1BAE">
        <w:rPr>
          <w:iCs/>
        </w:rPr>
        <w:t xml:space="preserve"> </w:t>
      </w:r>
      <w:r w:rsidR="000342C8" w:rsidRPr="00BA1BAE">
        <w:rPr>
          <w:iCs/>
        </w:rPr>
        <w:br/>
      </w:r>
    </w:p>
    <w:p w14:paraId="0405D93B" w14:textId="31EC8E25" w:rsidR="00605E56" w:rsidRPr="00605E56" w:rsidRDefault="00605E56" w:rsidP="00605E56">
      <w:pPr>
        <w:rPr>
          <w:b/>
          <w:bCs/>
          <w:iCs/>
        </w:rPr>
      </w:pPr>
      <w:r w:rsidRPr="00605E56">
        <w:rPr>
          <w:b/>
          <w:bCs/>
          <w:iCs/>
        </w:rPr>
        <w:t>NAVAREA XVII</w:t>
      </w:r>
    </w:p>
    <w:tbl>
      <w:tblPr>
        <w:tblStyle w:val="TableGrid"/>
        <w:tblW w:w="10061" w:type="dxa"/>
        <w:tblInd w:w="-710" w:type="dxa"/>
        <w:tblLook w:val="04A0" w:firstRow="1" w:lastRow="0" w:firstColumn="1" w:lastColumn="0" w:noHBand="0" w:noVBand="1"/>
      </w:tblPr>
      <w:tblGrid>
        <w:gridCol w:w="1256"/>
        <w:gridCol w:w="883"/>
        <w:gridCol w:w="995"/>
        <w:gridCol w:w="986"/>
        <w:gridCol w:w="906"/>
        <w:gridCol w:w="995"/>
        <w:gridCol w:w="986"/>
        <w:gridCol w:w="991"/>
        <w:gridCol w:w="995"/>
        <w:gridCol w:w="1068"/>
      </w:tblGrid>
      <w:tr w:rsidR="00605E56" w14:paraId="62E3A549" w14:textId="77777777" w:rsidTr="00BE5A8B">
        <w:tc>
          <w:tcPr>
            <w:tcW w:w="1256" w:type="dxa"/>
          </w:tcPr>
          <w:p w14:paraId="4619D83E" w14:textId="77777777" w:rsidR="00605E56" w:rsidRPr="006709C0" w:rsidRDefault="00605E56" w:rsidP="00BE5A8B">
            <w:pPr>
              <w:pStyle w:val="ListParagraph"/>
              <w:ind w:left="0"/>
              <w:jc w:val="center"/>
              <w:rPr>
                <w:iCs/>
                <w:sz w:val="20"/>
                <w:szCs w:val="20"/>
              </w:rPr>
            </w:pPr>
          </w:p>
        </w:tc>
        <w:tc>
          <w:tcPr>
            <w:tcW w:w="2864" w:type="dxa"/>
            <w:gridSpan w:val="3"/>
          </w:tcPr>
          <w:p w14:paraId="6889A3B4" w14:textId="4E609D4D" w:rsidR="00605E56" w:rsidRDefault="00605E56" w:rsidP="00BE5A8B">
            <w:pPr>
              <w:pStyle w:val="ListParagraph"/>
              <w:ind w:left="0"/>
              <w:jc w:val="center"/>
              <w:rPr>
                <w:i/>
              </w:rPr>
            </w:pPr>
            <w:r>
              <w:rPr>
                <w:i/>
              </w:rPr>
              <w:t>2021</w:t>
            </w:r>
          </w:p>
        </w:tc>
        <w:tc>
          <w:tcPr>
            <w:tcW w:w="2887" w:type="dxa"/>
            <w:gridSpan w:val="3"/>
          </w:tcPr>
          <w:p w14:paraId="035A20C9" w14:textId="12A6776D" w:rsidR="00605E56" w:rsidRDefault="00605E56" w:rsidP="00BE5A8B">
            <w:pPr>
              <w:pStyle w:val="ListParagraph"/>
              <w:ind w:left="0"/>
              <w:jc w:val="center"/>
              <w:rPr>
                <w:i/>
              </w:rPr>
            </w:pPr>
            <w:r>
              <w:rPr>
                <w:i/>
              </w:rPr>
              <w:t>2022</w:t>
            </w:r>
          </w:p>
        </w:tc>
        <w:tc>
          <w:tcPr>
            <w:tcW w:w="3054" w:type="dxa"/>
            <w:gridSpan w:val="3"/>
          </w:tcPr>
          <w:p w14:paraId="33A8842E" w14:textId="727D5DF6" w:rsidR="00605E56" w:rsidRDefault="00605E56" w:rsidP="00BE5A8B">
            <w:pPr>
              <w:pStyle w:val="ListParagraph"/>
              <w:ind w:left="0"/>
              <w:jc w:val="center"/>
              <w:rPr>
                <w:i/>
              </w:rPr>
            </w:pPr>
            <w:r>
              <w:rPr>
                <w:i/>
              </w:rPr>
              <w:t>2023</w:t>
            </w:r>
          </w:p>
        </w:tc>
      </w:tr>
      <w:tr w:rsidR="00605E56" w14:paraId="1453CF93" w14:textId="77777777" w:rsidTr="00BE5A8B">
        <w:tc>
          <w:tcPr>
            <w:tcW w:w="1256" w:type="dxa"/>
          </w:tcPr>
          <w:p w14:paraId="5248D3C9" w14:textId="77777777" w:rsidR="00605E56" w:rsidRPr="00E46A7C" w:rsidRDefault="00605E56" w:rsidP="00BE5A8B">
            <w:pPr>
              <w:pStyle w:val="ListParagraph"/>
              <w:ind w:left="0"/>
              <w:jc w:val="center"/>
              <w:rPr>
                <w:iCs/>
                <w:sz w:val="20"/>
                <w:szCs w:val="20"/>
              </w:rPr>
            </w:pPr>
            <w:r w:rsidRPr="00E46A7C">
              <w:rPr>
                <w:iCs/>
                <w:sz w:val="20"/>
                <w:szCs w:val="20"/>
              </w:rPr>
              <w:t>Provider</w:t>
            </w:r>
          </w:p>
        </w:tc>
        <w:tc>
          <w:tcPr>
            <w:tcW w:w="883" w:type="dxa"/>
          </w:tcPr>
          <w:p w14:paraId="4EF19FEF" w14:textId="77777777" w:rsidR="00605E56" w:rsidRPr="00E46A7C" w:rsidRDefault="00605E56" w:rsidP="00BE5A8B">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5" w:type="dxa"/>
          </w:tcPr>
          <w:p w14:paraId="26916C77" w14:textId="77777777" w:rsidR="00605E56" w:rsidRPr="00E46A7C" w:rsidRDefault="00605E56" w:rsidP="00BE5A8B">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3FAE680"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3B698B1A" w14:textId="77777777" w:rsidR="00605E56" w:rsidRPr="00E46A7C" w:rsidRDefault="00605E56" w:rsidP="00BE5A8B">
            <w:pPr>
              <w:pStyle w:val="ListParagraph"/>
              <w:ind w:left="0"/>
              <w:jc w:val="center"/>
              <w:rPr>
                <w:i/>
                <w:sz w:val="18"/>
                <w:szCs w:val="18"/>
              </w:rPr>
            </w:pPr>
            <w:r w:rsidRPr="00E46A7C">
              <w:rPr>
                <w:iCs/>
                <w:sz w:val="18"/>
                <w:szCs w:val="18"/>
              </w:rPr>
              <w:t>Total number of warnings broadcast</w:t>
            </w:r>
          </w:p>
        </w:tc>
        <w:tc>
          <w:tcPr>
            <w:tcW w:w="995" w:type="dxa"/>
          </w:tcPr>
          <w:p w14:paraId="5B0A2CAD" w14:textId="77777777" w:rsidR="00605E56" w:rsidRPr="00E46A7C" w:rsidRDefault="00605E56" w:rsidP="00BE5A8B">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060C696"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c>
          <w:tcPr>
            <w:tcW w:w="991" w:type="dxa"/>
          </w:tcPr>
          <w:p w14:paraId="0BAF24E3" w14:textId="77777777" w:rsidR="00605E56" w:rsidRPr="00E46A7C" w:rsidRDefault="00605E56" w:rsidP="00BE5A8B">
            <w:pPr>
              <w:pStyle w:val="ListParagraph"/>
              <w:ind w:left="0"/>
              <w:jc w:val="center"/>
              <w:rPr>
                <w:i/>
                <w:sz w:val="18"/>
                <w:szCs w:val="18"/>
              </w:rPr>
            </w:pPr>
            <w:r w:rsidRPr="00E46A7C">
              <w:rPr>
                <w:iCs/>
                <w:sz w:val="18"/>
                <w:szCs w:val="18"/>
              </w:rPr>
              <w:t>Total number of warnings broadcast</w:t>
            </w:r>
          </w:p>
        </w:tc>
        <w:tc>
          <w:tcPr>
            <w:tcW w:w="995" w:type="dxa"/>
          </w:tcPr>
          <w:p w14:paraId="5926DB60" w14:textId="77777777" w:rsidR="00605E56" w:rsidRPr="00E46A7C" w:rsidRDefault="00605E56" w:rsidP="00BE5A8B">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68" w:type="dxa"/>
          </w:tcPr>
          <w:p w14:paraId="42BAD395"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r>
      <w:tr w:rsidR="00605E56" w14:paraId="1C04E5C3" w14:textId="77777777" w:rsidTr="00BE5A8B">
        <w:tc>
          <w:tcPr>
            <w:tcW w:w="1256" w:type="dxa"/>
          </w:tcPr>
          <w:p w14:paraId="6E4F0913" w14:textId="77777777" w:rsidR="00605E56" w:rsidRPr="00B01084" w:rsidRDefault="00605E56" w:rsidP="00BE5A8B">
            <w:pPr>
              <w:pStyle w:val="ListParagraph"/>
              <w:ind w:left="0"/>
            </w:pPr>
            <w:r w:rsidRPr="00B01084">
              <w:t xml:space="preserve">SafetyNet </w:t>
            </w:r>
          </w:p>
        </w:tc>
        <w:tc>
          <w:tcPr>
            <w:tcW w:w="883" w:type="dxa"/>
          </w:tcPr>
          <w:p w14:paraId="691C1376" w14:textId="50D3BF64" w:rsidR="00605E56" w:rsidRPr="00B01084" w:rsidRDefault="00605E56" w:rsidP="00BE5A8B">
            <w:pPr>
              <w:pStyle w:val="ListParagraph"/>
              <w:ind w:left="0"/>
              <w:jc w:val="center"/>
            </w:pPr>
            <w:r>
              <w:t>148</w:t>
            </w:r>
          </w:p>
        </w:tc>
        <w:tc>
          <w:tcPr>
            <w:tcW w:w="995" w:type="dxa"/>
          </w:tcPr>
          <w:p w14:paraId="752395EB" w14:textId="77777777" w:rsidR="00605E56" w:rsidRPr="00B01084" w:rsidRDefault="00605E56" w:rsidP="00BE5A8B">
            <w:pPr>
              <w:pStyle w:val="ListParagraph"/>
              <w:ind w:left="0"/>
              <w:jc w:val="center"/>
            </w:pPr>
            <w:r>
              <w:t>-</w:t>
            </w:r>
          </w:p>
        </w:tc>
        <w:tc>
          <w:tcPr>
            <w:tcW w:w="986" w:type="dxa"/>
          </w:tcPr>
          <w:p w14:paraId="713B4278" w14:textId="77777777" w:rsidR="00605E56" w:rsidRPr="00B01084" w:rsidRDefault="00605E56" w:rsidP="00BE5A8B">
            <w:pPr>
              <w:pStyle w:val="ListParagraph"/>
              <w:ind w:left="0"/>
              <w:jc w:val="center"/>
            </w:pPr>
            <w:r>
              <w:t>-</w:t>
            </w:r>
          </w:p>
        </w:tc>
        <w:tc>
          <w:tcPr>
            <w:tcW w:w="906" w:type="dxa"/>
          </w:tcPr>
          <w:p w14:paraId="0971D73B" w14:textId="60BBBC54" w:rsidR="00605E56" w:rsidRPr="00B01084" w:rsidRDefault="00297443" w:rsidP="00BE5A8B">
            <w:pPr>
              <w:pStyle w:val="ListParagraph"/>
              <w:ind w:left="0"/>
              <w:jc w:val="center"/>
            </w:pPr>
            <w:r>
              <w:t>119</w:t>
            </w:r>
          </w:p>
        </w:tc>
        <w:tc>
          <w:tcPr>
            <w:tcW w:w="995" w:type="dxa"/>
          </w:tcPr>
          <w:p w14:paraId="6F5A999E" w14:textId="1EBA79C6" w:rsidR="00605E56" w:rsidRPr="00B01084" w:rsidRDefault="00875436" w:rsidP="00BE5A8B">
            <w:pPr>
              <w:pStyle w:val="ListParagraph"/>
              <w:ind w:left="0"/>
              <w:jc w:val="center"/>
            </w:pPr>
            <w:r>
              <w:t>-</w:t>
            </w:r>
          </w:p>
        </w:tc>
        <w:tc>
          <w:tcPr>
            <w:tcW w:w="986" w:type="dxa"/>
          </w:tcPr>
          <w:p w14:paraId="01C44288" w14:textId="18C4DA2F" w:rsidR="00605E56" w:rsidRPr="00B01084" w:rsidRDefault="00875436" w:rsidP="00BE5A8B">
            <w:pPr>
              <w:pStyle w:val="ListParagraph"/>
              <w:ind w:left="0"/>
              <w:jc w:val="center"/>
            </w:pPr>
            <w:r>
              <w:t>0.</w:t>
            </w:r>
            <w:r w:rsidR="00250536">
              <w:t>195</w:t>
            </w:r>
          </w:p>
        </w:tc>
        <w:tc>
          <w:tcPr>
            <w:tcW w:w="991" w:type="dxa"/>
          </w:tcPr>
          <w:p w14:paraId="6138FFE5" w14:textId="2FEFFAE0" w:rsidR="00605E56" w:rsidRPr="00B01084" w:rsidRDefault="00297443" w:rsidP="00BE5A8B">
            <w:pPr>
              <w:pStyle w:val="ListParagraph"/>
              <w:ind w:left="0"/>
              <w:jc w:val="center"/>
            </w:pPr>
            <w:r>
              <w:t xml:space="preserve">35 </w:t>
            </w:r>
          </w:p>
        </w:tc>
        <w:tc>
          <w:tcPr>
            <w:tcW w:w="995" w:type="dxa"/>
          </w:tcPr>
          <w:p w14:paraId="62BDDFA4" w14:textId="77777777" w:rsidR="00605E56" w:rsidRPr="00B01084" w:rsidRDefault="00605E56" w:rsidP="00BE5A8B">
            <w:pPr>
              <w:pStyle w:val="ListParagraph"/>
              <w:ind w:left="0"/>
              <w:jc w:val="center"/>
            </w:pPr>
            <w:r>
              <w:t>-</w:t>
            </w:r>
          </w:p>
        </w:tc>
        <w:tc>
          <w:tcPr>
            <w:tcW w:w="1068" w:type="dxa"/>
          </w:tcPr>
          <w:p w14:paraId="29397331" w14:textId="77777777" w:rsidR="00605E56" w:rsidRPr="00B01084" w:rsidRDefault="00605E56" w:rsidP="00BE5A8B">
            <w:pPr>
              <w:pStyle w:val="ListParagraph"/>
              <w:ind w:left="0"/>
              <w:jc w:val="center"/>
            </w:pPr>
            <w:r>
              <w:t>-</w:t>
            </w:r>
          </w:p>
        </w:tc>
      </w:tr>
      <w:tr w:rsidR="00605E56" w14:paraId="6ED6027E" w14:textId="77777777" w:rsidTr="00BE5A8B">
        <w:tc>
          <w:tcPr>
            <w:tcW w:w="1256" w:type="dxa"/>
          </w:tcPr>
          <w:p w14:paraId="02EF1DD8" w14:textId="77777777" w:rsidR="00605E56" w:rsidRPr="00B01084" w:rsidRDefault="00605E56" w:rsidP="00BE5A8B">
            <w:pPr>
              <w:pStyle w:val="ListParagraph"/>
              <w:ind w:left="0"/>
            </w:pPr>
            <w:proofErr w:type="spellStart"/>
            <w:r w:rsidRPr="00B01084">
              <w:t>SafetyCast</w:t>
            </w:r>
            <w:proofErr w:type="spellEnd"/>
          </w:p>
        </w:tc>
        <w:tc>
          <w:tcPr>
            <w:tcW w:w="883" w:type="dxa"/>
          </w:tcPr>
          <w:p w14:paraId="2A589D32" w14:textId="60A37927" w:rsidR="00605E56" w:rsidRPr="00B01084" w:rsidRDefault="00605E56" w:rsidP="00BE5A8B">
            <w:pPr>
              <w:pStyle w:val="ListParagraph"/>
              <w:ind w:left="0"/>
              <w:jc w:val="center"/>
            </w:pPr>
            <w:r>
              <w:t>148</w:t>
            </w:r>
          </w:p>
        </w:tc>
        <w:tc>
          <w:tcPr>
            <w:tcW w:w="995" w:type="dxa"/>
          </w:tcPr>
          <w:p w14:paraId="249343B6" w14:textId="77777777" w:rsidR="00605E56" w:rsidRPr="00B01084" w:rsidRDefault="00605E56" w:rsidP="00BE5A8B">
            <w:pPr>
              <w:pStyle w:val="ListParagraph"/>
              <w:ind w:left="0"/>
              <w:jc w:val="center"/>
            </w:pPr>
            <w:r>
              <w:t>-</w:t>
            </w:r>
          </w:p>
        </w:tc>
        <w:tc>
          <w:tcPr>
            <w:tcW w:w="986" w:type="dxa"/>
          </w:tcPr>
          <w:p w14:paraId="40995E9B" w14:textId="77777777" w:rsidR="00605E56" w:rsidRPr="00B01084" w:rsidRDefault="00605E56" w:rsidP="00BE5A8B">
            <w:pPr>
              <w:pStyle w:val="ListParagraph"/>
              <w:ind w:left="0"/>
              <w:jc w:val="center"/>
            </w:pPr>
            <w:r>
              <w:t>-</w:t>
            </w:r>
          </w:p>
        </w:tc>
        <w:tc>
          <w:tcPr>
            <w:tcW w:w="906" w:type="dxa"/>
          </w:tcPr>
          <w:p w14:paraId="56CF30B5" w14:textId="78DEF098" w:rsidR="00605E56" w:rsidRPr="00B01084" w:rsidRDefault="00297443" w:rsidP="00BE5A8B">
            <w:pPr>
              <w:pStyle w:val="ListParagraph"/>
              <w:ind w:left="0"/>
              <w:jc w:val="center"/>
            </w:pPr>
            <w:r>
              <w:t>119</w:t>
            </w:r>
          </w:p>
        </w:tc>
        <w:tc>
          <w:tcPr>
            <w:tcW w:w="995" w:type="dxa"/>
          </w:tcPr>
          <w:p w14:paraId="658C65C5" w14:textId="72DE5C92" w:rsidR="00605E56" w:rsidRPr="00B01084" w:rsidRDefault="00875436" w:rsidP="00BE5A8B">
            <w:pPr>
              <w:pStyle w:val="ListParagraph"/>
              <w:ind w:left="0"/>
              <w:jc w:val="center"/>
            </w:pPr>
            <w:r>
              <w:t>-</w:t>
            </w:r>
          </w:p>
        </w:tc>
        <w:tc>
          <w:tcPr>
            <w:tcW w:w="986" w:type="dxa"/>
          </w:tcPr>
          <w:p w14:paraId="5629247C" w14:textId="428A86AD" w:rsidR="00605E56" w:rsidRPr="00B01084" w:rsidRDefault="006851B0" w:rsidP="00BE5A8B">
            <w:pPr>
              <w:pStyle w:val="ListParagraph"/>
              <w:ind w:left="0"/>
              <w:jc w:val="center"/>
            </w:pPr>
            <w:r>
              <w:t>0.</w:t>
            </w:r>
            <w:r w:rsidR="00250536">
              <w:t>195</w:t>
            </w:r>
          </w:p>
        </w:tc>
        <w:tc>
          <w:tcPr>
            <w:tcW w:w="991" w:type="dxa"/>
          </w:tcPr>
          <w:p w14:paraId="036994CC" w14:textId="5721BD1E" w:rsidR="00605E56" w:rsidRPr="00B01084" w:rsidRDefault="00297443" w:rsidP="00BE5A8B">
            <w:pPr>
              <w:pStyle w:val="ListParagraph"/>
              <w:ind w:left="0"/>
              <w:jc w:val="center"/>
            </w:pPr>
            <w:r>
              <w:t>35</w:t>
            </w:r>
          </w:p>
        </w:tc>
        <w:tc>
          <w:tcPr>
            <w:tcW w:w="995" w:type="dxa"/>
          </w:tcPr>
          <w:p w14:paraId="047E113B" w14:textId="77777777" w:rsidR="00605E56" w:rsidRPr="00B01084" w:rsidRDefault="00605E56" w:rsidP="00BE5A8B">
            <w:pPr>
              <w:pStyle w:val="ListParagraph"/>
              <w:ind w:left="0"/>
              <w:jc w:val="center"/>
            </w:pPr>
            <w:r>
              <w:t>-</w:t>
            </w:r>
          </w:p>
        </w:tc>
        <w:tc>
          <w:tcPr>
            <w:tcW w:w="1068" w:type="dxa"/>
          </w:tcPr>
          <w:p w14:paraId="7367C3F8" w14:textId="77777777" w:rsidR="00605E56" w:rsidRPr="00B01084" w:rsidRDefault="00605E56" w:rsidP="00BE5A8B">
            <w:pPr>
              <w:pStyle w:val="ListParagraph"/>
              <w:ind w:left="0"/>
              <w:jc w:val="center"/>
            </w:pPr>
            <w:r>
              <w:t>-</w:t>
            </w:r>
          </w:p>
        </w:tc>
      </w:tr>
    </w:tbl>
    <w:p w14:paraId="577F34CF" w14:textId="1848F7EE" w:rsidR="00605E56" w:rsidRDefault="00605E56" w:rsidP="00605E56">
      <w:pPr>
        <w:rPr>
          <w:i/>
        </w:rPr>
      </w:pPr>
    </w:p>
    <w:p w14:paraId="425C290C" w14:textId="1922A293" w:rsidR="00605E56" w:rsidRPr="00605E56" w:rsidRDefault="00605E56" w:rsidP="00605E56">
      <w:pPr>
        <w:rPr>
          <w:b/>
          <w:bCs/>
          <w:iCs/>
        </w:rPr>
      </w:pPr>
      <w:r>
        <w:rPr>
          <w:b/>
          <w:bCs/>
          <w:iCs/>
        </w:rPr>
        <w:lastRenderedPageBreak/>
        <w:t>NAVAREA XVIII</w:t>
      </w:r>
    </w:p>
    <w:tbl>
      <w:tblPr>
        <w:tblStyle w:val="TableGrid"/>
        <w:tblW w:w="10061" w:type="dxa"/>
        <w:tblInd w:w="-710" w:type="dxa"/>
        <w:tblLook w:val="04A0" w:firstRow="1" w:lastRow="0" w:firstColumn="1" w:lastColumn="0" w:noHBand="0" w:noVBand="1"/>
      </w:tblPr>
      <w:tblGrid>
        <w:gridCol w:w="1256"/>
        <w:gridCol w:w="883"/>
        <w:gridCol w:w="995"/>
        <w:gridCol w:w="986"/>
        <w:gridCol w:w="906"/>
        <w:gridCol w:w="995"/>
        <w:gridCol w:w="986"/>
        <w:gridCol w:w="991"/>
        <w:gridCol w:w="995"/>
        <w:gridCol w:w="1068"/>
      </w:tblGrid>
      <w:tr w:rsidR="00605E56" w14:paraId="1B928548" w14:textId="77777777" w:rsidTr="00BE5A8B">
        <w:tc>
          <w:tcPr>
            <w:tcW w:w="1256" w:type="dxa"/>
          </w:tcPr>
          <w:p w14:paraId="5D2E4B83" w14:textId="77777777" w:rsidR="00605E56" w:rsidRPr="006709C0" w:rsidRDefault="00605E56" w:rsidP="00BE5A8B">
            <w:pPr>
              <w:pStyle w:val="ListParagraph"/>
              <w:ind w:left="0"/>
              <w:jc w:val="center"/>
              <w:rPr>
                <w:iCs/>
                <w:sz w:val="20"/>
                <w:szCs w:val="20"/>
              </w:rPr>
            </w:pPr>
          </w:p>
        </w:tc>
        <w:tc>
          <w:tcPr>
            <w:tcW w:w="2864" w:type="dxa"/>
            <w:gridSpan w:val="3"/>
          </w:tcPr>
          <w:p w14:paraId="5413CE36" w14:textId="09273947" w:rsidR="00605E56" w:rsidRDefault="00605E56" w:rsidP="00BE5A8B">
            <w:pPr>
              <w:pStyle w:val="ListParagraph"/>
              <w:ind w:left="0"/>
              <w:jc w:val="center"/>
              <w:rPr>
                <w:i/>
              </w:rPr>
            </w:pPr>
            <w:r>
              <w:rPr>
                <w:i/>
              </w:rPr>
              <w:t>2021</w:t>
            </w:r>
          </w:p>
        </w:tc>
        <w:tc>
          <w:tcPr>
            <w:tcW w:w="2887" w:type="dxa"/>
            <w:gridSpan w:val="3"/>
          </w:tcPr>
          <w:p w14:paraId="16DABD7E" w14:textId="13DB5612" w:rsidR="00605E56" w:rsidRDefault="00605E56" w:rsidP="00BE5A8B">
            <w:pPr>
              <w:pStyle w:val="ListParagraph"/>
              <w:ind w:left="0"/>
              <w:jc w:val="center"/>
              <w:rPr>
                <w:i/>
              </w:rPr>
            </w:pPr>
            <w:r>
              <w:rPr>
                <w:i/>
              </w:rPr>
              <w:t>2022</w:t>
            </w:r>
          </w:p>
        </w:tc>
        <w:tc>
          <w:tcPr>
            <w:tcW w:w="3054" w:type="dxa"/>
            <w:gridSpan w:val="3"/>
          </w:tcPr>
          <w:p w14:paraId="60A45660" w14:textId="103C4059" w:rsidR="00605E56" w:rsidRDefault="00605E56" w:rsidP="00BE5A8B">
            <w:pPr>
              <w:pStyle w:val="ListParagraph"/>
              <w:ind w:left="0"/>
              <w:jc w:val="center"/>
              <w:rPr>
                <w:i/>
              </w:rPr>
            </w:pPr>
            <w:r>
              <w:rPr>
                <w:i/>
              </w:rPr>
              <w:t>2023</w:t>
            </w:r>
          </w:p>
        </w:tc>
      </w:tr>
      <w:tr w:rsidR="00605E56" w14:paraId="616D6B75" w14:textId="77777777" w:rsidTr="00BE5A8B">
        <w:tc>
          <w:tcPr>
            <w:tcW w:w="1256" w:type="dxa"/>
          </w:tcPr>
          <w:p w14:paraId="5F0FDDEA" w14:textId="77777777" w:rsidR="00605E56" w:rsidRPr="00E46A7C" w:rsidRDefault="00605E56" w:rsidP="00BE5A8B">
            <w:pPr>
              <w:pStyle w:val="ListParagraph"/>
              <w:ind w:left="0"/>
              <w:jc w:val="center"/>
              <w:rPr>
                <w:iCs/>
                <w:sz w:val="20"/>
                <w:szCs w:val="20"/>
              </w:rPr>
            </w:pPr>
            <w:r w:rsidRPr="00E46A7C">
              <w:rPr>
                <w:iCs/>
                <w:sz w:val="20"/>
                <w:szCs w:val="20"/>
              </w:rPr>
              <w:t>Provider</w:t>
            </w:r>
          </w:p>
        </w:tc>
        <w:tc>
          <w:tcPr>
            <w:tcW w:w="883" w:type="dxa"/>
          </w:tcPr>
          <w:p w14:paraId="7EC15423" w14:textId="77777777" w:rsidR="00605E56" w:rsidRPr="00E46A7C" w:rsidRDefault="00605E56" w:rsidP="00BE5A8B">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5" w:type="dxa"/>
          </w:tcPr>
          <w:p w14:paraId="59C5C5C3" w14:textId="77777777" w:rsidR="00605E56" w:rsidRPr="00E46A7C" w:rsidRDefault="00605E56" w:rsidP="00BE5A8B">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1340BE35"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35CDAE1A" w14:textId="77777777" w:rsidR="00605E56" w:rsidRPr="00E46A7C" w:rsidRDefault="00605E56" w:rsidP="00BE5A8B">
            <w:pPr>
              <w:pStyle w:val="ListParagraph"/>
              <w:ind w:left="0"/>
              <w:jc w:val="center"/>
              <w:rPr>
                <w:i/>
                <w:sz w:val="18"/>
                <w:szCs w:val="18"/>
              </w:rPr>
            </w:pPr>
            <w:r w:rsidRPr="00E46A7C">
              <w:rPr>
                <w:iCs/>
                <w:sz w:val="18"/>
                <w:szCs w:val="18"/>
              </w:rPr>
              <w:t>Total number of warnings broadcast</w:t>
            </w:r>
          </w:p>
        </w:tc>
        <w:tc>
          <w:tcPr>
            <w:tcW w:w="995" w:type="dxa"/>
          </w:tcPr>
          <w:p w14:paraId="2E9CF3CA" w14:textId="77777777" w:rsidR="00605E56" w:rsidRPr="00E46A7C" w:rsidRDefault="00605E56" w:rsidP="00BE5A8B">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564145C7"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c>
          <w:tcPr>
            <w:tcW w:w="991" w:type="dxa"/>
          </w:tcPr>
          <w:p w14:paraId="211EC261" w14:textId="77777777" w:rsidR="00605E56" w:rsidRPr="00E46A7C" w:rsidRDefault="00605E56" w:rsidP="00BE5A8B">
            <w:pPr>
              <w:pStyle w:val="ListParagraph"/>
              <w:ind w:left="0"/>
              <w:jc w:val="center"/>
              <w:rPr>
                <w:i/>
                <w:sz w:val="18"/>
                <w:szCs w:val="18"/>
              </w:rPr>
            </w:pPr>
            <w:r w:rsidRPr="00E46A7C">
              <w:rPr>
                <w:iCs/>
                <w:sz w:val="18"/>
                <w:szCs w:val="18"/>
              </w:rPr>
              <w:t>Total number of warnings broadcast</w:t>
            </w:r>
          </w:p>
        </w:tc>
        <w:tc>
          <w:tcPr>
            <w:tcW w:w="995" w:type="dxa"/>
          </w:tcPr>
          <w:p w14:paraId="3413C9F9" w14:textId="77777777" w:rsidR="00605E56" w:rsidRPr="00E46A7C" w:rsidRDefault="00605E56" w:rsidP="00BE5A8B">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68" w:type="dxa"/>
          </w:tcPr>
          <w:p w14:paraId="76381AEA" w14:textId="77777777" w:rsidR="00605E56" w:rsidRPr="00E46A7C" w:rsidRDefault="00605E56" w:rsidP="00BE5A8B">
            <w:pPr>
              <w:pStyle w:val="ListParagraph"/>
              <w:ind w:left="0"/>
              <w:jc w:val="center"/>
              <w:rPr>
                <w:i/>
                <w:sz w:val="18"/>
                <w:szCs w:val="18"/>
              </w:rPr>
            </w:pPr>
            <w:r>
              <w:rPr>
                <w:sz w:val="18"/>
                <w:szCs w:val="18"/>
              </w:rPr>
              <w:t xml:space="preserve">Broadcast data in </w:t>
            </w:r>
            <w:r w:rsidRPr="00493F80">
              <w:rPr>
                <w:sz w:val="18"/>
                <w:szCs w:val="18"/>
              </w:rPr>
              <w:t>megabytes</w:t>
            </w:r>
          </w:p>
        </w:tc>
      </w:tr>
      <w:tr w:rsidR="00605E56" w14:paraId="6C6E2C97" w14:textId="77777777" w:rsidTr="00BE5A8B">
        <w:tc>
          <w:tcPr>
            <w:tcW w:w="1256" w:type="dxa"/>
          </w:tcPr>
          <w:p w14:paraId="3DC04970" w14:textId="77777777" w:rsidR="00605E56" w:rsidRPr="00B01084" w:rsidRDefault="00605E56" w:rsidP="00BE5A8B">
            <w:pPr>
              <w:pStyle w:val="ListParagraph"/>
              <w:ind w:left="0"/>
            </w:pPr>
            <w:r w:rsidRPr="00B01084">
              <w:t xml:space="preserve">SafetyNet </w:t>
            </w:r>
          </w:p>
        </w:tc>
        <w:tc>
          <w:tcPr>
            <w:tcW w:w="883" w:type="dxa"/>
          </w:tcPr>
          <w:p w14:paraId="14CE10AD" w14:textId="6691F76B" w:rsidR="00605E56" w:rsidRPr="00B01084" w:rsidRDefault="00605E56" w:rsidP="00BE5A8B">
            <w:pPr>
              <w:pStyle w:val="ListParagraph"/>
              <w:ind w:left="0"/>
              <w:jc w:val="center"/>
            </w:pPr>
            <w:r>
              <w:t>121</w:t>
            </w:r>
          </w:p>
        </w:tc>
        <w:tc>
          <w:tcPr>
            <w:tcW w:w="995" w:type="dxa"/>
          </w:tcPr>
          <w:p w14:paraId="40627F29" w14:textId="77777777" w:rsidR="00605E56" w:rsidRPr="00B01084" w:rsidRDefault="00605E56" w:rsidP="00BE5A8B">
            <w:pPr>
              <w:pStyle w:val="ListParagraph"/>
              <w:ind w:left="0"/>
              <w:jc w:val="center"/>
            </w:pPr>
            <w:r>
              <w:t>-</w:t>
            </w:r>
          </w:p>
        </w:tc>
        <w:tc>
          <w:tcPr>
            <w:tcW w:w="986" w:type="dxa"/>
          </w:tcPr>
          <w:p w14:paraId="1DB51838" w14:textId="77777777" w:rsidR="00605E56" w:rsidRPr="00B01084" w:rsidRDefault="00605E56" w:rsidP="00BE5A8B">
            <w:pPr>
              <w:pStyle w:val="ListParagraph"/>
              <w:ind w:left="0"/>
              <w:jc w:val="center"/>
            </w:pPr>
            <w:r>
              <w:t>-</w:t>
            </w:r>
          </w:p>
        </w:tc>
        <w:tc>
          <w:tcPr>
            <w:tcW w:w="906" w:type="dxa"/>
          </w:tcPr>
          <w:p w14:paraId="476EEB65" w14:textId="5EEB9073" w:rsidR="00605E56" w:rsidRPr="00B01084" w:rsidRDefault="00297443" w:rsidP="00BE5A8B">
            <w:pPr>
              <w:pStyle w:val="ListParagraph"/>
              <w:ind w:left="0"/>
              <w:jc w:val="center"/>
            </w:pPr>
            <w:r>
              <w:t>155</w:t>
            </w:r>
          </w:p>
        </w:tc>
        <w:tc>
          <w:tcPr>
            <w:tcW w:w="995" w:type="dxa"/>
          </w:tcPr>
          <w:p w14:paraId="05494D5F" w14:textId="57923D5B" w:rsidR="00605E56" w:rsidRPr="00B01084" w:rsidRDefault="00875436" w:rsidP="00BE5A8B">
            <w:pPr>
              <w:pStyle w:val="ListParagraph"/>
              <w:ind w:left="0"/>
              <w:jc w:val="center"/>
            </w:pPr>
            <w:r>
              <w:t>-</w:t>
            </w:r>
          </w:p>
        </w:tc>
        <w:tc>
          <w:tcPr>
            <w:tcW w:w="986" w:type="dxa"/>
          </w:tcPr>
          <w:p w14:paraId="6829FA85" w14:textId="4BA1F7B8" w:rsidR="00605E56" w:rsidRPr="00B01084" w:rsidRDefault="00875436" w:rsidP="00BE5A8B">
            <w:pPr>
              <w:pStyle w:val="ListParagraph"/>
              <w:ind w:left="0"/>
              <w:jc w:val="center"/>
            </w:pPr>
            <w:r>
              <w:t>0.25</w:t>
            </w:r>
            <w:r w:rsidR="00250536">
              <w:t>3</w:t>
            </w:r>
          </w:p>
        </w:tc>
        <w:tc>
          <w:tcPr>
            <w:tcW w:w="991" w:type="dxa"/>
          </w:tcPr>
          <w:p w14:paraId="2D7CA552" w14:textId="1B02A36E" w:rsidR="00605E56" w:rsidRPr="00B01084" w:rsidRDefault="00297443" w:rsidP="00BE5A8B">
            <w:pPr>
              <w:pStyle w:val="ListParagraph"/>
              <w:ind w:left="0"/>
              <w:jc w:val="center"/>
            </w:pPr>
            <w:r>
              <w:t>35</w:t>
            </w:r>
          </w:p>
        </w:tc>
        <w:tc>
          <w:tcPr>
            <w:tcW w:w="995" w:type="dxa"/>
          </w:tcPr>
          <w:p w14:paraId="21DF0EF0" w14:textId="77777777" w:rsidR="00605E56" w:rsidRPr="00B01084" w:rsidRDefault="00605E56" w:rsidP="00BE5A8B">
            <w:pPr>
              <w:pStyle w:val="ListParagraph"/>
              <w:ind w:left="0"/>
              <w:jc w:val="center"/>
            </w:pPr>
            <w:r>
              <w:t>-</w:t>
            </w:r>
          </w:p>
        </w:tc>
        <w:tc>
          <w:tcPr>
            <w:tcW w:w="1068" w:type="dxa"/>
          </w:tcPr>
          <w:p w14:paraId="054CBFFE" w14:textId="77777777" w:rsidR="00605E56" w:rsidRPr="00B01084" w:rsidRDefault="00605E56" w:rsidP="00BE5A8B">
            <w:pPr>
              <w:pStyle w:val="ListParagraph"/>
              <w:ind w:left="0"/>
              <w:jc w:val="center"/>
            </w:pPr>
            <w:r>
              <w:t>-</w:t>
            </w:r>
          </w:p>
        </w:tc>
      </w:tr>
      <w:tr w:rsidR="00605E56" w14:paraId="2DF1B401" w14:textId="77777777" w:rsidTr="00BE5A8B">
        <w:tc>
          <w:tcPr>
            <w:tcW w:w="1256" w:type="dxa"/>
          </w:tcPr>
          <w:p w14:paraId="59B19B55" w14:textId="77777777" w:rsidR="00605E56" w:rsidRPr="00B01084" w:rsidRDefault="00605E56" w:rsidP="00BE5A8B">
            <w:pPr>
              <w:pStyle w:val="ListParagraph"/>
              <w:ind w:left="0"/>
            </w:pPr>
            <w:proofErr w:type="spellStart"/>
            <w:r w:rsidRPr="00B01084">
              <w:t>SafetyCast</w:t>
            </w:r>
            <w:proofErr w:type="spellEnd"/>
          </w:p>
        </w:tc>
        <w:tc>
          <w:tcPr>
            <w:tcW w:w="883" w:type="dxa"/>
          </w:tcPr>
          <w:p w14:paraId="0DA0FD19" w14:textId="2A7A3B51" w:rsidR="00605E56" w:rsidRPr="00B01084" w:rsidRDefault="00605E56" w:rsidP="00BE5A8B">
            <w:pPr>
              <w:pStyle w:val="ListParagraph"/>
              <w:ind w:left="0"/>
              <w:jc w:val="center"/>
            </w:pPr>
            <w:r>
              <w:t>121</w:t>
            </w:r>
          </w:p>
        </w:tc>
        <w:tc>
          <w:tcPr>
            <w:tcW w:w="995" w:type="dxa"/>
          </w:tcPr>
          <w:p w14:paraId="741A6D2A" w14:textId="77777777" w:rsidR="00605E56" w:rsidRPr="00B01084" w:rsidRDefault="00605E56" w:rsidP="00BE5A8B">
            <w:pPr>
              <w:pStyle w:val="ListParagraph"/>
              <w:ind w:left="0"/>
              <w:jc w:val="center"/>
            </w:pPr>
            <w:r>
              <w:t>-</w:t>
            </w:r>
          </w:p>
        </w:tc>
        <w:tc>
          <w:tcPr>
            <w:tcW w:w="986" w:type="dxa"/>
          </w:tcPr>
          <w:p w14:paraId="34DAD03B" w14:textId="77777777" w:rsidR="00605E56" w:rsidRPr="00B01084" w:rsidRDefault="00605E56" w:rsidP="00BE5A8B">
            <w:pPr>
              <w:pStyle w:val="ListParagraph"/>
              <w:ind w:left="0"/>
              <w:jc w:val="center"/>
            </w:pPr>
            <w:r>
              <w:t>-</w:t>
            </w:r>
          </w:p>
        </w:tc>
        <w:tc>
          <w:tcPr>
            <w:tcW w:w="906" w:type="dxa"/>
          </w:tcPr>
          <w:p w14:paraId="49733788" w14:textId="2D54C551" w:rsidR="00605E56" w:rsidRPr="00B01084" w:rsidRDefault="00297443" w:rsidP="00BE5A8B">
            <w:pPr>
              <w:pStyle w:val="ListParagraph"/>
              <w:ind w:left="0"/>
              <w:jc w:val="center"/>
            </w:pPr>
            <w:r>
              <w:t>155</w:t>
            </w:r>
          </w:p>
        </w:tc>
        <w:tc>
          <w:tcPr>
            <w:tcW w:w="995" w:type="dxa"/>
          </w:tcPr>
          <w:p w14:paraId="64263CE9" w14:textId="2048B0B1" w:rsidR="00605E56" w:rsidRPr="00B01084" w:rsidRDefault="00875436" w:rsidP="00BE5A8B">
            <w:pPr>
              <w:pStyle w:val="ListParagraph"/>
              <w:ind w:left="0"/>
              <w:jc w:val="center"/>
            </w:pPr>
            <w:r>
              <w:t>-</w:t>
            </w:r>
          </w:p>
        </w:tc>
        <w:tc>
          <w:tcPr>
            <w:tcW w:w="986" w:type="dxa"/>
          </w:tcPr>
          <w:p w14:paraId="29FBB50D" w14:textId="4BDBF600" w:rsidR="00605E56" w:rsidRPr="00B01084" w:rsidRDefault="006851B0" w:rsidP="00BE5A8B">
            <w:pPr>
              <w:pStyle w:val="ListParagraph"/>
              <w:ind w:left="0"/>
              <w:jc w:val="center"/>
            </w:pPr>
            <w:r>
              <w:t>0.25</w:t>
            </w:r>
            <w:r w:rsidR="00250536">
              <w:t>3</w:t>
            </w:r>
          </w:p>
        </w:tc>
        <w:tc>
          <w:tcPr>
            <w:tcW w:w="991" w:type="dxa"/>
          </w:tcPr>
          <w:p w14:paraId="385D779C" w14:textId="6C8E7ED6" w:rsidR="00605E56" w:rsidRPr="00B01084" w:rsidRDefault="00297443" w:rsidP="00BE5A8B">
            <w:pPr>
              <w:pStyle w:val="ListParagraph"/>
              <w:ind w:left="0"/>
              <w:jc w:val="center"/>
            </w:pPr>
            <w:r>
              <w:t>35</w:t>
            </w:r>
          </w:p>
        </w:tc>
        <w:tc>
          <w:tcPr>
            <w:tcW w:w="995" w:type="dxa"/>
          </w:tcPr>
          <w:p w14:paraId="74C264E0" w14:textId="77777777" w:rsidR="00605E56" w:rsidRPr="00B01084" w:rsidRDefault="00605E56" w:rsidP="00BE5A8B">
            <w:pPr>
              <w:pStyle w:val="ListParagraph"/>
              <w:ind w:left="0"/>
              <w:jc w:val="center"/>
            </w:pPr>
            <w:r>
              <w:t>-</w:t>
            </w:r>
          </w:p>
        </w:tc>
        <w:tc>
          <w:tcPr>
            <w:tcW w:w="1068" w:type="dxa"/>
          </w:tcPr>
          <w:p w14:paraId="60A4D0F8" w14:textId="77777777" w:rsidR="00605E56" w:rsidRPr="00B01084" w:rsidRDefault="00605E56" w:rsidP="00BE5A8B">
            <w:pPr>
              <w:pStyle w:val="ListParagraph"/>
              <w:ind w:left="0"/>
              <w:jc w:val="center"/>
            </w:pPr>
            <w:r>
              <w:t>-</w:t>
            </w:r>
          </w:p>
        </w:tc>
      </w:tr>
    </w:tbl>
    <w:p w14:paraId="18EF9E5D" w14:textId="439B95DC" w:rsidR="006709C0" w:rsidRDefault="006709C0" w:rsidP="006709C0">
      <w:pPr>
        <w:pStyle w:val="ListParagraph"/>
        <w:ind w:left="360"/>
        <w:rPr>
          <w:i/>
          <w:strike/>
        </w:rPr>
      </w:pPr>
    </w:p>
    <w:p w14:paraId="684FE7FF" w14:textId="050D87B8" w:rsidR="00C229D0" w:rsidRDefault="00C229D0" w:rsidP="00875436">
      <w:pPr>
        <w:pStyle w:val="ListParagraph"/>
      </w:pPr>
      <w:r w:rsidRPr="00CD7DA4">
        <w:rPr>
          <w:u w:val="single"/>
        </w:rPr>
        <w:t>Note 1</w:t>
      </w:r>
      <w:r>
        <w:t>:</w:t>
      </w:r>
      <w:r w:rsidR="00A56E8A">
        <w:t xml:space="preserve">  </w:t>
      </w:r>
      <w:r w:rsidRPr="00A56E8A">
        <w:t>Procedures</w:t>
      </w:r>
      <w:r w:rsidR="00A56E8A" w:rsidRPr="00A56E8A">
        <w:t xml:space="preserve"> </w:t>
      </w:r>
      <w:r w:rsidR="00BA5138">
        <w:t xml:space="preserve">for capturing </w:t>
      </w:r>
      <w:r w:rsidR="00875436">
        <w:t xml:space="preserve">Inmarsat </w:t>
      </w:r>
      <w:r w:rsidR="00BA5138">
        <w:t xml:space="preserve">data </w:t>
      </w:r>
      <w:r w:rsidR="00A56E8A" w:rsidRPr="00A56E8A">
        <w:t>were updated in 2023 so the data</w:t>
      </w:r>
      <w:r w:rsidR="00EB4F9D">
        <w:t xml:space="preserve"> for 2022</w:t>
      </w:r>
      <w:r w:rsidR="00A56E8A" w:rsidRPr="00A56E8A">
        <w:t xml:space="preserve"> is </w:t>
      </w:r>
      <w:r w:rsidR="00EB4F9D">
        <w:t>estimated</w:t>
      </w:r>
      <w:r w:rsidR="00A56E8A" w:rsidRPr="00A56E8A">
        <w:t xml:space="preserve">. </w:t>
      </w:r>
      <w:r w:rsidRPr="00A56E8A">
        <w:t xml:space="preserve"> </w:t>
      </w:r>
      <w:r w:rsidR="00875436">
        <w:t>Billing for Iridium includes both NAVAREA</w:t>
      </w:r>
      <w:r w:rsidR="00EB4F9D">
        <w:t>s</w:t>
      </w:r>
      <w:r w:rsidR="00875436">
        <w:t xml:space="preserve"> XVII &amp; XVIII</w:t>
      </w:r>
      <w:r w:rsidR="00E87450">
        <w:t xml:space="preserve"> so the totals are approximate, given the difference in total number of messages</w:t>
      </w:r>
      <w:r w:rsidR="00875436">
        <w:t xml:space="preserve">.  </w:t>
      </w:r>
    </w:p>
    <w:p w14:paraId="6EB11B5B" w14:textId="1B73691F" w:rsidR="00875436" w:rsidRDefault="00875436" w:rsidP="00A56E8A">
      <w:pPr>
        <w:pStyle w:val="ListParagraph"/>
        <w:ind w:left="360"/>
      </w:pPr>
    </w:p>
    <w:p w14:paraId="359495DE" w14:textId="1FAF279B" w:rsidR="00875436" w:rsidRDefault="00875436" w:rsidP="00875436">
      <w:pPr>
        <w:pStyle w:val="ListParagraph"/>
        <w:ind w:left="360" w:firstLine="360"/>
      </w:pPr>
      <w:r w:rsidRPr="00CD7DA4">
        <w:rPr>
          <w:u w:val="single"/>
        </w:rPr>
        <w:t>Note 2</w:t>
      </w:r>
      <w:r>
        <w:t>:  2023 data is valid as of June 29, 2023.</w:t>
      </w:r>
    </w:p>
    <w:p w14:paraId="5C84121A" w14:textId="77777777" w:rsidR="00C229D0" w:rsidRDefault="00C229D0" w:rsidP="00C229D0">
      <w:pPr>
        <w:pStyle w:val="ListParagraph"/>
        <w:ind w:left="360"/>
      </w:pPr>
    </w:p>
    <w:p w14:paraId="3E99D62C" w14:textId="35F3050C" w:rsidR="00426B1E" w:rsidRPr="00426B1E" w:rsidRDefault="00C43F70" w:rsidP="00BA1BAE">
      <w:pPr>
        <w:pStyle w:val="ListParagraph"/>
        <w:numPr>
          <w:ilvl w:val="1"/>
          <w:numId w:val="2"/>
        </w:numPr>
        <w:rPr>
          <w:iCs/>
        </w:rPr>
      </w:pPr>
      <w:r>
        <w:rPr>
          <w:iCs/>
        </w:rPr>
        <w:t xml:space="preserve">Urgent </w:t>
      </w:r>
      <w:r w:rsidR="00426B1E">
        <w:rPr>
          <w:iCs/>
        </w:rPr>
        <w:t>EGC</w:t>
      </w:r>
      <w:r>
        <w:rPr>
          <w:iCs/>
        </w:rPr>
        <w:t xml:space="preserve"> Warnings</w:t>
      </w:r>
      <w:r w:rsidR="00A83970">
        <w:rPr>
          <w:iCs/>
        </w:rPr>
        <w:t>:</w:t>
      </w:r>
      <w:r>
        <w:rPr>
          <w:iCs/>
        </w:rPr>
        <w:t xml:space="preserve"> </w:t>
      </w:r>
      <w:r w:rsidR="00A56E8A">
        <w:rPr>
          <w:iCs/>
        </w:rPr>
        <w:t xml:space="preserve"> </w:t>
      </w:r>
      <w:r w:rsidR="00297443">
        <w:rPr>
          <w:iCs/>
        </w:rPr>
        <w:t>Nil</w:t>
      </w:r>
      <w:r w:rsidR="00A83970">
        <w:rPr>
          <w:iCs/>
        </w:rPr>
        <w:br/>
      </w:r>
    </w:p>
    <w:p w14:paraId="56D52EB9" w14:textId="2371DF2E" w:rsidR="005E7DBA" w:rsidRPr="00A56E8A" w:rsidRDefault="00426B1E" w:rsidP="00A56E8A">
      <w:pPr>
        <w:pStyle w:val="ListParagraph"/>
        <w:numPr>
          <w:ilvl w:val="1"/>
          <w:numId w:val="2"/>
        </w:numPr>
        <w:rPr>
          <w:i/>
          <w:color w:val="7F7F7F" w:themeColor="text1" w:themeTint="80"/>
        </w:rPr>
      </w:pPr>
      <w:r w:rsidRPr="00A71C94">
        <w:rPr>
          <w:iCs/>
        </w:rPr>
        <w:t>V</w:t>
      </w:r>
      <w:r w:rsidR="00A71C94">
        <w:rPr>
          <w:iCs/>
        </w:rPr>
        <w:t>ITAL</w:t>
      </w:r>
      <w:r w:rsidRPr="00A71C94">
        <w:rPr>
          <w:iCs/>
        </w:rPr>
        <w:t xml:space="preserve"> Coastal Warnings:</w:t>
      </w:r>
      <w:r w:rsidR="00A56E8A">
        <w:rPr>
          <w:iCs/>
        </w:rPr>
        <w:t xml:space="preserve">  </w:t>
      </w:r>
      <w:r w:rsidR="00C229D0" w:rsidRPr="00A56E8A">
        <w:rPr>
          <w:iCs/>
        </w:rPr>
        <w:t>Nil.</w:t>
      </w:r>
      <w:r w:rsidR="00C43F70" w:rsidRPr="00A56E8A">
        <w:rPr>
          <w:iCs/>
          <w:color w:val="7F7F7F" w:themeColor="text1" w:themeTint="80"/>
        </w:rPr>
        <w:br/>
      </w:r>
    </w:p>
    <w:p w14:paraId="680DFA37" w14:textId="084F4E2C" w:rsidR="00382217" w:rsidRDefault="00382217" w:rsidP="00382217">
      <w:pPr>
        <w:pStyle w:val="ListParagraph"/>
        <w:numPr>
          <w:ilvl w:val="1"/>
          <w:numId w:val="2"/>
        </w:numPr>
        <w:rPr>
          <w:iCs/>
        </w:rPr>
      </w:pPr>
      <w:r w:rsidRPr="00E46A7C">
        <w:rPr>
          <w:iCs/>
        </w:rPr>
        <w:t>In</w:t>
      </w:r>
      <w:r w:rsidR="005960D8">
        <w:rPr>
          <w:iCs/>
        </w:rPr>
        <w:t>-</w:t>
      </w:r>
      <w:r w:rsidRPr="00E46A7C">
        <w:rPr>
          <w:iCs/>
        </w:rPr>
        <w:t>force warnings</w:t>
      </w:r>
      <w:r w:rsidR="00DB4F02">
        <w:rPr>
          <w:iCs/>
        </w:rPr>
        <w:t>.</w:t>
      </w:r>
    </w:p>
    <w:p w14:paraId="6576A97A" w14:textId="77777777" w:rsidR="00C229D0" w:rsidRDefault="00C229D0" w:rsidP="00C229D0">
      <w:pPr>
        <w:pStyle w:val="ListParagraph"/>
        <w:ind w:left="792"/>
        <w:rPr>
          <w:iCs/>
        </w:rPr>
      </w:pPr>
    </w:p>
    <w:p w14:paraId="71A5B2D2" w14:textId="77777777" w:rsidR="00C229D0" w:rsidRPr="00C229D0" w:rsidRDefault="00D74406" w:rsidP="00F410F9">
      <w:pPr>
        <w:pStyle w:val="ListParagraph"/>
        <w:numPr>
          <w:ilvl w:val="2"/>
          <w:numId w:val="2"/>
        </w:numPr>
        <w:rPr>
          <w:iCs/>
          <w:color w:val="7F7F7F" w:themeColor="text1" w:themeTint="80"/>
        </w:rPr>
      </w:pPr>
      <w:r>
        <w:rPr>
          <w:iCs/>
        </w:rPr>
        <w:t>In</w:t>
      </w:r>
      <w:r w:rsidR="005960D8">
        <w:rPr>
          <w:iCs/>
        </w:rPr>
        <w:t>-f</w:t>
      </w:r>
      <w:r>
        <w:rPr>
          <w:iCs/>
        </w:rPr>
        <w:t>orce bulletins</w:t>
      </w:r>
      <w:r w:rsidR="00F410F9">
        <w:rPr>
          <w:iCs/>
        </w:rPr>
        <w:t xml:space="preserve"> issued</w:t>
      </w:r>
      <w:r w:rsidR="00A83970">
        <w:rPr>
          <w:iCs/>
        </w:rPr>
        <w:t>:</w:t>
      </w:r>
    </w:p>
    <w:p w14:paraId="41DC4722" w14:textId="77777777" w:rsidR="00C229D0" w:rsidRDefault="00C229D0" w:rsidP="00C229D0">
      <w:pPr>
        <w:pStyle w:val="ListParagraph"/>
        <w:ind w:left="1224"/>
        <w:rPr>
          <w:iCs/>
        </w:rPr>
      </w:pPr>
    </w:p>
    <w:p w14:paraId="3AA1B6D3" w14:textId="1264EA57" w:rsidR="00C229D0" w:rsidRPr="00E30CCD" w:rsidRDefault="00C229D0" w:rsidP="00C229D0">
      <w:pPr>
        <w:pStyle w:val="ListParagraph"/>
        <w:ind w:left="1440"/>
        <w:rPr>
          <w:iCs/>
        </w:rPr>
      </w:pPr>
      <w:r w:rsidRPr="00E30CCD">
        <w:rPr>
          <w:iCs/>
        </w:rPr>
        <w:t>In Force Bulletins are issued every Friday at 1100 U</w:t>
      </w:r>
      <w:r w:rsidR="00EB4F9D">
        <w:rPr>
          <w:iCs/>
        </w:rPr>
        <w:t>TC</w:t>
      </w:r>
      <w:r w:rsidRPr="00E30CCD">
        <w:rPr>
          <w:iCs/>
        </w:rPr>
        <w:t xml:space="preserve"> for NAVAREA XVIII and 1130 UTC for NAVAREA XVII.  The text of In Force warning that are more than 42 days old can be found on the Canadian Coast Guard website: </w:t>
      </w:r>
    </w:p>
    <w:p w14:paraId="6AB36F18" w14:textId="3CA95675" w:rsidR="00A241F1" w:rsidRDefault="00C0064B" w:rsidP="002B0F71">
      <w:pPr>
        <w:pStyle w:val="ListParagraph"/>
        <w:ind w:left="1224" w:firstLine="216"/>
      </w:pPr>
      <w:hyperlink r:id="rId11" w:history="1">
        <w:r w:rsidR="002B0F71">
          <w:rPr>
            <w:rStyle w:val="Hyperlink"/>
          </w:rPr>
          <w:t>Navigational and NAVAREA warnings (ccg-gcc.gc.ca)</w:t>
        </w:r>
      </w:hyperlink>
    </w:p>
    <w:p w14:paraId="0700852C" w14:textId="77777777" w:rsidR="002B0F71" w:rsidRPr="00E46A7C" w:rsidRDefault="002B0F71" w:rsidP="002B0F71">
      <w:pPr>
        <w:pStyle w:val="ListParagraph"/>
        <w:ind w:left="1224" w:firstLine="216"/>
        <w:rPr>
          <w:iCs/>
        </w:rPr>
      </w:pPr>
    </w:p>
    <w:tbl>
      <w:tblPr>
        <w:tblpPr w:leftFromText="180" w:rightFromText="180" w:vertAnchor="text" w:horzAnchor="margin" w:tblpXSpec="center"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3C6CB0" w:rsidRPr="00A65E65" w14:paraId="32B51130" w14:textId="77777777" w:rsidTr="00982B77">
        <w:tc>
          <w:tcPr>
            <w:tcW w:w="2448" w:type="dxa"/>
            <w:vAlign w:val="center"/>
          </w:tcPr>
          <w:p w14:paraId="44C02130" w14:textId="502ABA37" w:rsidR="003C6CB0" w:rsidRPr="00A65E65" w:rsidRDefault="002052A9" w:rsidP="00982B77">
            <w:pPr>
              <w:jc w:val="center"/>
              <w:rPr>
                <w:b/>
              </w:rPr>
            </w:pPr>
            <w:r>
              <w:rPr>
                <w:b/>
              </w:rPr>
              <w:t>202</w:t>
            </w:r>
            <w:r w:rsidR="00C229D0">
              <w:rPr>
                <w:b/>
              </w:rPr>
              <w:t>1</w:t>
            </w:r>
          </w:p>
        </w:tc>
        <w:tc>
          <w:tcPr>
            <w:tcW w:w="2448" w:type="dxa"/>
            <w:vAlign w:val="center"/>
          </w:tcPr>
          <w:p w14:paraId="19C6122B" w14:textId="55C772D7" w:rsidR="003C6CB0" w:rsidRPr="00A65E65" w:rsidRDefault="003C6CB0" w:rsidP="00982B77">
            <w:pPr>
              <w:jc w:val="center"/>
              <w:rPr>
                <w:b/>
              </w:rPr>
            </w:pPr>
            <w:r>
              <w:rPr>
                <w:b/>
              </w:rPr>
              <w:t>202</w:t>
            </w:r>
            <w:r w:rsidR="00C229D0">
              <w:rPr>
                <w:b/>
              </w:rPr>
              <w:t>2</w:t>
            </w:r>
          </w:p>
        </w:tc>
        <w:tc>
          <w:tcPr>
            <w:tcW w:w="2448" w:type="dxa"/>
            <w:vAlign w:val="center"/>
          </w:tcPr>
          <w:p w14:paraId="5EB3CC64" w14:textId="4CB33C63" w:rsidR="003C6CB0" w:rsidRPr="00A65E65" w:rsidRDefault="003C6CB0" w:rsidP="00982B77">
            <w:pPr>
              <w:jc w:val="center"/>
              <w:rPr>
                <w:b/>
              </w:rPr>
            </w:pPr>
            <w:r>
              <w:rPr>
                <w:b/>
              </w:rPr>
              <w:t>202</w:t>
            </w:r>
            <w:r w:rsidR="00C229D0">
              <w:rPr>
                <w:b/>
              </w:rPr>
              <w:t>3</w:t>
            </w:r>
            <w:r w:rsidR="002B0F71">
              <w:rPr>
                <w:b/>
              </w:rPr>
              <w:t>*</w:t>
            </w:r>
          </w:p>
        </w:tc>
      </w:tr>
      <w:tr w:rsidR="003C6CB0" w:rsidRPr="00A65E65" w14:paraId="6E799B91" w14:textId="77777777" w:rsidTr="00982B77">
        <w:tc>
          <w:tcPr>
            <w:tcW w:w="2448" w:type="dxa"/>
            <w:vAlign w:val="center"/>
          </w:tcPr>
          <w:p w14:paraId="676137C0" w14:textId="77777777" w:rsidR="003C6CB0" w:rsidRPr="00A65E65" w:rsidRDefault="003C6CB0" w:rsidP="00982B77">
            <w:pPr>
              <w:jc w:val="center"/>
              <w:rPr>
                <w:sz w:val="20"/>
                <w:szCs w:val="20"/>
              </w:rPr>
            </w:pPr>
            <w:r>
              <w:rPr>
                <w:sz w:val="20"/>
                <w:szCs w:val="20"/>
              </w:rPr>
              <w:t>Total</w:t>
            </w:r>
          </w:p>
        </w:tc>
        <w:tc>
          <w:tcPr>
            <w:tcW w:w="2448" w:type="dxa"/>
            <w:vAlign w:val="center"/>
          </w:tcPr>
          <w:p w14:paraId="17A4AE5F" w14:textId="77777777" w:rsidR="003C6CB0" w:rsidRPr="00A65E65" w:rsidRDefault="003C6CB0" w:rsidP="00982B77">
            <w:pPr>
              <w:jc w:val="center"/>
              <w:rPr>
                <w:sz w:val="20"/>
                <w:szCs w:val="20"/>
              </w:rPr>
            </w:pPr>
            <w:r>
              <w:rPr>
                <w:sz w:val="20"/>
                <w:szCs w:val="20"/>
              </w:rPr>
              <w:t>Total</w:t>
            </w:r>
          </w:p>
        </w:tc>
        <w:tc>
          <w:tcPr>
            <w:tcW w:w="2448" w:type="dxa"/>
            <w:vAlign w:val="center"/>
          </w:tcPr>
          <w:p w14:paraId="23C24263" w14:textId="77777777" w:rsidR="003C6CB0" w:rsidRPr="00A65E65" w:rsidRDefault="003C6CB0" w:rsidP="00982B77">
            <w:pPr>
              <w:jc w:val="center"/>
              <w:rPr>
                <w:sz w:val="20"/>
                <w:szCs w:val="20"/>
              </w:rPr>
            </w:pPr>
            <w:r>
              <w:rPr>
                <w:sz w:val="20"/>
                <w:szCs w:val="20"/>
              </w:rPr>
              <w:t>Total</w:t>
            </w:r>
          </w:p>
        </w:tc>
      </w:tr>
      <w:tr w:rsidR="003C6CB0" w:rsidRPr="00A65E65" w14:paraId="4A59F9C5" w14:textId="77777777" w:rsidTr="00982B77">
        <w:trPr>
          <w:trHeight w:val="70"/>
        </w:trPr>
        <w:tc>
          <w:tcPr>
            <w:tcW w:w="2448" w:type="dxa"/>
            <w:vAlign w:val="center"/>
          </w:tcPr>
          <w:p w14:paraId="4A51EE14" w14:textId="32CEA1C9" w:rsidR="003C6CB0" w:rsidRPr="000701E0" w:rsidRDefault="00C229D0" w:rsidP="00982B77">
            <w:pPr>
              <w:jc w:val="center"/>
            </w:pPr>
            <w:r>
              <w:t>3</w:t>
            </w:r>
          </w:p>
        </w:tc>
        <w:tc>
          <w:tcPr>
            <w:tcW w:w="2448" w:type="dxa"/>
            <w:vAlign w:val="center"/>
          </w:tcPr>
          <w:p w14:paraId="44275E64" w14:textId="375635C8" w:rsidR="003C6CB0" w:rsidRPr="000701E0" w:rsidRDefault="00297443" w:rsidP="00982B77">
            <w:pPr>
              <w:jc w:val="center"/>
            </w:pPr>
            <w:r>
              <w:t>10</w:t>
            </w:r>
          </w:p>
        </w:tc>
        <w:tc>
          <w:tcPr>
            <w:tcW w:w="2448" w:type="dxa"/>
            <w:vAlign w:val="center"/>
          </w:tcPr>
          <w:p w14:paraId="355CF619" w14:textId="6CE50F9C" w:rsidR="003C6CB0" w:rsidRPr="000701E0" w:rsidRDefault="00297443" w:rsidP="00982B77">
            <w:pPr>
              <w:jc w:val="center"/>
            </w:pPr>
            <w:r>
              <w:t>5</w:t>
            </w:r>
          </w:p>
        </w:tc>
      </w:tr>
    </w:tbl>
    <w:p w14:paraId="436816C3" w14:textId="4737712C" w:rsidR="002B0F71" w:rsidRPr="001C2B58" w:rsidRDefault="00A241F1" w:rsidP="00EB4F9D">
      <w:pPr>
        <w:pStyle w:val="ListParagraph"/>
        <w:numPr>
          <w:ilvl w:val="2"/>
          <w:numId w:val="2"/>
        </w:numPr>
        <w:ind w:left="792"/>
        <w:rPr>
          <w:i/>
          <w:color w:val="7F7F7F" w:themeColor="text1" w:themeTint="80"/>
        </w:rPr>
      </w:pPr>
      <w:r w:rsidRPr="001C2B58">
        <w:rPr>
          <w:iCs/>
        </w:rPr>
        <w:t>Requests for In-</w:t>
      </w:r>
      <w:r w:rsidR="005960D8" w:rsidRPr="001C2B58">
        <w:rPr>
          <w:iCs/>
        </w:rPr>
        <w:t>f</w:t>
      </w:r>
      <w:r w:rsidRPr="001C2B58">
        <w:rPr>
          <w:iCs/>
        </w:rPr>
        <w:t>o</w:t>
      </w:r>
      <w:r w:rsidR="005960D8" w:rsidRPr="001C2B58">
        <w:rPr>
          <w:iCs/>
        </w:rPr>
        <w:t>rce warnings</w:t>
      </w:r>
      <w:r w:rsidR="00A83970" w:rsidRPr="001C2B58">
        <w:rPr>
          <w:iCs/>
        </w:rPr>
        <w:t>:</w:t>
      </w:r>
      <w:r w:rsidR="00A83970" w:rsidRPr="001C2B58">
        <w:rPr>
          <w:iCs/>
        </w:rPr>
        <w:br/>
      </w:r>
      <w:r w:rsidR="003C6CB0" w:rsidRPr="001C2B58">
        <w:rPr>
          <w:i/>
          <w:color w:val="7F7F7F" w:themeColor="text1" w:themeTint="80"/>
        </w:rPr>
        <w:br/>
      </w:r>
    </w:p>
    <w:p w14:paraId="57149D25" w14:textId="77777777" w:rsidR="002B0F71" w:rsidRPr="002B0F71" w:rsidRDefault="002B0F71" w:rsidP="002B0F71">
      <w:pPr>
        <w:rPr>
          <w:i/>
          <w:color w:val="7F7F7F" w:themeColor="text1" w:themeTint="80"/>
        </w:rPr>
      </w:pPr>
    </w:p>
    <w:p w14:paraId="6CEB36DB" w14:textId="255E3889" w:rsidR="00C229D0" w:rsidRPr="00EB4F9D" w:rsidRDefault="00EB4F9D" w:rsidP="00EB4F9D">
      <w:pPr>
        <w:pStyle w:val="ListParagraph"/>
        <w:numPr>
          <w:ilvl w:val="1"/>
          <w:numId w:val="19"/>
        </w:numPr>
        <w:spacing w:before="240" w:after="240"/>
        <w:jc w:val="both"/>
        <w:rPr>
          <w:i/>
          <w:color w:val="7F7F7F" w:themeColor="text1" w:themeTint="80"/>
        </w:rPr>
      </w:pPr>
      <w:r>
        <w:t xml:space="preserve"> </w:t>
      </w:r>
      <w:r w:rsidR="00941BF8">
        <w:t xml:space="preserve">Arctic </w:t>
      </w:r>
      <w:r w:rsidR="00B828A1">
        <w:t xml:space="preserve">navigational </w:t>
      </w:r>
      <w:r w:rsidR="00941BF8">
        <w:t>warnings</w:t>
      </w:r>
      <w:r w:rsidR="004A093A">
        <w:t xml:space="preserve"> broadcast by HF NBDP</w:t>
      </w:r>
      <w:r w:rsidR="00941BF8">
        <w:t xml:space="preserve">. </w:t>
      </w:r>
    </w:p>
    <w:p w14:paraId="55010D9D" w14:textId="77777777" w:rsidR="00C229D0" w:rsidRDefault="00C229D0" w:rsidP="00C229D0">
      <w:pPr>
        <w:pStyle w:val="ListParagraph"/>
        <w:ind w:left="792"/>
        <w:rPr>
          <w:i/>
          <w:iCs/>
          <w:color w:val="7F7F7F" w:themeColor="text1" w:themeTint="8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C229D0" w:rsidRPr="00A65E65" w14:paraId="16F4D546" w14:textId="77777777" w:rsidTr="00BE5A8B">
        <w:tc>
          <w:tcPr>
            <w:tcW w:w="2448" w:type="dxa"/>
            <w:vAlign w:val="center"/>
          </w:tcPr>
          <w:p w14:paraId="24741707" w14:textId="28015BBC" w:rsidR="00C229D0" w:rsidRPr="00A65E65" w:rsidRDefault="00C229D0" w:rsidP="00BE5A8B">
            <w:pPr>
              <w:jc w:val="center"/>
              <w:rPr>
                <w:b/>
              </w:rPr>
            </w:pPr>
            <w:bookmarkStart w:id="0" w:name="_Hlk112242612"/>
            <w:r>
              <w:rPr>
                <w:b/>
              </w:rPr>
              <w:t>2021</w:t>
            </w:r>
          </w:p>
        </w:tc>
        <w:tc>
          <w:tcPr>
            <w:tcW w:w="2448" w:type="dxa"/>
            <w:vAlign w:val="center"/>
          </w:tcPr>
          <w:p w14:paraId="14A43CF7" w14:textId="5D6A7967" w:rsidR="00C229D0" w:rsidRPr="00A65E65" w:rsidRDefault="00C229D0" w:rsidP="00BE5A8B">
            <w:pPr>
              <w:jc w:val="center"/>
              <w:rPr>
                <w:b/>
              </w:rPr>
            </w:pPr>
            <w:r>
              <w:rPr>
                <w:b/>
              </w:rPr>
              <w:t>2022</w:t>
            </w:r>
          </w:p>
        </w:tc>
        <w:tc>
          <w:tcPr>
            <w:tcW w:w="2448" w:type="dxa"/>
            <w:vAlign w:val="center"/>
          </w:tcPr>
          <w:p w14:paraId="7BC385E6" w14:textId="5E96B263" w:rsidR="00C229D0" w:rsidRPr="00A65E65" w:rsidRDefault="00C229D0" w:rsidP="00BE5A8B">
            <w:pPr>
              <w:jc w:val="center"/>
              <w:rPr>
                <w:b/>
              </w:rPr>
            </w:pPr>
            <w:r>
              <w:rPr>
                <w:b/>
              </w:rPr>
              <w:t>2023</w:t>
            </w:r>
            <w:r w:rsidR="002B0F71">
              <w:rPr>
                <w:b/>
              </w:rPr>
              <w:t>**</w:t>
            </w:r>
          </w:p>
        </w:tc>
      </w:tr>
      <w:tr w:rsidR="00C229D0" w:rsidRPr="00A65E65" w14:paraId="5DB7621B" w14:textId="77777777" w:rsidTr="002B0F71">
        <w:tc>
          <w:tcPr>
            <w:tcW w:w="2448" w:type="dxa"/>
            <w:tcBorders>
              <w:bottom w:val="single" w:sz="4" w:space="0" w:color="auto"/>
            </w:tcBorders>
            <w:vAlign w:val="center"/>
          </w:tcPr>
          <w:p w14:paraId="49A696B3" w14:textId="77777777" w:rsidR="00C229D0" w:rsidRPr="00A65E65" w:rsidRDefault="00C229D0" w:rsidP="00BE5A8B">
            <w:pPr>
              <w:jc w:val="center"/>
              <w:rPr>
                <w:sz w:val="20"/>
                <w:szCs w:val="20"/>
              </w:rPr>
            </w:pPr>
            <w:r>
              <w:rPr>
                <w:sz w:val="20"/>
                <w:szCs w:val="20"/>
              </w:rPr>
              <w:t>Total</w:t>
            </w:r>
          </w:p>
        </w:tc>
        <w:tc>
          <w:tcPr>
            <w:tcW w:w="2448" w:type="dxa"/>
            <w:tcBorders>
              <w:bottom w:val="single" w:sz="4" w:space="0" w:color="auto"/>
            </w:tcBorders>
            <w:vAlign w:val="center"/>
          </w:tcPr>
          <w:p w14:paraId="16F03AAE" w14:textId="77777777" w:rsidR="00C229D0" w:rsidRPr="00A65E65" w:rsidRDefault="00C229D0" w:rsidP="00BE5A8B">
            <w:pPr>
              <w:jc w:val="center"/>
              <w:rPr>
                <w:sz w:val="20"/>
                <w:szCs w:val="20"/>
              </w:rPr>
            </w:pPr>
            <w:r>
              <w:rPr>
                <w:sz w:val="20"/>
                <w:szCs w:val="20"/>
              </w:rPr>
              <w:t>Total</w:t>
            </w:r>
          </w:p>
        </w:tc>
        <w:tc>
          <w:tcPr>
            <w:tcW w:w="2448" w:type="dxa"/>
            <w:tcBorders>
              <w:bottom w:val="single" w:sz="4" w:space="0" w:color="auto"/>
            </w:tcBorders>
            <w:vAlign w:val="center"/>
          </w:tcPr>
          <w:p w14:paraId="1907DD09" w14:textId="77777777" w:rsidR="00C229D0" w:rsidRPr="00A65E65" w:rsidRDefault="00C229D0" w:rsidP="00BE5A8B">
            <w:pPr>
              <w:jc w:val="center"/>
              <w:rPr>
                <w:sz w:val="20"/>
                <w:szCs w:val="20"/>
              </w:rPr>
            </w:pPr>
            <w:r>
              <w:rPr>
                <w:sz w:val="20"/>
                <w:szCs w:val="20"/>
              </w:rPr>
              <w:t>Total</w:t>
            </w:r>
          </w:p>
        </w:tc>
      </w:tr>
      <w:tr w:rsidR="00C229D0" w:rsidRPr="00A65E65" w14:paraId="2B8BF884" w14:textId="77777777" w:rsidTr="002B0F71">
        <w:trPr>
          <w:trHeight w:val="70"/>
        </w:trPr>
        <w:tc>
          <w:tcPr>
            <w:tcW w:w="2448" w:type="dxa"/>
            <w:tcBorders>
              <w:bottom w:val="single" w:sz="4" w:space="0" w:color="auto"/>
            </w:tcBorders>
            <w:vAlign w:val="center"/>
          </w:tcPr>
          <w:p w14:paraId="5F3B9CB8" w14:textId="6E86532E" w:rsidR="00C229D0" w:rsidRPr="000701E0" w:rsidRDefault="00C229D0" w:rsidP="00BE5A8B">
            <w:pPr>
              <w:jc w:val="center"/>
            </w:pPr>
            <w:r>
              <w:t>201</w:t>
            </w:r>
          </w:p>
        </w:tc>
        <w:tc>
          <w:tcPr>
            <w:tcW w:w="2448" w:type="dxa"/>
            <w:tcBorders>
              <w:bottom w:val="single" w:sz="4" w:space="0" w:color="auto"/>
            </w:tcBorders>
            <w:vAlign w:val="center"/>
          </w:tcPr>
          <w:p w14:paraId="0CF822CD" w14:textId="7BB2E23B" w:rsidR="00C229D0" w:rsidRPr="000701E0" w:rsidRDefault="002B0F71" w:rsidP="00BE5A8B">
            <w:pPr>
              <w:jc w:val="center"/>
            </w:pPr>
            <w:r>
              <w:t>224</w:t>
            </w:r>
          </w:p>
        </w:tc>
        <w:tc>
          <w:tcPr>
            <w:tcW w:w="2448" w:type="dxa"/>
            <w:tcBorders>
              <w:bottom w:val="single" w:sz="4" w:space="0" w:color="auto"/>
            </w:tcBorders>
            <w:vAlign w:val="center"/>
          </w:tcPr>
          <w:p w14:paraId="265BD1CA" w14:textId="70216882" w:rsidR="00C229D0" w:rsidRPr="000701E0" w:rsidRDefault="002B0F71" w:rsidP="00BE5A8B">
            <w:pPr>
              <w:jc w:val="center"/>
            </w:pPr>
            <w:r>
              <w:t>41</w:t>
            </w:r>
          </w:p>
        </w:tc>
      </w:tr>
    </w:tbl>
    <w:bookmarkEnd w:id="0"/>
    <w:p w14:paraId="32B82322" w14:textId="037E0C85" w:rsidR="00C438CD" w:rsidRPr="002B0F71" w:rsidRDefault="00C438CD" w:rsidP="00C229D0">
      <w:pPr>
        <w:pStyle w:val="ListParagraph"/>
        <w:ind w:left="792"/>
        <w:rPr>
          <w:iCs/>
        </w:rPr>
      </w:pPr>
      <w:r w:rsidRPr="002B0F71">
        <w:rPr>
          <w:iCs/>
          <w:color w:val="7F7F7F" w:themeColor="text1" w:themeTint="80"/>
        </w:rPr>
        <w:br/>
      </w:r>
      <w:r w:rsidR="002B0F71" w:rsidRPr="002B0F71">
        <w:rPr>
          <w:iCs/>
        </w:rPr>
        <w:t>*Note – valid up to June 29, 2023</w:t>
      </w:r>
    </w:p>
    <w:p w14:paraId="15B2F9E6" w14:textId="594C0795" w:rsidR="002B0F71" w:rsidRPr="002B0F71" w:rsidRDefault="002B0F71" w:rsidP="00C229D0">
      <w:pPr>
        <w:pStyle w:val="ListParagraph"/>
        <w:ind w:left="792"/>
        <w:rPr>
          <w:iCs/>
        </w:rPr>
      </w:pPr>
      <w:r w:rsidRPr="002B0F71">
        <w:rPr>
          <w:iCs/>
        </w:rPr>
        <w:t>**Note – valid up to July 27, 2023</w:t>
      </w:r>
    </w:p>
    <w:p w14:paraId="54CBBC1D" w14:textId="77777777" w:rsidR="002B0F71" w:rsidRPr="00C438CD" w:rsidRDefault="002B0F71" w:rsidP="00C229D0">
      <w:pPr>
        <w:pStyle w:val="ListParagraph"/>
        <w:ind w:left="792"/>
        <w:rPr>
          <w:i/>
          <w:color w:val="7F7F7F" w:themeColor="text1" w:themeTint="80"/>
        </w:rPr>
      </w:pPr>
    </w:p>
    <w:p w14:paraId="2F46BF0D" w14:textId="12DB9BB2" w:rsidR="00E0689A" w:rsidRPr="00E0689A" w:rsidRDefault="00171DF5" w:rsidP="002B0F71">
      <w:pPr>
        <w:pStyle w:val="ListParagraph"/>
        <w:numPr>
          <w:ilvl w:val="0"/>
          <w:numId w:val="19"/>
        </w:numPr>
      </w:pPr>
      <w:r w:rsidRPr="00C229D0">
        <w:rPr>
          <w:u w:val="single"/>
        </w:rPr>
        <w:t>Operational Issues</w:t>
      </w:r>
      <w:r w:rsidRPr="00171DF5">
        <w:t>:</w:t>
      </w:r>
      <w:r w:rsidR="00C438CD">
        <w:t xml:space="preserve"> </w:t>
      </w:r>
      <w:r w:rsidR="00C438CD">
        <w:br/>
      </w:r>
    </w:p>
    <w:p w14:paraId="0A3E6A7C" w14:textId="310ACE4B" w:rsidR="00E0689A" w:rsidRDefault="00E0689A" w:rsidP="00E0689A">
      <w:pPr>
        <w:ind w:left="360"/>
      </w:pPr>
      <w:r w:rsidRPr="001B5DFD">
        <w:t>The following issues with GMDSS infrastructure were reported in 202</w:t>
      </w:r>
      <w:r w:rsidR="002B0F71">
        <w:t>2</w:t>
      </w:r>
      <w:r>
        <w:t>/2</w:t>
      </w:r>
      <w:r w:rsidR="002B0F71">
        <w:t>3</w:t>
      </w:r>
      <w:r w:rsidRPr="001B5DFD">
        <w:t xml:space="preserve">:   </w:t>
      </w:r>
    </w:p>
    <w:p w14:paraId="1787CAAD" w14:textId="77777777" w:rsidR="00E0689A" w:rsidRDefault="00E0689A" w:rsidP="00E0689A">
      <w:pPr>
        <w:ind w:left="360"/>
      </w:pPr>
    </w:p>
    <w:p w14:paraId="1D1780A0" w14:textId="54607752" w:rsidR="00E0689A" w:rsidRDefault="002B0F71" w:rsidP="00E0689A">
      <w:pPr>
        <w:pStyle w:val="ListParagraph"/>
        <w:numPr>
          <w:ilvl w:val="0"/>
          <w:numId w:val="18"/>
        </w:numPr>
        <w:ind w:left="810" w:hanging="450"/>
      </w:pPr>
      <w:r>
        <w:lastRenderedPageBreak/>
        <w:t>Canada is currently</w:t>
      </w:r>
      <w:r w:rsidR="00E0689A" w:rsidRPr="001B5DFD">
        <w:t xml:space="preserve"> incorporating our NAVAREA warnings into our domestic Navigational Warning Issuing System (NIS) </w:t>
      </w:r>
      <w:r w:rsidR="00E0689A">
        <w:t xml:space="preserve">platform </w:t>
      </w:r>
      <w:r w:rsidR="00E0689A" w:rsidRPr="001B5DFD">
        <w:t xml:space="preserve">which will greatly facilitate the ease of issuance of </w:t>
      </w:r>
      <w:r w:rsidR="00E0689A">
        <w:t xml:space="preserve">Arctic area </w:t>
      </w:r>
      <w:r w:rsidR="00E0689A" w:rsidRPr="001B5DFD">
        <w:t>navigational warnings between the domestic and international systems which are</w:t>
      </w:r>
      <w:r w:rsidR="00041151">
        <w:t xml:space="preserve"> </w:t>
      </w:r>
      <w:r w:rsidR="00E0689A" w:rsidRPr="001B5DFD">
        <w:t>manually managed between two MCTS Centres.</w:t>
      </w:r>
    </w:p>
    <w:p w14:paraId="29AE3ED6" w14:textId="77777777" w:rsidR="00E0689A" w:rsidRDefault="00E0689A" w:rsidP="00E0689A">
      <w:pPr>
        <w:pStyle w:val="ListParagraph"/>
      </w:pPr>
    </w:p>
    <w:p w14:paraId="1CAD60E0" w14:textId="77777777" w:rsidR="00E0689A" w:rsidRPr="00041151" w:rsidRDefault="00E0689A" w:rsidP="00E0689A">
      <w:pPr>
        <w:pStyle w:val="ListParagraph"/>
        <w:numPr>
          <w:ilvl w:val="0"/>
          <w:numId w:val="18"/>
        </w:numPr>
        <w:ind w:left="810" w:hanging="450"/>
      </w:pPr>
      <w:r w:rsidRPr="00041151">
        <w:t xml:space="preserve">Still working through the following bugs while testing the Iridium EGC API: </w:t>
      </w:r>
    </w:p>
    <w:p w14:paraId="426A2FA4" w14:textId="77777777" w:rsidR="00E0689A" w:rsidRPr="00041151" w:rsidRDefault="00E0689A" w:rsidP="00E0689A">
      <w:pPr>
        <w:pStyle w:val="ListParagraph"/>
      </w:pPr>
    </w:p>
    <w:p w14:paraId="7EB27E3E" w14:textId="77777777" w:rsidR="00E0689A" w:rsidRPr="00041151" w:rsidRDefault="00E0689A" w:rsidP="00E0689A">
      <w:pPr>
        <w:pStyle w:val="ListParagraph"/>
        <w:numPr>
          <w:ilvl w:val="1"/>
          <w:numId w:val="18"/>
        </w:numPr>
      </w:pPr>
      <w:r w:rsidRPr="00041151">
        <w:t>Broadcasts submitted to the API with the repetition code “11”  (once with echo) are returned with repetition code replaced by “01” (once without echo); and</w:t>
      </w:r>
    </w:p>
    <w:p w14:paraId="20A1FE4C" w14:textId="77777777" w:rsidR="00E0689A" w:rsidRPr="00041151" w:rsidRDefault="00E0689A" w:rsidP="00E0689A">
      <w:pPr>
        <w:pStyle w:val="ListParagraph"/>
        <w:numPr>
          <w:ilvl w:val="1"/>
          <w:numId w:val="18"/>
        </w:numPr>
      </w:pPr>
      <w:r w:rsidRPr="00041151">
        <w:t>Broadcasts submitted to the API with a given start date value are returned with a start date value 1-2 minutes ahead of the submitted value.</w:t>
      </w:r>
    </w:p>
    <w:p w14:paraId="01A56123" w14:textId="77777777" w:rsidR="00E0689A" w:rsidRDefault="00E0689A" w:rsidP="00E0689A">
      <w:pPr>
        <w:ind w:left="810" w:hanging="450"/>
      </w:pPr>
    </w:p>
    <w:p w14:paraId="408C1FAE" w14:textId="3B0B4697" w:rsidR="00E0689A" w:rsidRPr="001C2B58" w:rsidRDefault="00E0689A" w:rsidP="00E0689A">
      <w:pPr>
        <w:pStyle w:val="ListParagraph"/>
        <w:numPr>
          <w:ilvl w:val="0"/>
          <w:numId w:val="18"/>
        </w:numPr>
        <w:ind w:left="810" w:hanging="450"/>
      </w:pPr>
      <w:r w:rsidRPr="001C2B58">
        <w:t xml:space="preserve">The Supplemental </w:t>
      </w:r>
      <w:proofErr w:type="spellStart"/>
      <w:r w:rsidRPr="001C2B58">
        <w:t>SafetyNET</w:t>
      </w:r>
      <w:proofErr w:type="spellEnd"/>
      <w:r w:rsidRPr="001C2B58">
        <w:t xml:space="preserve"> service provided seasonally by Iqaluit MCTS Centre experienced the following outages: </w:t>
      </w:r>
    </w:p>
    <w:p w14:paraId="5AA8373E" w14:textId="77777777" w:rsidR="00E0689A" w:rsidRPr="00E0689A" w:rsidRDefault="00E0689A" w:rsidP="00E0689A">
      <w:pPr>
        <w:ind w:left="360"/>
        <w:rPr>
          <w:highlight w:val="yellow"/>
        </w:rPr>
      </w:pPr>
    </w:p>
    <w:tbl>
      <w:tblPr>
        <w:tblStyle w:val="TableauNormal"/>
        <w:tblW w:w="9340" w:type="dxa"/>
        <w:tblInd w:w="0" w:type="dxa"/>
        <w:tblCellMar>
          <w:left w:w="0" w:type="dxa"/>
          <w:right w:w="0" w:type="dxa"/>
        </w:tblCellMar>
        <w:tblLook w:val="04A0" w:firstRow="1" w:lastRow="0" w:firstColumn="1" w:lastColumn="0" w:noHBand="0" w:noVBand="1"/>
      </w:tblPr>
      <w:tblGrid>
        <w:gridCol w:w="2335"/>
        <w:gridCol w:w="2334"/>
        <w:gridCol w:w="2335"/>
        <w:gridCol w:w="2336"/>
      </w:tblGrid>
      <w:tr w:rsidR="00041151" w14:paraId="446339D7" w14:textId="77777777" w:rsidTr="00041151">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098CE" w14:textId="77777777" w:rsidR="00041151" w:rsidRDefault="00041151">
            <w:pPr>
              <w:rPr>
                <w:b/>
                <w:bCs/>
                <w:sz w:val="22"/>
                <w:szCs w:val="22"/>
                <w:lang w:val="en-US" w:eastAsia="en-US"/>
              </w:rPr>
            </w:pPr>
            <w:r>
              <w:rPr>
                <w:b/>
                <w:bCs/>
              </w:rPr>
              <w:t>HF-NBDP Transmitter</w:t>
            </w:r>
          </w:p>
        </w:tc>
        <w:tc>
          <w:tcPr>
            <w:tcW w:w="2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2F7A5" w14:textId="77777777" w:rsidR="00041151" w:rsidRDefault="00041151">
            <w:pPr>
              <w:rPr>
                <w:b/>
                <w:bCs/>
              </w:rPr>
            </w:pPr>
            <w:r>
              <w:rPr>
                <w:b/>
                <w:bCs/>
              </w:rPr>
              <w:t>Off Air</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3427F" w14:textId="77777777" w:rsidR="00041151" w:rsidRDefault="00041151">
            <w:pPr>
              <w:rPr>
                <w:b/>
                <w:bCs/>
              </w:rPr>
            </w:pPr>
            <w:r>
              <w:rPr>
                <w:b/>
                <w:bCs/>
              </w:rPr>
              <w:t>On Air</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AB589" w14:textId="77777777" w:rsidR="00041151" w:rsidRDefault="00041151">
            <w:pPr>
              <w:rPr>
                <w:b/>
                <w:bCs/>
              </w:rPr>
            </w:pPr>
            <w:r>
              <w:rPr>
                <w:b/>
                <w:bCs/>
              </w:rPr>
              <w:t>Duration (HH:MM)</w:t>
            </w:r>
          </w:p>
        </w:tc>
      </w:tr>
      <w:tr w:rsidR="00041151" w14:paraId="3B4CDAB5"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EBB42"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235297C3" w14:textId="77777777" w:rsidR="00041151" w:rsidRDefault="00041151">
            <w:r>
              <w:t>2022</w:t>
            </w:r>
          </w:p>
        </w:tc>
        <w:tc>
          <w:tcPr>
            <w:tcW w:w="2335" w:type="dxa"/>
            <w:tcBorders>
              <w:top w:val="nil"/>
              <w:left w:val="nil"/>
              <w:bottom w:val="single" w:sz="8" w:space="0" w:color="auto"/>
              <w:right w:val="single" w:sz="8" w:space="0" w:color="auto"/>
            </w:tcBorders>
            <w:tcMar>
              <w:top w:w="0" w:type="dxa"/>
              <w:left w:w="108" w:type="dxa"/>
              <w:bottom w:w="0" w:type="dxa"/>
              <w:right w:w="108" w:type="dxa"/>
            </w:tcMar>
          </w:tcPr>
          <w:p w14:paraId="3294E3F0" w14:textId="77777777" w:rsidR="00041151" w:rsidRDefault="00041151"/>
        </w:tc>
        <w:tc>
          <w:tcPr>
            <w:tcW w:w="2336" w:type="dxa"/>
            <w:tcBorders>
              <w:top w:val="nil"/>
              <w:left w:val="nil"/>
              <w:bottom w:val="single" w:sz="8" w:space="0" w:color="auto"/>
              <w:right w:val="single" w:sz="8" w:space="0" w:color="auto"/>
            </w:tcBorders>
            <w:tcMar>
              <w:top w:w="0" w:type="dxa"/>
              <w:left w:w="108" w:type="dxa"/>
              <w:bottom w:w="0" w:type="dxa"/>
              <w:right w:w="108" w:type="dxa"/>
            </w:tcMar>
          </w:tcPr>
          <w:p w14:paraId="14F94EB3" w14:textId="77777777" w:rsidR="00041151" w:rsidRDefault="00041151"/>
        </w:tc>
      </w:tr>
      <w:tr w:rsidR="00041151" w14:paraId="0C8A8EAE"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F15A4"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569DFDC8" w14:textId="77777777" w:rsidR="00041151" w:rsidRDefault="00041151">
            <w:r>
              <w:t>07 161500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061DCD42" w14:textId="77777777" w:rsidR="00041151" w:rsidRDefault="00041151">
            <w:r>
              <w:t>07 161620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40580A29" w14:textId="77777777" w:rsidR="00041151" w:rsidRDefault="00041151">
            <w:r>
              <w:t>01:20</w:t>
            </w:r>
          </w:p>
        </w:tc>
      </w:tr>
      <w:tr w:rsidR="00041151" w14:paraId="1B3FD69A"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05D23"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4F51DCD5" w14:textId="77777777" w:rsidR="00041151" w:rsidRDefault="00041151">
            <w:r>
              <w:t>07 310100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1291BE69" w14:textId="77777777" w:rsidR="00041151" w:rsidRDefault="00041151">
            <w:r>
              <w:t>07 310200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7C426C40" w14:textId="77777777" w:rsidR="00041151" w:rsidRDefault="00041151">
            <w:r>
              <w:t>01:00</w:t>
            </w:r>
          </w:p>
        </w:tc>
      </w:tr>
      <w:tr w:rsidR="00041151" w14:paraId="0AFE98C9"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89574"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792A763A" w14:textId="77777777" w:rsidR="00041151" w:rsidRDefault="00041151">
            <w:r>
              <w:t>08 311610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D068F45" w14:textId="77777777" w:rsidR="00041151" w:rsidRDefault="00041151">
            <w:r>
              <w:t>08 311710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2FB3422E" w14:textId="77777777" w:rsidR="00041151" w:rsidRDefault="00041151">
            <w:r>
              <w:t>01:00</w:t>
            </w:r>
          </w:p>
        </w:tc>
      </w:tr>
      <w:tr w:rsidR="00041151" w14:paraId="6E2B8B35"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801BA"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53A72AF0" w14:textId="77777777" w:rsidR="00041151" w:rsidRDefault="00041151">
            <w:r>
              <w:t>09 101525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4F272861" w14:textId="77777777" w:rsidR="00041151" w:rsidRDefault="00041151">
            <w:r>
              <w:t>09 101640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2C45005C" w14:textId="77777777" w:rsidR="00041151" w:rsidRDefault="00041151">
            <w:r>
              <w:t>01:15</w:t>
            </w:r>
          </w:p>
        </w:tc>
      </w:tr>
      <w:tr w:rsidR="00041151" w14:paraId="1D43B945"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85C87"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65526CA6" w14:textId="77777777" w:rsidR="00041151" w:rsidRDefault="00041151">
            <w:r>
              <w:t>10 061500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61F12B1" w14:textId="77777777" w:rsidR="00041151" w:rsidRDefault="00041151">
            <w:r>
              <w:t>10 061600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11CE9D8" w14:textId="77777777" w:rsidR="00041151" w:rsidRDefault="00041151">
            <w:r>
              <w:t>01:00</w:t>
            </w:r>
          </w:p>
        </w:tc>
      </w:tr>
      <w:tr w:rsidR="00041151" w14:paraId="3E442525"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74F94"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6124AD7E" w14:textId="77777777" w:rsidR="00041151" w:rsidRDefault="00041151">
            <w:r>
              <w:t>11 101145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720949D" w14:textId="77777777" w:rsidR="00041151" w:rsidRDefault="00041151">
            <w:r>
              <w:t>11 101240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7F21CB6" w14:textId="77777777" w:rsidR="00041151" w:rsidRDefault="00041151">
            <w:r>
              <w:t>00:55</w:t>
            </w:r>
          </w:p>
        </w:tc>
      </w:tr>
      <w:tr w:rsidR="00041151" w14:paraId="00FE9108"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1CAAA"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77D8CDDF" w14:textId="77777777" w:rsidR="00041151" w:rsidRDefault="00041151">
            <w:r>
              <w:t>11 182325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35ED65A" w14:textId="77777777" w:rsidR="00041151" w:rsidRDefault="00041151">
            <w:r>
              <w:t>11 190200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78521BB9" w14:textId="77777777" w:rsidR="00041151" w:rsidRDefault="00041151">
            <w:r>
              <w:t>02:35</w:t>
            </w:r>
          </w:p>
        </w:tc>
      </w:tr>
      <w:tr w:rsidR="00041151" w14:paraId="10D26077"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E8718"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65617D7B" w14:textId="77777777" w:rsidR="00041151" w:rsidRDefault="00041151">
            <w:r>
              <w:t>12 071340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817D436" w14:textId="77777777" w:rsidR="00041151" w:rsidRDefault="00041151">
            <w:r>
              <w:t>12 072200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75351779" w14:textId="77777777" w:rsidR="00041151" w:rsidRDefault="00041151">
            <w:r>
              <w:t>08:20</w:t>
            </w:r>
          </w:p>
        </w:tc>
      </w:tr>
      <w:tr w:rsidR="00041151" w14:paraId="0A90AA94"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B7118" w14:textId="77777777" w:rsidR="00041151" w:rsidRDefault="00041151">
            <w:r>
              <w:t>(power outage)</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24BEAAF1" w14:textId="77777777" w:rsidR="00041151" w:rsidRDefault="00041151">
            <w:r>
              <w:t>12 111145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41B0B7E4" w14:textId="77777777" w:rsidR="00041151" w:rsidRDefault="00041151">
            <w:r>
              <w:t>12 111645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338B8596" w14:textId="77777777" w:rsidR="00041151" w:rsidRDefault="00041151">
            <w:r>
              <w:t>05:00</w:t>
            </w:r>
          </w:p>
        </w:tc>
      </w:tr>
      <w:tr w:rsidR="00041151" w14:paraId="0DB2260A" w14:textId="77777777" w:rsidTr="004B2797">
        <w:tc>
          <w:tcPr>
            <w:tcW w:w="70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17CC88" w14:textId="76EA7E4A" w:rsidR="00041151" w:rsidRDefault="00041151" w:rsidP="00041151">
            <w:pPr>
              <w:jc w:val="center"/>
            </w:pPr>
            <w:r>
              <w:rPr>
                <w:b/>
                <w:bCs/>
              </w:rPr>
              <w:t>Total:</w:t>
            </w:r>
          </w:p>
        </w:tc>
        <w:tc>
          <w:tcPr>
            <w:tcW w:w="2336" w:type="dxa"/>
            <w:tcBorders>
              <w:top w:val="nil"/>
              <w:left w:val="nil"/>
              <w:bottom w:val="single" w:sz="8" w:space="0" w:color="auto"/>
              <w:right w:val="single" w:sz="8" w:space="0" w:color="auto"/>
            </w:tcBorders>
            <w:tcMar>
              <w:top w:w="0" w:type="dxa"/>
              <w:left w:w="108" w:type="dxa"/>
              <w:bottom w:w="0" w:type="dxa"/>
              <w:right w:w="108" w:type="dxa"/>
            </w:tcMar>
          </w:tcPr>
          <w:p w14:paraId="100E3FCC" w14:textId="14E1F691" w:rsidR="00041151" w:rsidRPr="00D23744" w:rsidRDefault="00D23744">
            <w:pPr>
              <w:rPr>
                <w:b/>
                <w:bCs/>
              </w:rPr>
            </w:pPr>
            <w:r w:rsidRPr="00D23744">
              <w:rPr>
                <w:b/>
                <w:bCs/>
              </w:rPr>
              <w:t>19:25</w:t>
            </w:r>
          </w:p>
        </w:tc>
      </w:tr>
      <w:tr w:rsidR="00041151" w14:paraId="6F78CD0D"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A1891"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2F3D185E" w14:textId="77777777" w:rsidR="00041151" w:rsidRDefault="00041151">
            <w:r>
              <w:t>2023</w:t>
            </w:r>
          </w:p>
        </w:tc>
        <w:tc>
          <w:tcPr>
            <w:tcW w:w="2335" w:type="dxa"/>
            <w:tcBorders>
              <w:top w:val="nil"/>
              <w:left w:val="nil"/>
              <w:bottom w:val="single" w:sz="8" w:space="0" w:color="auto"/>
              <w:right w:val="single" w:sz="8" w:space="0" w:color="auto"/>
            </w:tcBorders>
            <w:tcMar>
              <w:top w:w="0" w:type="dxa"/>
              <w:left w:w="108" w:type="dxa"/>
              <w:bottom w:w="0" w:type="dxa"/>
              <w:right w:w="108" w:type="dxa"/>
            </w:tcMar>
          </w:tcPr>
          <w:p w14:paraId="55DC8FA2" w14:textId="77777777" w:rsidR="00041151" w:rsidRDefault="00041151"/>
        </w:tc>
        <w:tc>
          <w:tcPr>
            <w:tcW w:w="2336" w:type="dxa"/>
            <w:tcBorders>
              <w:top w:val="nil"/>
              <w:left w:val="nil"/>
              <w:bottom w:val="single" w:sz="8" w:space="0" w:color="auto"/>
              <w:right w:val="single" w:sz="8" w:space="0" w:color="auto"/>
            </w:tcBorders>
            <w:tcMar>
              <w:top w:w="0" w:type="dxa"/>
              <w:left w:w="108" w:type="dxa"/>
              <w:bottom w:w="0" w:type="dxa"/>
              <w:right w:w="108" w:type="dxa"/>
            </w:tcMar>
          </w:tcPr>
          <w:p w14:paraId="097F309E" w14:textId="77777777" w:rsidR="00041151" w:rsidRDefault="00041151"/>
        </w:tc>
      </w:tr>
      <w:tr w:rsidR="00041151" w14:paraId="38C6D05B"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F59A5"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4CFED466" w14:textId="77777777" w:rsidR="00041151" w:rsidRDefault="00041151">
            <w:r>
              <w:t>05 311500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7273581" w14:textId="77777777" w:rsidR="00041151" w:rsidRDefault="00041151">
            <w:r>
              <w:t>05 311610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663C77A5" w14:textId="77777777" w:rsidR="00041151" w:rsidRDefault="00041151">
            <w:r>
              <w:t>01:10</w:t>
            </w:r>
          </w:p>
        </w:tc>
      </w:tr>
      <w:tr w:rsidR="00041151" w14:paraId="319AA111"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3FD9D"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6B953F9B" w14:textId="77777777" w:rsidR="00041151" w:rsidRDefault="00041151">
            <w:r>
              <w:t>07 032150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7B619C3" w14:textId="77777777" w:rsidR="00041151" w:rsidRDefault="00041151">
            <w:r>
              <w:t>07 032250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000742CF" w14:textId="014CD58F" w:rsidR="00041151" w:rsidRDefault="00041151">
            <w:r>
              <w:t>01:00</w:t>
            </w:r>
          </w:p>
        </w:tc>
      </w:tr>
      <w:tr w:rsidR="00041151" w14:paraId="25C4E4ED" w14:textId="77777777" w:rsidTr="00041151">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1E6EA" w14:textId="77777777" w:rsidR="00041151" w:rsidRDefault="00041151"/>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73A46909" w14:textId="77777777" w:rsidR="00041151" w:rsidRDefault="00041151">
            <w:r>
              <w:t>07 041506 UTC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055E69CC" w14:textId="77777777" w:rsidR="00041151" w:rsidRDefault="00041151">
            <w:r>
              <w:t>07 041510 UTC</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20D5D67" w14:textId="77777777" w:rsidR="00041151" w:rsidRDefault="00041151">
            <w:r>
              <w:t>00:04</w:t>
            </w:r>
          </w:p>
        </w:tc>
      </w:tr>
      <w:tr w:rsidR="00041151" w14:paraId="62569C37" w14:textId="77777777" w:rsidTr="00041151">
        <w:tc>
          <w:tcPr>
            <w:tcW w:w="70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F2DE5" w14:textId="77777777" w:rsidR="00041151" w:rsidRDefault="00041151">
            <w:pPr>
              <w:jc w:val="center"/>
              <w:rPr>
                <w:b/>
                <w:bCs/>
              </w:rPr>
            </w:pPr>
            <w:r>
              <w:rPr>
                <w:b/>
                <w:bCs/>
              </w:rPr>
              <w:t>Total:</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48E05CD8" w14:textId="0A2C2772" w:rsidR="00041151" w:rsidRDefault="00041151">
            <w:pPr>
              <w:rPr>
                <w:b/>
                <w:bCs/>
              </w:rPr>
            </w:pPr>
            <w:r>
              <w:rPr>
                <w:b/>
                <w:bCs/>
              </w:rPr>
              <w:t>02:14</w:t>
            </w:r>
          </w:p>
        </w:tc>
      </w:tr>
    </w:tbl>
    <w:p w14:paraId="5D4173AA" w14:textId="3F3B6598" w:rsidR="002057C1" w:rsidRPr="00E21764" w:rsidRDefault="00041151" w:rsidP="00E0689A">
      <w:r>
        <w:t>Note – 2023 info valid up to July 27, 2023</w:t>
      </w:r>
      <w:r w:rsidR="00C438CD" w:rsidRPr="00E21764">
        <w:br/>
      </w:r>
    </w:p>
    <w:p w14:paraId="0718FBA0" w14:textId="08F239A6" w:rsidR="00C438CD" w:rsidRPr="00C438CD" w:rsidRDefault="00C438CD" w:rsidP="002B0F71">
      <w:pPr>
        <w:pStyle w:val="ListParagraph"/>
        <w:numPr>
          <w:ilvl w:val="0"/>
          <w:numId w:val="19"/>
        </w:numPr>
        <w:rPr>
          <w:iCs/>
          <w:color w:val="000000" w:themeColor="text1"/>
        </w:rPr>
      </w:pPr>
      <w:r w:rsidRPr="00C229D0">
        <w:rPr>
          <w:iCs/>
          <w:color w:val="000000" w:themeColor="text1"/>
          <w:u w:val="single"/>
        </w:rPr>
        <w:t>National Co-ordinator Communication</w:t>
      </w:r>
      <w:r w:rsidR="00A83970">
        <w:rPr>
          <w:iCs/>
          <w:color w:val="000000" w:themeColor="text1"/>
        </w:rPr>
        <w:t>:</w:t>
      </w:r>
    </w:p>
    <w:p w14:paraId="44B8C6C7" w14:textId="77777777" w:rsidR="00E0689A" w:rsidRPr="00E0689A" w:rsidRDefault="00E0689A" w:rsidP="00E0689A">
      <w:pPr>
        <w:pStyle w:val="ListParagraph"/>
        <w:ind w:left="792"/>
        <w:rPr>
          <w:i/>
          <w:iCs/>
          <w:color w:val="7F7F7F" w:themeColor="text1" w:themeTint="80"/>
        </w:rPr>
      </w:pPr>
    </w:p>
    <w:p w14:paraId="39601CA3" w14:textId="31A06292" w:rsidR="00CB097B" w:rsidRPr="00CB097B" w:rsidRDefault="00F17980" w:rsidP="002B0F71">
      <w:pPr>
        <w:pStyle w:val="ListParagraph"/>
        <w:numPr>
          <w:ilvl w:val="1"/>
          <w:numId w:val="19"/>
        </w:numPr>
        <w:rPr>
          <w:i/>
          <w:iCs/>
          <w:color w:val="7F7F7F" w:themeColor="text1" w:themeTint="80"/>
        </w:rPr>
      </w:pPr>
      <w:r>
        <w:rPr>
          <w:iCs/>
          <w:color w:val="000000" w:themeColor="text1"/>
        </w:rPr>
        <w:t>IRCC S</w:t>
      </w:r>
      <w:r w:rsidR="009F6070">
        <w:rPr>
          <w:iCs/>
          <w:color w:val="000000" w:themeColor="text1"/>
        </w:rPr>
        <w:t>trategic</w:t>
      </w:r>
      <w:r>
        <w:rPr>
          <w:iCs/>
          <w:color w:val="000000" w:themeColor="text1"/>
        </w:rPr>
        <w:t xml:space="preserve"> Performance Indicator</w:t>
      </w:r>
      <w:r w:rsidR="00A83970">
        <w:rPr>
          <w:iCs/>
          <w:color w:val="000000" w:themeColor="text1"/>
        </w:rPr>
        <w:t>:</w:t>
      </w:r>
      <w:r w:rsidR="00C438CD" w:rsidRPr="00C438CD">
        <w:rPr>
          <w:iCs/>
          <w:color w:val="000000" w:themeColor="text1"/>
        </w:rPr>
        <w:t xml:space="preserve"> </w:t>
      </w:r>
      <w:r w:rsidR="00E0689A" w:rsidRPr="00E0689A">
        <w:t>Nil.</w:t>
      </w:r>
      <w:r w:rsidR="00CB097B" w:rsidRPr="00CB097B">
        <w:rPr>
          <w:i/>
        </w:rPr>
        <w:br/>
      </w:r>
    </w:p>
    <w:p w14:paraId="1852BE6D" w14:textId="69F62D10" w:rsidR="00CB097B" w:rsidRPr="00CB097B" w:rsidRDefault="00CB097B" w:rsidP="002B0F71">
      <w:pPr>
        <w:pStyle w:val="ListParagraph"/>
        <w:numPr>
          <w:ilvl w:val="1"/>
          <w:numId w:val="19"/>
        </w:numPr>
        <w:rPr>
          <w:i/>
          <w:iCs/>
          <w:color w:val="7F7F7F" w:themeColor="text1" w:themeTint="80"/>
        </w:rPr>
      </w:pPr>
      <w:r w:rsidRPr="00C438CD">
        <w:rPr>
          <w:iCs/>
          <w:color w:val="000000" w:themeColor="text1"/>
        </w:rPr>
        <w:t>Procedures.</w:t>
      </w:r>
      <w:r>
        <w:rPr>
          <w:i/>
          <w:iCs/>
          <w:color w:val="7F7F7F" w:themeColor="text1" w:themeTint="80"/>
        </w:rPr>
        <w:t xml:space="preserve"> </w:t>
      </w:r>
      <w:r w:rsidR="00E0689A" w:rsidRPr="00E0689A">
        <w:t>Nil.</w:t>
      </w:r>
    </w:p>
    <w:p w14:paraId="256250AB" w14:textId="787EBD83" w:rsidR="00EC7F5F" w:rsidRPr="008A7AAA" w:rsidRDefault="00EC7F5F" w:rsidP="008A7AAA">
      <w:pPr>
        <w:rPr>
          <w:i/>
          <w:iCs/>
          <w:color w:val="7F7F7F" w:themeColor="text1" w:themeTint="80"/>
        </w:rPr>
      </w:pPr>
    </w:p>
    <w:p w14:paraId="1A6BFB3E" w14:textId="77777777" w:rsidR="00E0689A" w:rsidRPr="00050B38" w:rsidRDefault="00F67C7C" w:rsidP="002B0F71">
      <w:pPr>
        <w:pStyle w:val="ListParagraph"/>
        <w:numPr>
          <w:ilvl w:val="0"/>
          <w:numId w:val="19"/>
        </w:numPr>
        <w:rPr>
          <w:i/>
          <w:iCs/>
        </w:rPr>
      </w:pPr>
      <w:r w:rsidRPr="00050B38">
        <w:rPr>
          <w:u w:val="single"/>
        </w:rPr>
        <w:t>Contingency Planning</w:t>
      </w:r>
      <w:r w:rsidR="00A83970" w:rsidRPr="00050B38">
        <w:t>:</w:t>
      </w:r>
      <w:r w:rsidR="00C75467" w:rsidRPr="00050B38">
        <w:br/>
      </w:r>
    </w:p>
    <w:p w14:paraId="271C9EA9" w14:textId="77777777" w:rsidR="00E0689A" w:rsidRPr="00E0689A" w:rsidRDefault="00E0689A" w:rsidP="00E0689A">
      <w:pPr>
        <w:pStyle w:val="ListParagraph"/>
        <w:ind w:left="360"/>
        <w:rPr>
          <w:iCs/>
          <w:color w:val="000000" w:themeColor="text1"/>
        </w:rPr>
      </w:pPr>
      <w:r w:rsidRPr="00E0689A">
        <w:rPr>
          <w:iCs/>
          <w:color w:val="000000" w:themeColor="text1"/>
        </w:rPr>
        <w:t>Nothing is currently planned between Canada’s NAV/METAREAs nor between the US IV/XII NAVAREAs at this time.  However, given the complexities of unique APIs in the context of this multiple RMSS environment, WWNWS may need to assist NAVAREA coordinators in how we can meet this obligation.</w:t>
      </w:r>
    </w:p>
    <w:p w14:paraId="0FFF8D9E" w14:textId="77777777" w:rsidR="00E0689A" w:rsidRPr="00E0689A" w:rsidRDefault="00E0689A" w:rsidP="00E0689A">
      <w:pPr>
        <w:pStyle w:val="ListParagraph"/>
        <w:ind w:left="360"/>
        <w:rPr>
          <w:iCs/>
          <w:color w:val="000000" w:themeColor="text1"/>
        </w:rPr>
      </w:pPr>
    </w:p>
    <w:p w14:paraId="59E8A02B" w14:textId="77777777" w:rsidR="00E0689A" w:rsidRPr="00E0689A" w:rsidRDefault="00E0689A" w:rsidP="00E0689A">
      <w:pPr>
        <w:pStyle w:val="ListParagraph"/>
        <w:ind w:left="360"/>
        <w:rPr>
          <w:iCs/>
          <w:color w:val="000000" w:themeColor="text1"/>
        </w:rPr>
      </w:pPr>
      <w:r w:rsidRPr="00E0689A">
        <w:rPr>
          <w:iCs/>
          <w:color w:val="000000" w:themeColor="text1"/>
        </w:rPr>
        <w:lastRenderedPageBreak/>
        <w:t xml:space="preserve">The NAVAREA XVII/XVIII operational desk is located at Prescott MCTS Centre and falls under their business continuity plan regarding onsite emergencies.  </w:t>
      </w:r>
    </w:p>
    <w:p w14:paraId="4C556D2F" w14:textId="77777777" w:rsidR="00E0689A" w:rsidRPr="00E0689A" w:rsidRDefault="00E0689A" w:rsidP="00E0689A">
      <w:pPr>
        <w:pStyle w:val="ListParagraph"/>
        <w:ind w:left="360"/>
        <w:rPr>
          <w:iCs/>
          <w:color w:val="000000" w:themeColor="text1"/>
        </w:rPr>
      </w:pPr>
    </w:p>
    <w:p w14:paraId="2555CDE8" w14:textId="33A51B60" w:rsidR="00F67C7C" w:rsidRPr="00C75467" w:rsidRDefault="00E0689A" w:rsidP="00E0689A">
      <w:pPr>
        <w:pStyle w:val="ListParagraph"/>
        <w:ind w:left="360"/>
        <w:rPr>
          <w:i/>
          <w:iCs/>
          <w:color w:val="7F7F7F" w:themeColor="text1" w:themeTint="80"/>
        </w:rPr>
      </w:pPr>
      <w:r w:rsidRPr="00572ABB">
        <w:rPr>
          <w:iCs/>
          <w:color w:val="000000" w:themeColor="text1"/>
        </w:rPr>
        <w:t>Once the NAVAREA warning module is</w:t>
      </w:r>
      <w:r w:rsidR="00D23744">
        <w:rPr>
          <w:iCs/>
          <w:color w:val="000000" w:themeColor="text1"/>
        </w:rPr>
        <w:t xml:space="preserve"> fully</w:t>
      </w:r>
      <w:r w:rsidRPr="00572ABB">
        <w:rPr>
          <w:iCs/>
          <w:color w:val="000000" w:themeColor="text1"/>
        </w:rPr>
        <w:t xml:space="preserve"> incorporated into the </w:t>
      </w:r>
      <w:r>
        <w:rPr>
          <w:iCs/>
          <w:color w:val="000000" w:themeColor="text1"/>
        </w:rPr>
        <w:t>Navigational Warning Issuing System (</w:t>
      </w:r>
      <w:r w:rsidRPr="00572ABB">
        <w:rPr>
          <w:iCs/>
          <w:color w:val="000000" w:themeColor="text1"/>
        </w:rPr>
        <w:t>NIS</w:t>
      </w:r>
      <w:r>
        <w:rPr>
          <w:iCs/>
          <w:color w:val="000000" w:themeColor="text1"/>
        </w:rPr>
        <w:t>)</w:t>
      </w:r>
      <w:r w:rsidRPr="00572ABB">
        <w:rPr>
          <w:iCs/>
          <w:color w:val="000000" w:themeColor="text1"/>
        </w:rPr>
        <w:t xml:space="preserve">, there will be additional capacity for a designated MCTS Centre to issue </w:t>
      </w:r>
      <w:r>
        <w:rPr>
          <w:iCs/>
          <w:color w:val="000000" w:themeColor="text1"/>
        </w:rPr>
        <w:t xml:space="preserve">Arctic area </w:t>
      </w:r>
      <w:r w:rsidRPr="00572ABB">
        <w:rPr>
          <w:iCs/>
          <w:color w:val="000000" w:themeColor="text1"/>
        </w:rPr>
        <w:t xml:space="preserve">navigational warnings over both domestic and international systems for Prescott should the need arise.  The </w:t>
      </w:r>
      <w:r>
        <w:rPr>
          <w:iCs/>
          <w:color w:val="000000" w:themeColor="text1"/>
        </w:rPr>
        <w:t>new NAVAREA module i</w:t>
      </w:r>
      <w:r w:rsidRPr="00572ABB">
        <w:rPr>
          <w:iCs/>
          <w:color w:val="000000" w:themeColor="text1"/>
        </w:rPr>
        <w:t>s being tested and we anticipate training operational staff this fall.</w:t>
      </w:r>
      <w:r w:rsidR="00C75467">
        <w:rPr>
          <w:i/>
          <w:iCs/>
          <w:color w:val="7F7F7F" w:themeColor="text1" w:themeTint="80"/>
        </w:rPr>
        <w:br/>
      </w:r>
    </w:p>
    <w:p w14:paraId="207A11B4" w14:textId="77777777" w:rsidR="00E0689A" w:rsidRPr="00E0689A" w:rsidRDefault="00171DF5" w:rsidP="002B0F71">
      <w:pPr>
        <w:pStyle w:val="ListParagraph"/>
        <w:numPr>
          <w:ilvl w:val="0"/>
          <w:numId w:val="19"/>
        </w:numPr>
        <w:rPr>
          <w:iCs/>
          <w:color w:val="000000" w:themeColor="text1"/>
        </w:rPr>
      </w:pPr>
      <w:r w:rsidRPr="00726765">
        <w:rPr>
          <w:u w:val="single"/>
        </w:rPr>
        <w:t>Capacity Building</w:t>
      </w:r>
      <w:r w:rsidRPr="009B572F">
        <w:t>:</w:t>
      </w:r>
      <w:r w:rsidR="00C75467">
        <w:br/>
      </w:r>
    </w:p>
    <w:p w14:paraId="70A181F4" w14:textId="538DF9EA" w:rsidR="00171DF5" w:rsidRPr="00E0689A" w:rsidRDefault="00E0689A" w:rsidP="00E0689A">
      <w:pPr>
        <w:pStyle w:val="ListParagraph"/>
        <w:ind w:left="360"/>
        <w:rPr>
          <w:iCs/>
          <w:color w:val="000000" w:themeColor="text1"/>
        </w:rPr>
      </w:pPr>
      <w:r w:rsidRPr="00E0689A">
        <w:rPr>
          <w:iCs/>
        </w:rPr>
        <w:t>Nil.</w:t>
      </w:r>
      <w:r w:rsidR="00C75467" w:rsidRPr="00E0689A">
        <w:rPr>
          <w:iCs/>
          <w:color w:val="7F7F7F" w:themeColor="text1" w:themeTint="80"/>
        </w:rPr>
        <w:br/>
      </w:r>
    </w:p>
    <w:p w14:paraId="7D284AC8" w14:textId="77777777" w:rsidR="00E0689A" w:rsidRPr="00E0689A" w:rsidRDefault="00171DF5" w:rsidP="002B0F71">
      <w:pPr>
        <w:pStyle w:val="ListParagraph"/>
        <w:numPr>
          <w:ilvl w:val="0"/>
          <w:numId w:val="19"/>
        </w:numPr>
        <w:rPr>
          <w:iCs/>
          <w:color w:val="000000" w:themeColor="text1"/>
        </w:rPr>
      </w:pPr>
      <w:r w:rsidRPr="00726765">
        <w:rPr>
          <w:u w:val="single"/>
        </w:rPr>
        <w:t>Other Activities</w:t>
      </w:r>
      <w:r w:rsidRPr="009B572F">
        <w:t>:</w:t>
      </w:r>
    </w:p>
    <w:p w14:paraId="636BB200" w14:textId="77777777" w:rsidR="00E0689A" w:rsidRDefault="00E0689A" w:rsidP="00E0689A">
      <w:pPr>
        <w:pStyle w:val="ListParagraph"/>
        <w:ind w:left="360"/>
      </w:pPr>
    </w:p>
    <w:p w14:paraId="59E408BC" w14:textId="17434795" w:rsidR="00E0689A" w:rsidRDefault="005B3C5F" w:rsidP="00E0689A">
      <w:pPr>
        <w:pStyle w:val="ListParagraph"/>
        <w:ind w:left="360"/>
      </w:pPr>
      <w:r>
        <w:t xml:space="preserve">IHO </w:t>
      </w:r>
      <w:r w:rsidR="00E0689A">
        <w:t>WWNWS14, in person conference Geneva – Sept 2022</w:t>
      </w:r>
    </w:p>
    <w:p w14:paraId="66D97D3E" w14:textId="43D655F1" w:rsidR="00E0689A" w:rsidRDefault="00E0689A" w:rsidP="00E0689A">
      <w:pPr>
        <w:pStyle w:val="ListParagraph"/>
        <w:ind w:left="360"/>
      </w:pPr>
      <w:r>
        <w:t xml:space="preserve">IMO MSC 106, Canadian Delegation, </w:t>
      </w:r>
      <w:r w:rsidR="00924CFF">
        <w:t>V</w:t>
      </w:r>
      <w:r>
        <w:t>irtual – Nov 2022</w:t>
      </w:r>
    </w:p>
    <w:p w14:paraId="1524D374" w14:textId="1756B49A" w:rsidR="005B3C5F" w:rsidRDefault="005B3C5F" w:rsidP="00E0689A">
      <w:pPr>
        <w:pStyle w:val="ListParagraph"/>
        <w:ind w:left="360"/>
      </w:pPr>
      <w:r>
        <w:t>ITU WP5B, Canadian Delegation, Virtual – Nov 2022</w:t>
      </w:r>
    </w:p>
    <w:p w14:paraId="745B4831" w14:textId="612C3FE8" w:rsidR="005B3C5F" w:rsidRDefault="005B3C5F" w:rsidP="00E0689A">
      <w:pPr>
        <w:pStyle w:val="ListParagraph"/>
        <w:ind w:left="360"/>
      </w:pPr>
      <w:r>
        <w:t>IMO EGC Coordinating Panel, Virtual – Nov 2022</w:t>
      </w:r>
    </w:p>
    <w:p w14:paraId="49E758B7" w14:textId="6CD10595" w:rsidR="00702BC0" w:rsidRDefault="00702BC0" w:rsidP="00E0689A">
      <w:pPr>
        <w:pStyle w:val="ListParagraph"/>
        <w:ind w:left="360"/>
      </w:pPr>
      <w:r>
        <w:t>IHO DRWG 21 Part 1, virtual – Feb/Mar 2023</w:t>
      </w:r>
    </w:p>
    <w:p w14:paraId="566A14AE" w14:textId="4828490C" w:rsidR="00702BC0" w:rsidRDefault="00E0689A" w:rsidP="00E0689A">
      <w:pPr>
        <w:pStyle w:val="ListParagraph"/>
        <w:ind w:left="360"/>
      </w:pPr>
      <w:r>
        <w:t xml:space="preserve">IMO </w:t>
      </w:r>
      <w:r w:rsidR="00702BC0">
        <w:t>NCSR 10, Canadian Delegation, in person</w:t>
      </w:r>
      <w:r w:rsidR="005B3C5F">
        <w:t xml:space="preserve"> London UK</w:t>
      </w:r>
      <w:r w:rsidR="00702BC0">
        <w:t xml:space="preserve"> – May 2023</w:t>
      </w:r>
    </w:p>
    <w:p w14:paraId="6FA6BF57" w14:textId="51E473E3" w:rsidR="005B3C5F" w:rsidRDefault="00702BC0" w:rsidP="00E0689A">
      <w:pPr>
        <w:pStyle w:val="ListParagraph"/>
        <w:ind w:left="360"/>
      </w:pPr>
      <w:r>
        <w:t>I</w:t>
      </w:r>
      <w:r w:rsidR="005B3C5F">
        <w:t>H</w:t>
      </w:r>
      <w:r>
        <w:t>O DRWG</w:t>
      </w:r>
      <w:r w:rsidR="00E0689A">
        <w:t xml:space="preserve"> </w:t>
      </w:r>
      <w:r>
        <w:t>21</w:t>
      </w:r>
      <w:r w:rsidR="005B3C5F">
        <w:t xml:space="preserve"> Part 2</w:t>
      </w:r>
      <w:r>
        <w:t>, in person</w:t>
      </w:r>
      <w:r w:rsidR="00D76D51">
        <w:t>,</w:t>
      </w:r>
      <w:r>
        <w:t xml:space="preserve"> London UK – May 2023</w:t>
      </w:r>
    </w:p>
    <w:p w14:paraId="443EB9AF" w14:textId="38E16581" w:rsidR="00D76D51" w:rsidRPr="00D76D51" w:rsidRDefault="00D76D51" w:rsidP="00E0689A">
      <w:pPr>
        <w:pStyle w:val="ListParagraph"/>
        <w:ind w:left="360"/>
        <w:rPr>
          <w:lang w:val="en-US"/>
        </w:rPr>
      </w:pPr>
      <w:r w:rsidRPr="00D76D51">
        <w:rPr>
          <w:lang w:val="en-US"/>
        </w:rPr>
        <w:t xml:space="preserve">ITU CITEL PCC.II, </w:t>
      </w:r>
      <w:r w:rsidR="00726765">
        <w:rPr>
          <w:lang w:val="en-US"/>
        </w:rPr>
        <w:t xml:space="preserve">Canadian Delegation, </w:t>
      </w:r>
      <w:r w:rsidRPr="00D76D51">
        <w:rPr>
          <w:lang w:val="en-US"/>
        </w:rPr>
        <w:t>virtual</w:t>
      </w:r>
      <w:r>
        <w:rPr>
          <w:lang w:val="en-US"/>
        </w:rPr>
        <w:t>, May 2023</w:t>
      </w:r>
    </w:p>
    <w:p w14:paraId="04AD66E3" w14:textId="680E2430" w:rsidR="00E0689A" w:rsidRPr="00E0689A" w:rsidRDefault="005B3C5F" w:rsidP="00E0689A">
      <w:pPr>
        <w:pStyle w:val="ListParagraph"/>
        <w:ind w:left="360"/>
        <w:rPr>
          <w:iCs/>
          <w:color w:val="000000" w:themeColor="text1"/>
        </w:rPr>
      </w:pPr>
      <w:r>
        <w:t xml:space="preserve">IMO MSC 107, Canadian Delegation, </w:t>
      </w:r>
      <w:r w:rsidR="00D76D51">
        <w:t>v</w:t>
      </w:r>
      <w:r>
        <w:t>irtual – May/June 2023</w:t>
      </w:r>
      <w:r w:rsidR="00C75467">
        <w:br/>
      </w:r>
    </w:p>
    <w:p w14:paraId="0D16A9DB" w14:textId="3EDCAAE8" w:rsidR="004D097E" w:rsidRDefault="00171DF5" w:rsidP="002B0F71">
      <w:pPr>
        <w:pStyle w:val="ListParagraph"/>
        <w:numPr>
          <w:ilvl w:val="0"/>
          <w:numId w:val="19"/>
        </w:numPr>
        <w:rPr>
          <w:i/>
          <w:color w:val="7F7F7F" w:themeColor="text1" w:themeTint="80"/>
        </w:rPr>
      </w:pPr>
      <w:r w:rsidRPr="00726765">
        <w:rPr>
          <w:u w:val="single"/>
        </w:rPr>
        <w:t>NAVAREA Website</w:t>
      </w:r>
      <w:r w:rsidR="00187079" w:rsidRPr="009B572F">
        <w:t>:</w:t>
      </w:r>
      <w:r w:rsidR="00C75467">
        <w:br/>
      </w:r>
    </w:p>
    <w:p w14:paraId="05E56941" w14:textId="28EE5857" w:rsidR="00D23744" w:rsidRDefault="00D23744" w:rsidP="00050B38">
      <w:pPr>
        <w:ind w:left="360"/>
      </w:pPr>
      <w:r>
        <w:t xml:space="preserve">Canada has added NAVAREA warnings to its Navigational Warning Issuing System (NIS), so now only one link is needed to find full text warnings and “in-force” bulletins.  This provides the user with options to search results and also export the information in various formats (i.e. pdf, csv, or print format).  </w:t>
      </w:r>
      <w:r w:rsidR="0042518C">
        <w:t>T</w:t>
      </w:r>
      <w:r>
        <w:t xml:space="preserve">he webpage is updated automatically as information is entered </w:t>
      </w:r>
      <w:r w:rsidR="0042518C">
        <w:t>so it can always be considered to be current and accurate</w:t>
      </w:r>
      <w:r>
        <w:t xml:space="preserve">.  </w:t>
      </w:r>
    </w:p>
    <w:p w14:paraId="1D5145A7" w14:textId="77777777" w:rsidR="00D23744" w:rsidRDefault="00D23744" w:rsidP="00050B38">
      <w:pPr>
        <w:ind w:left="360"/>
      </w:pPr>
    </w:p>
    <w:p w14:paraId="0993585D" w14:textId="52A35000" w:rsidR="00050B38" w:rsidRDefault="00C0064B" w:rsidP="00050B38">
      <w:pPr>
        <w:ind w:left="360"/>
      </w:pPr>
      <w:hyperlink r:id="rId12" w:history="1">
        <w:r w:rsidR="00D23744">
          <w:rPr>
            <w:rStyle w:val="Hyperlink"/>
          </w:rPr>
          <w:t>Navigational and NAVAREA warnings (ccg-gcc.gc.ca)</w:t>
        </w:r>
      </w:hyperlink>
    </w:p>
    <w:p w14:paraId="5E40E63E" w14:textId="77777777" w:rsidR="00D23744" w:rsidRPr="008612C4" w:rsidRDefault="00D23744" w:rsidP="00050B38">
      <w:pPr>
        <w:ind w:left="360"/>
      </w:pPr>
    </w:p>
    <w:p w14:paraId="05BD86FB" w14:textId="5CA1094B" w:rsidR="00050B38" w:rsidRPr="008612C4" w:rsidRDefault="0042518C" w:rsidP="00050B38">
      <w:pPr>
        <w:ind w:left="360"/>
      </w:pPr>
      <w:r w:rsidRPr="008612C4">
        <w:t xml:space="preserve">The complete text of all NAVAREA XVII and XVIII </w:t>
      </w:r>
      <w:r w:rsidRPr="008612C4">
        <w:rPr>
          <w:u w:val="single"/>
        </w:rPr>
        <w:t>broadcast warning</w:t>
      </w:r>
      <w:r w:rsidRPr="008612C4">
        <w:t xml:space="preserve"> messages</w:t>
      </w:r>
      <w:r>
        <w:t>, including in-force messages</w:t>
      </w:r>
      <w:r w:rsidRPr="008612C4">
        <w:t xml:space="preserve"> </w:t>
      </w:r>
      <w:r w:rsidR="00050B38" w:rsidRPr="008612C4">
        <w:t xml:space="preserve">may also be requested by email from the NAVAREA Operations desk at: </w:t>
      </w:r>
    </w:p>
    <w:p w14:paraId="52EFF3CB" w14:textId="77777777" w:rsidR="00050B38" w:rsidRPr="008612C4" w:rsidRDefault="00050B38" w:rsidP="00050B38">
      <w:pPr>
        <w:ind w:left="360"/>
      </w:pPr>
    </w:p>
    <w:p w14:paraId="5A689DD1" w14:textId="77777777" w:rsidR="00050B38" w:rsidRPr="008612C4" w:rsidRDefault="00C0064B" w:rsidP="00050B38">
      <w:pPr>
        <w:ind w:left="360"/>
      </w:pPr>
      <w:hyperlink r:id="rId13" w:history="1">
        <w:r w:rsidR="00050B38" w:rsidRPr="008612C4">
          <w:rPr>
            <w:color w:val="0563C1"/>
            <w:u w:val="single"/>
          </w:rPr>
          <w:t>NAVAREA17.18@INNAV.gc.ca</w:t>
        </w:r>
      </w:hyperlink>
    </w:p>
    <w:p w14:paraId="7A7B4A6A" w14:textId="77777777" w:rsidR="00050B38" w:rsidRDefault="00050B38" w:rsidP="00050B38">
      <w:pPr>
        <w:ind w:left="360"/>
      </w:pPr>
    </w:p>
    <w:p w14:paraId="32956272" w14:textId="50E9EDCF" w:rsidR="00050B38" w:rsidRDefault="00050B38" w:rsidP="00050B38">
      <w:pPr>
        <w:ind w:left="360"/>
      </w:pPr>
      <w:r w:rsidRPr="008612C4">
        <w:t>The information on how to find these warnings is promulgated as part of the text of the “In Force” bulletin.</w:t>
      </w:r>
    </w:p>
    <w:p w14:paraId="3954EE26" w14:textId="77777777" w:rsidR="00050B38" w:rsidRPr="00050B38" w:rsidRDefault="00050B38" w:rsidP="00050B38">
      <w:pPr>
        <w:ind w:left="360"/>
        <w:rPr>
          <w:i/>
          <w:color w:val="7F7F7F" w:themeColor="text1" w:themeTint="80"/>
        </w:rPr>
      </w:pPr>
    </w:p>
    <w:p w14:paraId="7F98F66A" w14:textId="77777777" w:rsidR="00050B38" w:rsidRPr="00050B38" w:rsidRDefault="00171DF5" w:rsidP="002B0F71">
      <w:pPr>
        <w:pStyle w:val="ListParagraph"/>
        <w:numPr>
          <w:ilvl w:val="0"/>
          <w:numId w:val="19"/>
        </w:numPr>
      </w:pPr>
      <w:r w:rsidRPr="00726765">
        <w:rPr>
          <w:u w:val="single"/>
        </w:rPr>
        <w:t>NAVAREA Contact Info</w:t>
      </w:r>
      <w:r w:rsidR="00187079" w:rsidRPr="00726765">
        <w:rPr>
          <w:u w:val="single"/>
        </w:rPr>
        <w:t>rmation</w:t>
      </w:r>
      <w:r w:rsidRPr="009B572F">
        <w:t>:</w:t>
      </w:r>
      <w:r w:rsidR="004D097E">
        <w:t xml:space="preserve"> </w:t>
      </w:r>
      <w:r w:rsidR="004D097E">
        <w:br/>
      </w:r>
    </w:p>
    <w:p w14:paraId="2A3246C8" w14:textId="77777777" w:rsidR="00050B38" w:rsidRDefault="00050B38" w:rsidP="00050B38">
      <w:pPr>
        <w:pStyle w:val="ListParagraph"/>
        <w:ind w:left="360"/>
      </w:pPr>
      <w:r>
        <w:t xml:space="preserve">NAVAREA XVII &amp; XVIII </w:t>
      </w:r>
      <w:r w:rsidRPr="00572ABB">
        <w:rPr>
          <w:b/>
          <w:u w:val="single"/>
        </w:rPr>
        <w:t>Operational Desk</w:t>
      </w:r>
      <w:r w:rsidRPr="00572ABB">
        <w:tab/>
      </w:r>
      <w:r>
        <w:t xml:space="preserve">(available 24/7) </w:t>
      </w:r>
    </w:p>
    <w:p w14:paraId="65D22D50" w14:textId="77777777" w:rsidR="00050B38" w:rsidRDefault="00050B38" w:rsidP="00050B38">
      <w:pPr>
        <w:pStyle w:val="ListParagraph"/>
        <w:ind w:left="360"/>
      </w:pPr>
      <w:r>
        <w:t>Prescott MCTS Centre</w:t>
      </w:r>
    </w:p>
    <w:p w14:paraId="4B213AEA" w14:textId="77777777" w:rsidR="00050B38" w:rsidRDefault="00050B38" w:rsidP="00050B38">
      <w:pPr>
        <w:pStyle w:val="ListParagraph"/>
        <w:ind w:left="360"/>
      </w:pPr>
      <w:r>
        <w:t>Telephone: +1 613 925-0666</w:t>
      </w:r>
    </w:p>
    <w:p w14:paraId="54DE0F94" w14:textId="77777777" w:rsidR="00050B38" w:rsidRDefault="00050B38" w:rsidP="00050B38">
      <w:pPr>
        <w:pStyle w:val="ListParagraph"/>
        <w:ind w:left="360"/>
      </w:pPr>
      <w:r>
        <w:t>Facsimile: + 1 613 925-4519</w:t>
      </w:r>
    </w:p>
    <w:p w14:paraId="6608822C" w14:textId="77777777" w:rsidR="00050B38" w:rsidRPr="00572ABB" w:rsidRDefault="00050B38" w:rsidP="00050B38">
      <w:pPr>
        <w:pStyle w:val="ListParagraph"/>
        <w:ind w:left="360"/>
        <w:rPr>
          <w:lang w:val="fr-CA"/>
        </w:rPr>
      </w:pPr>
      <w:r w:rsidRPr="00572ABB">
        <w:rPr>
          <w:lang w:val="fr-CA"/>
        </w:rPr>
        <w:lastRenderedPageBreak/>
        <w:t>E-mail: navarea17.18@innav.gc.ca</w:t>
      </w:r>
    </w:p>
    <w:p w14:paraId="6F76B0EA" w14:textId="77777777" w:rsidR="00050B38" w:rsidRPr="00572ABB" w:rsidRDefault="00050B38" w:rsidP="00050B38">
      <w:pPr>
        <w:pStyle w:val="ListParagraph"/>
        <w:ind w:left="360"/>
        <w:rPr>
          <w:lang w:val="fr-CA"/>
        </w:rPr>
      </w:pPr>
    </w:p>
    <w:p w14:paraId="376E0688" w14:textId="77777777" w:rsidR="00050B38" w:rsidRDefault="00050B38" w:rsidP="00050B38">
      <w:pPr>
        <w:pStyle w:val="ListParagraph"/>
        <w:ind w:left="360"/>
      </w:pPr>
      <w:r>
        <w:t xml:space="preserve">NAVAREA XVII &amp; XVIII </w:t>
      </w:r>
      <w:r w:rsidRPr="00572ABB">
        <w:rPr>
          <w:b/>
          <w:u w:val="single"/>
        </w:rPr>
        <w:t>Coordinator</w:t>
      </w:r>
      <w:r>
        <w:t xml:space="preserve"> </w:t>
      </w:r>
      <w:r>
        <w:tab/>
        <w:t>(business hours)</w:t>
      </w:r>
    </w:p>
    <w:p w14:paraId="12FD5D43" w14:textId="77777777" w:rsidR="00050B38" w:rsidRDefault="00050B38" w:rsidP="00050B38">
      <w:pPr>
        <w:pStyle w:val="ListParagraph"/>
        <w:ind w:left="360"/>
      </w:pPr>
      <w:r>
        <w:t>Valerie Marquette</w:t>
      </w:r>
    </w:p>
    <w:p w14:paraId="1CEF7C41" w14:textId="77777777" w:rsidR="00050B38" w:rsidRDefault="00050B38" w:rsidP="00050B38">
      <w:pPr>
        <w:pStyle w:val="ListParagraph"/>
        <w:ind w:left="360"/>
      </w:pPr>
      <w:r>
        <w:t>Marine Navigation Programs</w:t>
      </w:r>
    </w:p>
    <w:p w14:paraId="2A7E83D6" w14:textId="77777777" w:rsidR="00050B38" w:rsidRDefault="00050B38" w:rsidP="00050B38">
      <w:pPr>
        <w:pStyle w:val="ListParagraph"/>
        <w:ind w:left="360"/>
      </w:pPr>
      <w:r>
        <w:t>Canadian Coast Guard</w:t>
      </w:r>
    </w:p>
    <w:p w14:paraId="52946163" w14:textId="5B7B89AC" w:rsidR="00050B38" w:rsidRDefault="00050B38" w:rsidP="00050B38">
      <w:pPr>
        <w:pStyle w:val="ListParagraph"/>
        <w:ind w:left="360"/>
      </w:pPr>
      <w:r>
        <w:t>2</w:t>
      </w:r>
      <w:r w:rsidR="0042518C">
        <w:t>22</w:t>
      </w:r>
      <w:r>
        <w:t xml:space="preserve"> </w:t>
      </w:r>
      <w:r w:rsidR="0042518C">
        <w:t>Nepean</w:t>
      </w:r>
      <w:r>
        <w:t xml:space="preserve"> St., Ottawa</w:t>
      </w:r>
    </w:p>
    <w:p w14:paraId="2168F918" w14:textId="777D57E1" w:rsidR="00050B38" w:rsidRDefault="00050B38" w:rsidP="00050B38">
      <w:pPr>
        <w:pStyle w:val="ListParagraph"/>
        <w:ind w:left="360"/>
      </w:pPr>
      <w:r>
        <w:t>Ontario K</w:t>
      </w:r>
      <w:r w:rsidR="006E3C6A">
        <w:t>2P 0B8</w:t>
      </w:r>
    </w:p>
    <w:p w14:paraId="5328D74C" w14:textId="77777777" w:rsidR="00050B38" w:rsidRDefault="00050B38" w:rsidP="00050B38">
      <w:pPr>
        <w:pStyle w:val="ListParagraph"/>
        <w:ind w:left="360"/>
      </w:pPr>
      <w:r>
        <w:t>Tel: + 1 343-548-1868</w:t>
      </w:r>
    </w:p>
    <w:p w14:paraId="0DE82572" w14:textId="60D866AF" w:rsidR="004D097E" w:rsidRPr="00050B38" w:rsidRDefault="00050B38" w:rsidP="00050B38">
      <w:pPr>
        <w:pStyle w:val="ListParagraph"/>
        <w:ind w:left="360"/>
        <w:rPr>
          <w:lang w:val="fr-FR"/>
        </w:rPr>
      </w:pPr>
      <w:r w:rsidRPr="00572ABB">
        <w:rPr>
          <w:lang w:val="fr-CA"/>
        </w:rPr>
        <w:t>E-mail: Valerie.Marquette@dfo-mpo.gc.ca</w:t>
      </w:r>
      <w:r w:rsidR="004D097E" w:rsidRPr="00050B38">
        <w:rPr>
          <w:lang w:val="fr-FR"/>
        </w:rPr>
        <w:br/>
      </w:r>
    </w:p>
    <w:p w14:paraId="674F7725" w14:textId="77777777" w:rsidR="00050B38" w:rsidRPr="00050B38" w:rsidRDefault="00171DF5" w:rsidP="002B0F71">
      <w:pPr>
        <w:pStyle w:val="ListParagraph"/>
        <w:numPr>
          <w:ilvl w:val="0"/>
          <w:numId w:val="19"/>
        </w:numPr>
      </w:pPr>
      <w:r w:rsidRPr="00726765">
        <w:rPr>
          <w:u w:val="single"/>
        </w:rPr>
        <w:t>Recommendations</w:t>
      </w:r>
      <w:r>
        <w:t>:</w:t>
      </w:r>
      <w:r w:rsidR="004D097E">
        <w:br/>
      </w:r>
    </w:p>
    <w:p w14:paraId="5073D78C" w14:textId="1699704A" w:rsidR="004D097E" w:rsidRPr="00050B38" w:rsidRDefault="00050B38" w:rsidP="00050B38">
      <w:pPr>
        <w:pStyle w:val="ListParagraph"/>
        <w:ind w:left="360"/>
      </w:pPr>
      <w:r w:rsidRPr="00050B38">
        <w:t>None</w:t>
      </w:r>
      <w:r w:rsidR="004D097E" w:rsidRPr="00050B38">
        <w:rPr>
          <w:i/>
          <w:color w:val="7F7F7F" w:themeColor="text1" w:themeTint="80"/>
        </w:rPr>
        <w:br/>
      </w:r>
    </w:p>
    <w:p w14:paraId="63361DA6" w14:textId="77777777" w:rsidR="00050B38" w:rsidRPr="00050B38" w:rsidRDefault="00171DF5" w:rsidP="002B0F71">
      <w:pPr>
        <w:pStyle w:val="ListParagraph"/>
        <w:numPr>
          <w:ilvl w:val="0"/>
          <w:numId w:val="19"/>
        </w:numPr>
        <w:rPr>
          <w:color w:val="000000" w:themeColor="text1"/>
        </w:rPr>
      </w:pPr>
      <w:r w:rsidRPr="00726765">
        <w:rPr>
          <w:u w:val="single"/>
        </w:rPr>
        <w:t>Actions requested</w:t>
      </w:r>
      <w:r w:rsidRPr="00171DF5">
        <w:t>:</w:t>
      </w:r>
      <w:r w:rsidR="004D097E">
        <w:br/>
      </w:r>
    </w:p>
    <w:p w14:paraId="67BB4912" w14:textId="68242FB2" w:rsidR="004D097E" w:rsidRPr="00050B38" w:rsidRDefault="00050B38" w:rsidP="00050B38">
      <w:pPr>
        <w:pStyle w:val="ListParagraph"/>
        <w:ind w:left="360"/>
        <w:rPr>
          <w:color w:val="000000" w:themeColor="text1"/>
        </w:rPr>
      </w:pPr>
      <w:r w:rsidRPr="00050B38">
        <w:t>Note the report</w:t>
      </w:r>
      <w:r w:rsidR="00AC1C8C">
        <w:t xml:space="preserve"> and update bookmarks accordingly for the NAVAREA warnings. </w:t>
      </w:r>
      <w:r w:rsidR="004D097E" w:rsidRPr="00050B38">
        <w:rPr>
          <w:color w:val="000000" w:themeColor="text1"/>
        </w:rPr>
        <w:br/>
      </w:r>
    </w:p>
    <w:p w14:paraId="67D3254D" w14:textId="4CA0650E" w:rsidR="00D244F4" w:rsidRPr="006C203F" w:rsidRDefault="00547A5A" w:rsidP="00176986">
      <w:pPr>
        <w:pStyle w:val="ListParagraph"/>
        <w:numPr>
          <w:ilvl w:val="0"/>
          <w:numId w:val="19"/>
        </w:numPr>
        <w:rPr>
          <w:color w:val="000000" w:themeColor="text1"/>
        </w:rPr>
      </w:pPr>
      <w:r w:rsidRPr="006C203F">
        <w:rPr>
          <w:u w:val="single"/>
        </w:rPr>
        <w:t>S</w:t>
      </w:r>
      <w:r w:rsidR="00D61436" w:rsidRPr="006C203F">
        <w:rPr>
          <w:u w:val="single"/>
        </w:rPr>
        <w:t>ummary</w:t>
      </w:r>
      <w:r>
        <w:t>:</w:t>
      </w:r>
      <w:r w:rsidR="003654CF">
        <w:t xml:space="preserve"> </w:t>
      </w:r>
      <w:r w:rsidR="004D097E">
        <w:br/>
      </w:r>
      <w:r w:rsidR="006C203F">
        <w:t xml:space="preserve">Canada is advising mariners about the intention to cease rectangular broadcasts in the Arctic NAVAREAs by Jan 1, 2024 and has also commenced the process of updating all NAVTEX stations across the country.  NAVAREA warnings have been added to the national navigational warning </w:t>
      </w:r>
      <w:r w:rsidR="006C203F">
        <w:t xml:space="preserve">issuing service (NIS) </w:t>
      </w:r>
      <w:r w:rsidR="006C203F">
        <w:t xml:space="preserve">website so please update bookmarks accordingly.  </w:t>
      </w:r>
    </w:p>
    <w:p w14:paraId="14237D9E" w14:textId="77777777" w:rsidR="00E554BB" w:rsidRDefault="00E554BB" w:rsidP="00BE2A55"/>
    <w:p w14:paraId="3096C920" w14:textId="177CE94E" w:rsidR="00E554BB" w:rsidRDefault="00E554BB" w:rsidP="00050B38"/>
    <w:sectPr w:rsidR="00E554BB" w:rsidSect="00C363B6">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D399" w14:textId="77777777" w:rsidR="0005608A" w:rsidRDefault="0005608A">
      <w:r>
        <w:separator/>
      </w:r>
    </w:p>
  </w:endnote>
  <w:endnote w:type="continuationSeparator" w:id="0">
    <w:p w14:paraId="7282F402" w14:textId="77777777" w:rsidR="0005608A" w:rsidRDefault="0005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4D66" w14:textId="69F23DD9" w:rsidR="00BE2A55" w:rsidRDefault="00BE2A55" w:rsidP="008D4F78">
    <w:pPr>
      <w:pStyle w:val="Footer"/>
      <w:jc w:val="center"/>
    </w:pPr>
    <w:r>
      <w:rPr>
        <w:lang w:val="en-US"/>
      </w:rPr>
      <w:t xml:space="preserve">Page </w:t>
    </w:r>
    <w:r w:rsidR="00DD65EE">
      <w:rPr>
        <w:lang w:val="en-US"/>
      </w:rPr>
      <w:fldChar w:fldCharType="begin"/>
    </w:r>
    <w:r>
      <w:rPr>
        <w:lang w:val="en-US"/>
      </w:rPr>
      <w:instrText xml:space="preserve"> PAGE </w:instrText>
    </w:r>
    <w:r w:rsidR="00DD65EE">
      <w:rPr>
        <w:lang w:val="en-US"/>
      </w:rPr>
      <w:fldChar w:fldCharType="separate"/>
    </w:r>
    <w:r w:rsidR="00297443">
      <w:rPr>
        <w:noProof/>
        <w:lang w:val="en-US"/>
      </w:rPr>
      <w:t>8</w:t>
    </w:r>
    <w:r w:rsidR="00DD65EE">
      <w:rPr>
        <w:lang w:val="en-US"/>
      </w:rPr>
      <w:fldChar w:fldCharType="end"/>
    </w:r>
    <w:r>
      <w:rPr>
        <w:lang w:val="en-US"/>
      </w:rPr>
      <w:t xml:space="preserve"> of </w:t>
    </w:r>
    <w:r w:rsidR="00DD65EE">
      <w:rPr>
        <w:lang w:val="en-US"/>
      </w:rPr>
      <w:fldChar w:fldCharType="begin"/>
    </w:r>
    <w:r>
      <w:rPr>
        <w:lang w:val="en-US"/>
      </w:rPr>
      <w:instrText xml:space="preserve"> NUMPAGES </w:instrText>
    </w:r>
    <w:r w:rsidR="00DD65EE">
      <w:rPr>
        <w:lang w:val="en-US"/>
      </w:rPr>
      <w:fldChar w:fldCharType="separate"/>
    </w:r>
    <w:r w:rsidR="00297443">
      <w:rPr>
        <w:noProof/>
        <w:lang w:val="en-US"/>
      </w:rPr>
      <w:t>8</w:t>
    </w:r>
    <w:r w:rsidR="00DD65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2A55" w14:textId="77777777" w:rsidR="0005608A" w:rsidRDefault="0005608A">
      <w:r>
        <w:separator/>
      </w:r>
    </w:p>
  </w:footnote>
  <w:footnote w:type="continuationSeparator" w:id="0">
    <w:p w14:paraId="4AE86031" w14:textId="77777777" w:rsidR="0005608A" w:rsidRDefault="0005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9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5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96B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4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3F7DE2"/>
    <w:multiLevelType w:val="multilevel"/>
    <w:tmpl w:val="6CFEEF30"/>
    <w:lvl w:ilvl="0">
      <w:start w:val="3"/>
      <w:numFmt w:val="decimal"/>
      <w:lvlText w:val="%1."/>
      <w:lvlJc w:val="left"/>
      <w:pPr>
        <w:ind w:left="360" w:hanging="360"/>
      </w:pPr>
      <w:rPr>
        <w:rFonts w:hint="default"/>
        <w:i w:val="0"/>
        <w:iCs w:val="0"/>
      </w:rPr>
    </w:lvl>
    <w:lvl w:ilvl="1">
      <w:start w:val="6"/>
      <w:numFmt w:val="decimal"/>
      <w:lvlText w:val="%1.%2."/>
      <w:lvlJc w:val="left"/>
      <w:pPr>
        <w:ind w:left="792" w:hanging="432"/>
      </w:pPr>
      <w:rPr>
        <w:rFonts w:hint="default"/>
        <w:i w:val="0"/>
        <w:iCs/>
        <w:color w:val="auto"/>
      </w:rPr>
    </w:lvl>
    <w:lvl w:ilvl="2">
      <w:start w:val="1"/>
      <w:numFmt w:val="decimal"/>
      <w:lvlText w:val="%1.%2.%3."/>
      <w:lvlJc w:val="left"/>
      <w:pPr>
        <w:ind w:left="1224" w:hanging="504"/>
      </w:pPr>
      <w:rPr>
        <w:rFonts w:hint="default"/>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2E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3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3E7FE4"/>
    <w:multiLevelType w:val="hybridMultilevel"/>
    <w:tmpl w:val="05421566"/>
    <w:lvl w:ilvl="0" w:tplc="04090019">
      <w:start w:val="1"/>
      <w:numFmt w:val="lowerLetter"/>
      <w:lvlText w:val="%1."/>
      <w:lvlJc w:val="left"/>
      <w:pPr>
        <w:ind w:left="1080" w:hanging="360"/>
      </w:pPr>
    </w:lvl>
    <w:lvl w:ilvl="1" w:tplc="9FC4B7F4">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902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169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A573E"/>
    <w:multiLevelType w:val="multilevel"/>
    <w:tmpl w:val="97E01240"/>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rPr>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ED07DB"/>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96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6D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B61849"/>
    <w:multiLevelType w:val="hybridMultilevel"/>
    <w:tmpl w:val="4EA6B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624200">
    <w:abstractNumId w:val="17"/>
  </w:num>
  <w:num w:numId="2" w16cid:durableId="687372294">
    <w:abstractNumId w:val="13"/>
  </w:num>
  <w:num w:numId="3" w16cid:durableId="357584964">
    <w:abstractNumId w:val="3"/>
  </w:num>
  <w:num w:numId="4" w16cid:durableId="1646469111">
    <w:abstractNumId w:val="0"/>
  </w:num>
  <w:num w:numId="5" w16cid:durableId="457063964">
    <w:abstractNumId w:val="2"/>
  </w:num>
  <w:num w:numId="6" w16cid:durableId="1673676062">
    <w:abstractNumId w:val="1"/>
  </w:num>
  <w:num w:numId="7" w16cid:durableId="550729910">
    <w:abstractNumId w:val="11"/>
  </w:num>
  <w:num w:numId="8" w16cid:durableId="1128160274">
    <w:abstractNumId w:val="14"/>
  </w:num>
  <w:num w:numId="9" w16cid:durableId="719135115">
    <w:abstractNumId w:val="8"/>
  </w:num>
  <w:num w:numId="10" w16cid:durableId="1228614285">
    <w:abstractNumId w:val="12"/>
  </w:num>
  <w:num w:numId="11" w16cid:durableId="1626623561">
    <w:abstractNumId w:val="4"/>
  </w:num>
  <w:num w:numId="12" w16cid:durableId="991056027">
    <w:abstractNumId w:val="10"/>
  </w:num>
  <w:num w:numId="13" w16cid:durableId="336930933">
    <w:abstractNumId w:val="16"/>
  </w:num>
  <w:num w:numId="14" w16cid:durableId="1485119664">
    <w:abstractNumId w:val="5"/>
  </w:num>
  <w:num w:numId="15" w16cid:durableId="1463621851">
    <w:abstractNumId w:val="15"/>
  </w:num>
  <w:num w:numId="16" w16cid:durableId="1691757177">
    <w:abstractNumId w:val="7"/>
  </w:num>
  <w:num w:numId="17" w16cid:durableId="3715366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632579">
    <w:abstractNumId w:val="9"/>
  </w:num>
  <w:num w:numId="19" w16cid:durableId="2129011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64"/>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3DE"/>
    <w:rsid w:val="000237D6"/>
    <w:rsid w:val="00024B40"/>
    <w:rsid w:val="00024D25"/>
    <w:rsid w:val="000253C4"/>
    <w:rsid w:val="000253E8"/>
    <w:rsid w:val="00025433"/>
    <w:rsid w:val="00025844"/>
    <w:rsid w:val="00025AAB"/>
    <w:rsid w:val="0002633E"/>
    <w:rsid w:val="00026F22"/>
    <w:rsid w:val="00027BC5"/>
    <w:rsid w:val="00030848"/>
    <w:rsid w:val="0003097A"/>
    <w:rsid w:val="00030B1A"/>
    <w:rsid w:val="00030C28"/>
    <w:rsid w:val="000320CC"/>
    <w:rsid w:val="0003243D"/>
    <w:rsid w:val="0003376C"/>
    <w:rsid w:val="000341CD"/>
    <w:rsid w:val="000342C8"/>
    <w:rsid w:val="00034733"/>
    <w:rsid w:val="00035B35"/>
    <w:rsid w:val="00035D3F"/>
    <w:rsid w:val="00036721"/>
    <w:rsid w:val="00037C24"/>
    <w:rsid w:val="000404CB"/>
    <w:rsid w:val="00041151"/>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0B38"/>
    <w:rsid w:val="00051A10"/>
    <w:rsid w:val="00052518"/>
    <w:rsid w:val="00052A54"/>
    <w:rsid w:val="00053275"/>
    <w:rsid w:val="0005373C"/>
    <w:rsid w:val="000543A7"/>
    <w:rsid w:val="00054AF2"/>
    <w:rsid w:val="0005530B"/>
    <w:rsid w:val="0005608A"/>
    <w:rsid w:val="0005681A"/>
    <w:rsid w:val="00056E58"/>
    <w:rsid w:val="000570CD"/>
    <w:rsid w:val="00057C0D"/>
    <w:rsid w:val="00057DEA"/>
    <w:rsid w:val="00060FCB"/>
    <w:rsid w:val="00061672"/>
    <w:rsid w:val="00061B05"/>
    <w:rsid w:val="00061C77"/>
    <w:rsid w:val="00061E5E"/>
    <w:rsid w:val="000642D6"/>
    <w:rsid w:val="00064519"/>
    <w:rsid w:val="00064B53"/>
    <w:rsid w:val="00065EF8"/>
    <w:rsid w:val="0006603E"/>
    <w:rsid w:val="000663D6"/>
    <w:rsid w:val="00066C8C"/>
    <w:rsid w:val="00066D4F"/>
    <w:rsid w:val="00067069"/>
    <w:rsid w:val="000678B8"/>
    <w:rsid w:val="00067F0F"/>
    <w:rsid w:val="000701CB"/>
    <w:rsid w:val="000701E0"/>
    <w:rsid w:val="0007160E"/>
    <w:rsid w:val="000720E1"/>
    <w:rsid w:val="00072C01"/>
    <w:rsid w:val="00072E66"/>
    <w:rsid w:val="00072F66"/>
    <w:rsid w:val="00073471"/>
    <w:rsid w:val="00073544"/>
    <w:rsid w:val="0007392B"/>
    <w:rsid w:val="00074691"/>
    <w:rsid w:val="00074ABE"/>
    <w:rsid w:val="00074D9E"/>
    <w:rsid w:val="00074F95"/>
    <w:rsid w:val="000753B1"/>
    <w:rsid w:val="00075489"/>
    <w:rsid w:val="00075E39"/>
    <w:rsid w:val="00076072"/>
    <w:rsid w:val="000766C0"/>
    <w:rsid w:val="00076A32"/>
    <w:rsid w:val="000776F7"/>
    <w:rsid w:val="0008091B"/>
    <w:rsid w:val="00080BCC"/>
    <w:rsid w:val="00081AA0"/>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C66"/>
    <w:rsid w:val="000B5643"/>
    <w:rsid w:val="000B637C"/>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C739D"/>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B2F"/>
    <w:rsid w:val="000E3E65"/>
    <w:rsid w:val="000E3F91"/>
    <w:rsid w:val="000E3FCB"/>
    <w:rsid w:val="000E409A"/>
    <w:rsid w:val="000E4C1A"/>
    <w:rsid w:val="000E4F93"/>
    <w:rsid w:val="000E556A"/>
    <w:rsid w:val="000E5933"/>
    <w:rsid w:val="000E601D"/>
    <w:rsid w:val="000E635A"/>
    <w:rsid w:val="000E6534"/>
    <w:rsid w:val="000E6951"/>
    <w:rsid w:val="000E745C"/>
    <w:rsid w:val="000E74A9"/>
    <w:rsid w:val="000E7BE9"/>
    <w:rsid w:val="000E7EEA"/>
    <w:rsid w:val="000F0BBB"/>
    <w:rsid w:val="000F15B5"/>
    <w:rsid w:val="000F2986"/>
    <w:rsid w:val="000F2B8A"/>
    <w:rsid w:val="000F36CE"/>
    <w:rsid w:val="000F386F"/>
    <w:rsid w:val="000F48C7"/>
    <w:rsid w:val="000F557C"/>
    <w:rsid w:val="000F57F2"/>
    <w:rsid w:val="000F7256"/>
    <w:rsid w:val="000F7507"/>
    <w:rsid w:val="000F7F3B"/>
    <w:rsid w:val="00100429"/>
    <w:rsid w:val="0010089C"/>
    <w:rsid w:val="00100D4E"/>
    <w:rsid w:val="00100F34"/>
    <w:rsid w:val="001033DD"/>
    <w:rsid w:val="001039B9"/>
    <w:rsid w:val="0010455D"/>
    <w:rsid w:val="00105257"/>
    <w:rsid w:val="00110049"/>
    <w:rsid w:val="001112AA"/>
    <w:rsid w:val="001113FC"/>
    <w:rsid w:val="00111DD6"/>
    <w:rsid w:val="00112639"/>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2CCE"/>
    <w:rsid w:val="001433FB"/>
    <w:rsid w:val="00143438"/>
    <w:rsid w:val="00143AFA"/>
    <w:rsid w:val="0014561F"/>
    <w:rsid w:val="001457A6"/>
    <w:rsid w:val="00145ED6"/>
    <w:rsid w:val="00152119"/>
    <w:rsid w:val="00152755"/>
    <w:rsid w:val="00153BE5"/>
    <w:rsid w:val="00153CEC"/>
    <w:rsid w:val="001552A0"/>
    <w:rsid w:val="00155711"/>
    <w:rsid w:val="001567EA"/>
    <w:rsid w:val="00156AFB"/>
    <w:rsid w:val="001574C0"/>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1DF5"/>
    <w:rsid w:val="00172736"/>
    <w:rsid w:val="00172D16"/>
    <w:rsid w:val="00173093"/>
    <w:rsid w:val="00173240"/>
    <w:rsid w:val="00175BEA"/>
    <w:rsid w:val="00176684"/>
    <w:rsid w:val="00176D7A"/>
    <w:rsid w:val="001776E1"/>
    <w:rsid w:val="00177D92"/>
    <w:rsid w:val="00180286"/>
    <w:rsid w:val="00181F81"/>
    <w:rsid w:val="00182288"/>
    <w:rsid w:val="0018276C"/>
    <w:rsid w:val="00182AF9"/>
    <w:rsid w:val="0018341E"/>
    <w:rsid w:val="001834BF"/>
    <w:rsid w:val="00183523"/>
    <w:rsid w:val="00183D3E"/>
    <w:rsid w:val="00183E65"/>
    <w:rsid w:val="00184505"/>
    <w:rsid w:val="00184791"/>
    <w:rsid w:val="001856B3"/>
    <w:rsid w:val="00185A8D"/>
    <w:rsid w:val="00185F09"/>
    <w:rsid w:val="00185F14"/>
    <w:rsid w:val="001869DC"/>
    <w:rsid w:val="00187011"/>
    <w:rsid w:val="00187079"/>
    <w:rsid w:val="00187702"/>
    <w:rsid w:val="00190601"/>
    <w:rsid w:val="00190611"/>
    <w:rsid w:val="00190DD4"/>
    <w:rsid w:val="00190E31"/>
    <w:rsid w:val="00190E3C"/>
    <w:rsid w:val="001912BE"/>
    <w:rsid w:val="00192908"/>
    <w:rsid w:val="00192958"/>
    <w:rsid w:val="00192DE8"/>
    <w:rsid w:val="0019317F"/>
    <w:rsid w:val="00194D73"/>
    <w:rsid w:val="00195849"/>
    <w:rsid w:val="00196A9C"/>
    <w:rsid w:val="001977C0"/>
    <w:rsid w:val="00197C9E"/>
    <w:rsid w:val="001A005D"/>
    <w:rsid w:val="001A073E"/>
    <w:rsid w:val="001A082A"/>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A7FF8"/>
    <w:rsid w:val="001B0A0A"/>
    <w:rsid w:val="001B0C70"/>
    <w:rsid w:val="001B203D"/>
    <w:rsid w:val="001B30A8"/>
    <w:rsid w:val="001B3A60"/>
    <w:rsid w:val="001B42B2"/>
    <w:rsid w:val="001B4A09"/>
    <w:rsid w:val="001B4CE5"/>
    <w:rsid w:val="001B5C62"/>
    <w:rsid w:val="001B5F63"/>
    <w:rsid w:val="001B60EE"/>
    <w:rsid w:val="001B63E6"/>
    <w:rsid w:val="001B6692"/>
    <w:rsid w:val="001B7058"/>
    <w:rsid w:val="001B7C66"/>
    <w:rsid w:val="001B7DD7"/>
    <w:rsid w:val="001C1409"/>
    <w:rsid w:val="001C15E7"/>
    <w:rsid w:val="001C1B7F"/>
    <w:rsid w:val="001C2B58"/>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A55"/>
    <w:rsid w:val="001E31AE"/>
    <w:rsid w:val="001E3BE2"/>
    <w:rsid w:val="001E3D64"/>
    <w:rsid w:val="001E3E3E"/>
    <w:rsid w:val="001E4FC4"/>
    <w:rsid w:val="001E5F59"/>
    <w:rsid w:val="001E68FA"/>
    <w:rsid w:val="001E6E3A"/>
    <w:rsid w:val="001E7BDE"/>
    <w:rsid w:val="001F0746"/>
    <w:rsid w:val="001F078D"/>
    <w:rsid w:val="001F14FE"/>
    <w:rsid w:val="001F287F"/>
    <w:rsid w:val="001F29DC"/>
    <w:rsid w:val="001F50B0"/>
    <w:rsid w:val="001F5AB4"/>
    <w:rsid w:val="001F6EE2"/>
    <w:rsid w:val="001F7DD1"/>
    <w:rsid w:val="002006B6"/>
    <w:rsid w:val="00200A6D"/>
    <w:rsid w:val="00200C88"/>
    <w:rsid w:val="002016D2"/>
    <w:rsid w:val="00202209"/>
    <w:rsid w:val="00202C48"/>
    <w:rsid w:val="00202EAA"/>
    <w:rsid w:val="00202EC9"/>
    <w:rsid w:val="00202EE1"/>
    <w:rsid w:val="00202FEB"/>
    <w:rsid w:val="002032C5"/>
    <w:rsid w:val="002032D6"/>
    <w:rsid w:val="00203909"/>
    <w:rsid w:val="00204330"/>
    <w:rsid w:val="002046BE"/>
    <w:rsid w:val="00204789"/>
    <w:rsid w:val="00205121"/>
    <w:rsid w:val="002052A9"/>
    <w:rsid w:val="00205598"/>
    <w:rsid w:val="002057C1"/>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2DD"/>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6069"/>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41A"/>
    <w:rsid w:val="0023784E"/>
    <w:rsid w:val="00240295"/>
    <w:rsid w:val="0024055F"/>
    <w:rsid w:val="00241E3A"/>
    <w:rsid w:val="002426CA"/>
    <w:rsid w:val="002446EF"/>
    <w:rsid w:val="00244BE9"/>
    <w:rsid w:val="00245D9F"/>
    <w:rsid w:val="00246335"/>
    <w:rsid w:val="0024698C"/>
    <w:rsid w:val="00246DA5"/>
    <w:rsid w:val="00247F28"/>
    <w:rsid w:val="00250536"/>
    <w:rsid w:val="0025079E"/>
    <w:rsid w:val="00250A3D"/>
    <w:rsid w:val="00250C8B"/>
    <w:rsid w:val="00250F67"/>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3DC3"/>
    <w:rsid w:val="00284B9C"/>
    <w:rsid w:val="002856BB"/>
    <w:rsid w:val="0028605A"/>
    <w:rsid w:val="00287052"/>
    <w:rsid w:val="002871A2"/>
    <w:rsid w:val="002873ED"/>
    <w:rsid w:val="002876AE"/>
    <w:rsid w:val="0028782E"/>
    <w:rsid w:val="00287C89"/>
    <w:rsid w:val="00290AD9"/>
    <w:rsid w:val="00290DFA"/>
    <w:rsid w:val="002914A2"/>
    <w:rsid w:val="00292692"/>
    <w:rsid w:val="00292C88"/>
    <w:rsid w:val="00292ED5"/>
    <w:rsid w:val="002935A9"/>
    <w:rsid w:val="00293890"/>
    <w:rsid w:val="00293B7F"/>
    <w:rsid w:val="00293E43"/>
    <w:rsid w:val="00294587"/>
    <w:rsid w:val="002952D7"/>
    <w:rsid w:val="0029534A"/>
    <w:rsid w:val="00295832"/>
    <w:rsid w:val="00295F1F"/>
    <w:rsid w:val="00296176"/>
    <w:rsid w:val="00297443"/>
    <w:rsid w:val="00297D82"/>
    <w:rsid w:val="002A0B74"/>
    <w:rsid w:val="002A0DF9"/>
    <w:rsid w:val="002A10DD"/>
    <w:rsid w:val="002A115C"/>
    <w:rsid w:val="002A14A7"/>
    <w:rsid w:val="002A2D34"/>
    <w:rsid w:val="002A31AE"/>
    <w:rsid w:val="002A392E"/>
    <w:rsid w:val="002A4315"/>
    <w:rsid w:val="002A48A9"/>
    <w:rsid w:val="002A5A94"/>
    <w:rsid w:val="002A5D7B"/>
    <w:rsid w:val="002A636C"/>
    <w:rsid w:val="002A6DC4"/>
    <w:rsid w:val="002B0274"/>
    <w:rsid w:val="002B0F71"/>
    <w:rsid w:val="002B23C7"/>
    <w:rsid w:val="002B265C"/>
    <w:rsid w:val="002B266B"/>
    <w:rsid w:val="002B2E94"/>
    <w:rsid w:val="002B330C"/>
    <w:rsid w:val="002B3C26"/>
    <w:rsid w:val="002B3C37"/>
    <w:rsid w:val="002B44C1"/>
    <w:rsid w:val="002B606E"/>
    <w:rsid w:val="002B60B3"/>
    <w:rsid w:val="002B7201"/>
    <w:rsid w:val="002B720E"/>
    <w:rsid w:val="002B7E6B"/>
    <w:rsid w:val="002C0E1F"/>
    <w:rsid w:val="002C1547"/>
    <w:rsid w:val="002C194C"/>
    <w:rsid w:val="002C1EDB"/>
    <w:rsid w:val="002C2A6D"/>
    <w:rsid w:val="002C2FDF"/>
    <w:rsid w:val="002C3B09"/>
    <w:rsid w:val="002C45FB"/>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A2C"/>
    <w:rsid w:val="002D71BA"/>
    <w:rsid w:val="002D74C6"/>
    <w:rsid w:val="002D758F"/>
    <w:rsid w:val="002D7A57"/>
    <w:rsid w:val="002E0010"/>
    <w:rsid w:val="002E0216"/>
    <w:rsid w:val="002E0F97"/>
    <w:rsid w:val="002E1A64"/>
    <w:rsid w:val="002E1E2F"/>
    <w:rsid w:val="002E2512"/>
    <w:rsid w:val="002E26AA"/>
    <w:rsid w:val="002E4FE9"/>
    <w:rsid w:val="002E7EB7"/>
    <w:rsid w:val="002F1D9C"/>
    <w:rsid w:val="002F1E5B"/>
    <w:rsid w:val="002F1FB2"/>
    <w:rsid w:val="002F3B2B"/>
    <w:rsid w:val="002F6893"/>
    <w:rsid w:val="002F6973"/>
    <w:rsid w:val="003002FE"/>
    <w:rsid w:val="003004F9"/>
    <w:rsid w:val="00300570"/>
    <w:rsid w:val="00301387"/>
    <w:rsid w:val="00301492"/>
    <w:rsid w:val="00301A7C"/>
    <w:rsid w:val="00301F20"/>
    <w:rsid w:val="003023A4"/>
    <w:rsid w:val="0030244F"/>
    <w:rsid w:val="00302E55"/>
    <w:rsid w:val="0030342E"/>
    <w:rsid w:val="003058B4"/>
    <w:rsid w:val="00307662"/>
    <w:rsid w:val="003076F0"/>
    <w:rsid w:val="0030776F"/>
    <w:rsid w:val="00310540"/>
    <w:rsid w:val="003108EA"/>
    <w:rsid w:val="0031142F"/>
    <w:rsid w:val="00312E96"/>
    <w:rsid w:val="003140AE"/>
    <w:rsid w:val="00314DCF"/>
    <w:rsid w:val="00315F7E"/>
    <w:rsid w:val="00315FAE"/>
    <w:rsid w:val="00316533"/>
    <w:rsid w:val="00317456"/>
    <w:rsid w:val="0032107A"/>
    <w:rsid w:val="003210E6"/>
    <w:rsid w:val="0032192F"/>
    <w:rsid w:val="00322459"/>
    <w:rsid w:val="003229F5"/>
    <w:rsid w:val="0032303E"/>
    <w:rsid w:val="00323C7E"/>
    <w:rsid w:val="00324C4F"/>
    <w:rsid w:val="00324CD9"/>
    <w:rsid w:val="0032677F"/>
    <w:rsid w:val="0032705D"/>
    <w:rsid w:val="003273A5"/>
    <w:rsid w:val="003301BC"/>
    <w:rsid w:val="00330877"/>
    <w:rsid w:val="003329E1"/>
    <w:rsid w:val="00333E7F"/>
    <w:rsid w:val="00334847"/>
    <w:rsid w:val="00334D85"/>
    <w:rsid w:val="003351ED"/>
    <w:rsid w:val="003352BD"/>
    <w:rsid w:val="00335791"/>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5BF"/>
    <w:rsid w:val="0035088A"/>
    <w:rsid w:val="00350A32"/>
    <w:rsid w:val="00350FE0"/>
    <w:rsid w:val="003515D3"/>
    <w:rsid w:val="00351A04"/>
    <w:rsid w:val="003520D2"/>
    <w:rsid w:val="003528CB"/>
    <w:rsid w:val="00352AB8"/>
    <w:rsid w:val="0035302F"/>
    <w:rsid w:val="003538FE"/>
    <w:rsid w:val="00353D54"/>
    <w:rsid w:val="00354360"/>
    <w:rsid w:val="0035473E"/>
    <w:rsid w:val="003554AA"/>
    <w:rsid w:val="00355DC0"/>
    <w:rsid w:val="00356D88"/>
    <w:rsid w:val="003577CC"/>
    <w:rsid w:val="00357AEF"/>
    <w:rsid w:val="00357EAA"/>
    <w:rsid w:val="00360064"/>
    <w:rsid w:val="00360897"/>
    <w:rsid w:val="003608F6"/>
    <w:rsid w:val="0036124E"/>
    <w:rsid w:val="00361D48"/>
    <w:rsid w:val="00361F5E"/>
    <w:rsid w:val="00362CCC"/>
    <w:rsid w:val="003649E5"/>
    <w:rsid w:val="003654CF"/>
    <w:rsid w:val="00367169"/>
    <w:rsid w:val="00367375"/>
    <w:rsid w:val="00367751"/>
    <w:rsid w:val="00370234"/>
    <w:rsid w:val="00370295"/>
    <w:rsid w:val="003706A2"/>
    <w:rsid w:val="0037086C"/>
    <w:rsid w:val="00370C17"/>
    <w:rsid w:val="0037195E"/>
    <w:rsid w:val="0037212F"/>
    <w:rsid w:val="00372C1A"/>
    <w:rsid w:val="00372C3D"/>
    <w:rsid w:val="00375074"/>
    <w:rsid w:val="00376321"/>
    <w:rsid w:val="00376733"/>
    <w:rsid w:val="0038018B"/>
    <w:rsid w:val="0038054D"/>
    <w:rsid w:val="003810BA"/>
    <w:rsid w:val="003814BC"/>
    <w:rsid w:val="00382217"/>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0E1"/>
    <w:rsid w:val="003931C0"/>
    <w:rsid w:val="00393A37"/>
    <w:rsid w:val="00393D0E"/>
    <w:rsid w:val="00393DCC"/>
    <w:rsid w:val="0039467A"/>
    <w:rsid w:val="0039576A"/>
    <w:rsid w:val="00395AA8"/>
    <w:rsid w:val="0039632C"/>
    <w:rsid w:val="0039693D"/>
    <w:rsid w:val="00396FFF"/>
    <w:rsid w:val="00397411"/>
    <w:rsid w:val="003A0170"/>
    <w:rsid w:val="003A01CE"/>
    <w:rsid w:val="003A079E"/>
    <w:rsid w:val="003A07F2"/>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66C4"/>
    <w:rsid w:val="003B6D09"/>
    <w:rsid w:val="003B7003"/>
    <w:rsid w:val="003B7C93"/>
    <w:rsid w:val="003C0F11"/>
    <w:rsid w:val="003C1356"/>
    <w:rsid w:val="003C174A"/>
    <w:rsid w:val="003C1CA0"/>
    <w:rsid w:val="003C1D51"/>
    <w:rsid w:val="003C2477"/>
    <w:rsid w:val="003C274F"/>
    <w:rsid w:val="003C2B4A"/>
    <w:rsid w:val="003C31C8"/>
    <w:rsid w:val="003C3264"/>
    <w:rsid w:val="003C3ACD"/>
    <w:rsid w:val="003C3C89"/>
    <w:rsid w:val="003C3C9C"/>
    <w:rsid w:val="003C44AF"/>
    <w:rsid w:val="003C4945"/>
    <w:rsid w:val="003C520F"/>
    <w:rsid w:val="003C5291"/>
    <w:rsid w:val="003C55C4"/>
    <w:rsid w:val="003C5F43"/>
    <w:rsid w:val="003C6362"/>
    <w:rsid w:val="003C693E"/>
    <w:rsid w:val="003C6CB0"/>
    <w:rsid w:val="003C6CCD"/>
    <w:rsid w:val="003C746E"/>
    <w:rsid w:val="003C74B1"/>
    <w:rsid w:val="003C75C0"/>
    <w:rsid w:val="003C7ABE"/>
    <w:rsid w:val="003D0981"/>
    <w:rsid w:val="003D103B"/>
    <w:rsid w:val="003D138B"/>
    <w:rsid w:val="003D1708"/>
    <w:rsid w:val="003D1EA8"/>
    <w:rsid w:val="003D1ED1"/>
    <w:rsid w:val="003D2524"/>
    <w:rsid w:val="003D2718"/>
    <w:rsid w:val="003D300D"/>
    <w:rsid w:val="003D4553"/>
    <w:rsid w:val="003D58A4"/>
    <w:rsid w:val="003D5C8B"/>
    <w:rsid w:val="003D63AC"/>
    <w:rsid w:val="003D71C1"/>
    <w:rsid w:val="003D78BA"/>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327"/>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76E5"/>
    <w:rsid w:val="003F771E"/>
    <w:rsid w:val="003F787F"/>
    <w:rsid w:val="003F7D8B"/>
    <w:rsid w:val="003F7D9D"/>
    <w:rsid w:val="004004BC"/>
    <w:rsid w:val="00400576"/>
    <w:rsid w:val="004008AA"/>
    <w:rsid w:val="00400B28"/>
    <w:rsid w:val="00400CE4"/>
    <w:rsid w:val="004017F9"/>
    <w:rsid w:val="00402263"/>
    <w:rsid w:val="004026FD"/>
    <w:rsid w:val="004029F2"/>
    <w:rsid w:val="00403290"/>
    <w:rsid w:val="00403EEE"/>
    <w:rsid w:val="00404124"/>
    <w:rsid w:val="00404135"/>
    <w:rsid w:val="00405023"/>
    <w:rsid w:val="0040566D"/>
    <w:rsid w:val="004056E7"/>
    <w:rsid w:val="00405960"/>
    <w:rsid w:val="00405EDF"/>
    <w:rsid w:val="004076E3"/>
    <w:rsid w:val="00407E31"/>
    <w:rsid w:val="004121BD"/>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840"/>
    <w:rsid w:val="00423991"/>
    <w:rsid w:val="00423D28"/>
    <w:rsid w:val="004248E9"/>
    <w:rsid w:val="0042518C"/>
    <w:rsid w:val="004259AF"/>
    <w:rsid w:val="00425E77"/>
    <w:rsid w:val="00426091"/>
    <w:rsid w:val="00426B1E"/>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6FC3"/>
    <w:rsid w:val="0044726E"/>
    <w:rsid w:val="0044784A"/>
    <w:rsid w:val="00451430"/>
    <w:rsid w:val="004515F5"/>
    <w:rsid w:val="0045170E"/>
    <w:rsid w:val="00452AB8"/>
    <w:rsid w:val="004530C9"/>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397"/>
    <w:rsid w:val="00461531"/>
    <w:rsid w:val="00461F54"/>
    <w:rsid w:val="0046222D"/>
    <w:rsid w:val="004634A3"/>
    <w:rsid w:val="00463DE0"/>
    <w:rsid w:val="00463F78"/>
    <w:rsid w:val="004645CF"/>
    <w:rsid w:val="00464776"/>
    <w:rsid w:val="00464C71"/>
    <w:rsid w:val="00465F0C"/>
    <w:rsid w:val="00466DF7"/>
    <w:rsid w:val="00466FA9"/>
    <w:rsid w:val="004670F9"/>
    <w:rsid w:val="0046737C"/>
    <w:rsid w:val="00467694"/>
    <w:rsid w:val="004679C7"/>
    <w:rsid w:val="00467A3A"/>
    <w:rsid w:val="00467D46"/>
    <w:rsid w:val="004712F1"/>
    <w:rsid w:val="00471487"/>
    <w:rsid w:val="00472002"/>
    <w:rsid w:val="0047293A"/>
    <w:rsid w:val="00472996"/>
    <w:rsid w:val="00472E84"/>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1E25"/>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093A"/>
    <w:rsid w:val="004A1448"/>
    <w:rsid w:val="004A2EAF"/>
    <w:rsid w:val="004A31D0"/>
    <w:rsid w:val="004A3582"/>
    <w:rsid w:val="004A3A0B"/>
    <w:rsid w:val="004A4054"/>
    <w:rsid w:val="004A43D2"/>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83B"/>
    <w:rsid w:val="004C211A"/>
    <w:rsid w:val="004C288F"/>
    <w:rsid w:val="004C291C"/>
    <w:rsid w:val="004C3143"/>
    <w:rsid w:val="004C3D70"/>
    <w:rsid w:val="004C3E5F"/>
    <w:rsid w:val="004C5494"/>
    <w:rsid w:val="004C63AB"/>
    <w:rsid w:val="004C67B8"/>
    <w:rsid w:val="004C682E"/>
    <w:rsid w:val="004C6BE2"/>
    <w:rsid w:val="004D097E"/>
    <w:rsid w:val="004D0C7C"/>
    <w:rsid w:val="004D0E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509"/>
    <w:rsid w:val="004D5F6D"/>
    <w:rsid w:val="004D61F6"/>
    <w:rsid w:val="004D6D2F"/>
    <w:rsid w:val="004D6DE2"/>
    <w:rsid w:val="004D78ED"/>
    <w:rsid w:val="004D7F0D"/>
    <w:rsid w:val="004E06F6"/>
    <w:rsid w:val="004E1634"/>
    <w:rsid w:val="004E183E"/>
    <w:rsid w:val="004E1CA7"/>
    <w:rsid w:val="004E1D17"/>
    <w:rsid w:val="004E1F24"/>
    <w:rsid w:val="004E3A1F"/>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50A"/>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2D9E"/>
    <w:rsid w:val="0053334E"/>
    <w:rsid w:val="00533889"/>
    <w:rsid w:val="00535AE4"/>
    <w:rsid w:val="00535D8B"/>
    <w:rsid w:val="00536A76"/>
    <w:rsid w:val="00536D14"/>
    <w:rsid w:val="005374A5"/>
    <w:rsid w:val="00537C0A"/>
    <w:rsid w:val="005400ED"/>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964"/>
    <w:rsid w:val="00547A5A"/>
    <w:rsid w:val="00547DD6"/>
    <w:rsid w:val="00550CF6"/>
    <w:rsid w:val="00550E07"/>
    <w:rsid w:val="00550E47"/>
    <w:rsid w:val="00550E4D"/>
    <w:rsid w:val="005513E0"/>
    <w:rsid w:val="00551C3C"/>
    <w:rsid w:val="00551F82"/>
    <w:rsid w:val="00552293"/>
    <w:rsid w:val="005526DA"/>
    <w:rsid w:val="00552729"/>
    <w:rsid w:val="00552FB8"/>
    <w:rsid w:val="005531B6"/>
    <w:rsid w:val="00553BFB"/>
    <w:rsid w:val="00554671"/>
    <w:rsid w:val="00555915"/>
    <w:rsid w:val="00555CA4"/>
    <w:rsid w:val="00555CCD"/>
    <w:rsid w:val="005561EA"/>
    <w:rsid w:val="00556274"/>
    <w:rsid w:val="00556A4B"/>
    <w:rsid w:val="0055736C"/>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4B1"/>
    <w:rsid w:val="005705D7"/>
    <w:rsid w:val="00570C8A"/>
    <w:rsid w:val="00570EC3"/>
    <w:rsid w:val="00570F26"/>
    <w:rsid w:val="00571009"/>
    <w:rsid w:val="00571724"/>
    <w:rsid w:val="0057212A"/>
    <w:rsid w:val="005725E3"/>
    <w:rsid w:val="00572B3D"/>
    <w:rsid w:val="00572C23"/>
    <w:rsid w:val="005735CA"/>
    <w:rsid w:val="00573E8F"/>
    <w:rsid w:val="00574258"/>
    <w:rsid w:val="00575480"/>
    <w:rsid w:val="005758FD"/>
    <w:rsid w:val="00576737"/>
    <w:rsid w:val="00576DE9"/>
    <w:rsid w:val="005771BB"/>
    <w:rsid w:val="00577A53"/>
    <w:rsid w:val="00577F58"/>
    <w:rsid w:val="00580AEC"/>
    <w:rsid w:val="005822A0"/>
    <w:rsid w:val="0058307A"/>
    <w:rsid w:val="0058533B"/>
    <w:rsid w:val="00585765"/>
    <w:rsid w:val="00586186"/>
    <w:rsid w:val="005862EB"/>
    <w:rsid w:val="00586462"/>
    <w:rsid w:val="00587E5F"/>
    <w:rsid w:val="005909B3"/>
    <w:rsid w:val="00591104"/>
    <w:rsid w:val="005919E7"/>
    <w:rsid w:val="005922F9"/>
    <w:rsid w:val="00593990"/>
    <w:rsid w:val="00593B84"/>
    <w:rsid w:val="00593E6A"/>
    <w:rsid w:val="005950B8"/>
    <w:rsid w:val="005955DD"/>
    <w:rsid w:val="00595D68"/>
    <w:rsid w:val="005960D8"/>
    <w:rsid w:val="00596630"/>
    <w:rsid w:val="00596859"/>
    <w:rsid w:val="00596C55"/>
    <w:rsid w:val="00597589"/>
    <w:rsid w:val="0059763C"/>
    <w:rsid w:val="0059779A"/>
    <w:rsid w:val="00597811"/>
    <w:rsid w:val="005A118C"/>
    <w:rsid w:val="005A1385"/>
    <w:rsid w:val="005A1CEE"/>
    <w:rsid w:val="005A4536"/>
    <w:rsid w:val="005A495E"/>
    <w:rsid w:val="005A4DEF"/>
    <w:rsid w:val="005A4FBA"/>
    <w:rsid w:val="005A50C2"/>
    <w:rsid w:val="005A5571"/>
    <w:rsid w:val="005A5EAE"/>
    <w:rsid w:val="005A5F83"/>
    <w:rsid w:val="005B0BFB"/>
    <w:rsid w:val="005B0CDE"/>
    <w:rsid w:val="005B100E"/>
    <w:rsid w:val="005B1ABE"/>
    <w:rsid w:val="005B1B8D"/>
    <w:rsid w:val="005B24EF"/>
    <w:rsid w:val="005B3C5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258"/>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CDC"/>
    <w:rsid w:val="005E4D1D"/>
    <w:rsid w:val="005E5B82"/>
    <w:rsid w:val="005E5D12"/>
    <w:rsid w:val="005E6469"/>
    <w:rsid w:val="005E649D"/>
    <w:rsid w:val="005E703C"/>
    <w:rsid w:val="005E7A1A"/>
    <w:rsid w:val="005E7B2A"/>
    <w:rsid w:val="005E7DB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9EA"/>
    <w:rsid w:val="00602A35"/>
    <w:rsid w:val="00603EBA"/>
    <w:rsid w:val="00605E56"/>
    <w:rsid w:val="00606CCA"/>
    <w:rsid w:val="00606EDD"/>
    <w:rsid w:val="0060746B"/>
    <w:rsid w:val="00607711"/>
    <w:rsid w:val="00607966"/>
    <w:rsid w:val="006105BD"/>
    <w:rsid w:val="00610DF2"/>
    <w:rsid w:val="006117F6"/>
    <w:rsid w:val="00611CBF"/>
    <w:rsid w:val="00611F96"/>
    <w:rsid w:val="00612E97"/>
    <w:rsid w:val="00613F97"/>
    <w:rsid w:val="00614293"/>
    <w:rsid w:val="00614474"/>
    <w:rsid w:val="0061484E"/>
    <w:rsid w:val="00615223"/>
    <w:rsid w:val="00615282"/>
    <w:rsid w:val="006155C5"/>
    <w:rsid w:val="00616AFF"/>
    <w:rsid w:val="00616F0D"/>
    <w:rsid w:val="0061706A"/>
    <w:rsid w:val="00617B2A"/>
    <w:rsid w:val="00617F99"/>
    <w:rsid w:val="006203F7"/>
    <w:rsid w:val="00620BB7"/>
    <w:rsid w:val="006211D5"/>
    <w:rsid w:val="006214A1"/>
    <w:rsid w:val="00622AC3"/>
    <w:rsid w:val="006238E8"/>
    <w:rsid w:val="00623FD8"/>
    <w:rsid w:val="006245E3"/>
    <w:rsid w:val="00624EEC"/>
    <w:rsid w:val="006259F4"/>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2CA"/>
    <w:rsid w:val="00635C13"/>
    <w:rsid w:val="00636445"/>
    <w:rsid w:val="00636B06"/>
    <w:rsid w:val="00636BB6"/>
    <w:rsid w:val="00636BFB"/>
    <w:rsid w:val="00637021"/>
    <w:rsid w:val="006400AD"/>
    <w:rsid w:val="00640278"/>
    <w:rsid w:val="006407F7"/>
    <w:rsid w:val="00640F91"/>
    <w:rsid w:val="006421C4"/>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308"/>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9C0"/>
    <w:rsid w:val="00670FEA"/>
    <w:rsid w:val="006712D0"/>
    <w:rsid w:val="00672819"/>
    <w:rsid w:val="00672B50"/>
    <w:rsid w:val="00673A1B"/>
    <w:rsid w:val="006744A1"/>
    <w:rsid w:val="00674E74"/>
    <w:rsid w:val="006754C9"/>
    <w:rsid w:val="00675F61"/>
    <w:rsid w:val="0067607D"/>
    <w:rsid w:val="00677191"/>
    <w:rsid w:val="00677E87"/>
    <w:rsid w:val="00680FF5"/>
    <w:rsid w:val="00682529"/>
    <w:rsid w:val="00682B48"/>
    <w:rsid w:val="00683ECC"/>
    <w:rsid w:val="006843DE"/>
    <w:rsid w:val="00684FC2"/>
    <w:rsid w:val="006851B0"/>
    <w:rsid w:val="0068589E"/>
    <w:rsid w:val="00686196"/>
    <w:rsid w:val="006864BA"/>
    <w:rsid w:val="00686DDB"/>
    <w:rsid w:val="00686EC4"/>
    <w:rsid w:val="00687459"/>
    <w:rsid w:val="00687CC4"/>
    <w:rsid w:val="00687EB6"/>
    <w:rsid w:val="00690AC4"/>
    <w:rsid w:val="00690D29"/>
    <w:rsid w:val="00691508"/>
    <w:rsid w:val="00691EC5"/>
    <w:rsid w:val="00693B0A"/>
    <w:rsid w:val="00693C89"/>
    <w:rsid w:val="00693D0A"/>
    <w:rsid w:val="00693EF9"/>
    <w:rsid w:val="0069458C"/>
    <w:rsid w:val="00694835"/>
    <w:rsid w:val="006957DA"/>
    <w:rsid w:val="00695E38"/>
    <w:rsid w:val="006972F7"/>
    <w:rsid w:val="006A147A"/>
    <w:rsid w:val="006A14F0"/>
    <w:rsid w:val="006A1731"/>
    <w:rsid w:val="006A286F"/>
    <w:rsid w:val="006A28ED"/>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4F1"/>
    <w:rsid w:val="006B3720"/>
    <w:rsid w:val="006B43B5"/>
    <w:rsid w:val="006B4DD4"/>
    <w:rsid w:val="006B4FBF"/>
    <w:rsid w:val="006B5224"/>
    <w:rsid w:val="006B5360"/>
    <w:rsid w:val="006B5CE8"/>
    <w:rsid w:val="006B678A"/>
    <w:rsid w:val="006B7E34"/>
    <w:rsid w:val="006C0387"/>
    <w:rsid w:val="006C041B"/>
    <w:rsid w:val="006C1194"/>
    <w:rsid w:val="006C1877"/>
    <w:rsid w:val="006C203F"/>
    <w:rsid w:val="006C2564"/>
    <w:rsid w:val="006C2728"/>
    <w:rsid w:val="006C272F"/>
    <w:rsid w:val="006C28CC"/>
    <w:rsid w:val="006C29D5"/>
    <w:rsid w:val="006C2EC5"/>
    <w:rsid w:val="006C3A89"/>
    <w:rsid w:val="006C41A7"/>
    <w:rsid w:val="006C4357"/>
    <w:rsid w:val="006C44F5"/>
    <w:rsid w:val="006C5506"/>
    <w:rsid w:val="006C5A39"/>
    <w:rsid w:val="006C5C4F"/>
    <w:rsid w:val="006C6857"/>
    <w:rsid w:val="006C6BB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480"/>
    <w:rsid w:val="006D760F"/>
    <w:rsid w:val="006E03DD"/>
    <w:rsid w:val="006E04B2"/>
    <w:rsid w:val="006E051A"/>
    <w:rsid w:val="006E07AF"/>
    <w:rsid w:val="006E0980"/>
    <w:rsid w:val="006E133E"/>
    <w:rsid w:val="006E1423"/>
    <w:rsid w:val="006E1F7D"/>
    <w:rsid w:val="006E2584"/>
    <w:rsid w:val="006E30A0"/>
    <w:rsid w:val="006E3795"/>
    <w:rsid w:val="006E3960"/>
    <w:rsid w:val="006E3C6A"/>
    <w:rsid w:val="006E454A"/>
    <w:rsid w:val="006E49A1"/>
    <w:rsid w:val="006E4D6B"/>
    <w:rsid w:val="006E4E2E"/>
    <w:rsid w:val="006E4F4B"/>
    <w:rsid w:val="006E6C4C"/>
    <w:rsid w:val="006E6EA0"/>
    <w:rsid w:val="006E7665"/>
    <w:rsid w:val="006F05C8"/>
    <w:rsid w:val="006F0D9D"/>
    <w:rsid w:val="006F1282"/>
    <w:rsid w:val="006F1311"/>
    <w:rsid w:val="006F187B"/>
    <w:rsid w:val="006F2341"/>
    <w:rsid w:val="006F2875"/>
    <w:rsid w:val="006F4217"/>
    <w:rsid w:val="006F4909"/>
    <w:rsid w:val="006F4DA1"/>
    <w:rsid w:val="006F62EF"/>
    <w:rsid w:val="006F6D43"/>
    <w:rsid w:val="006F739E"/>
    <w:rsid w:val="006F7840"/>
    <w:rsid w:val="006F7BDB"/>
    <w:rsid w:val="006F7E44"/>
    <w:rsid w:val="006F7F88"/>
    <w:rsid w:val="00700318"/>
    <w:rsid w:val="0070294F"/>
    <w:rsid w:val="00702BA3"/>
    <w:rsid w:val="00702BC0"/>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33E"/>
    <w:rsid w:val="00713C2F"/>
    <w:rsid w:val="00714221"/>
    <w:rsid w:val="007145B8"/>
    <w:rsid w:val="00714C8B"/>
    <w:rsid w:val="00714E23"/>
    <w:rsid w:val="0071505E"/>
    <w:rsid w:val="007156DC"/>
    <w:rsid w:val="00715967"/>
    <w:rsid w:val="007164E1"/>
    <w:rsid w:val="00716898"/>
    <w:rsid w:val="007169E7"/>
    <w:rsid w:val="00720B30"/>
    <w:rsid w:val="00720F23"/>
    <w:rsid w:val="00721324"/>
    <w:rsid w:val="0072301B"/>
    <w:rsid w:val="0072331B"/>
    <w:rsid w:val="0072353C"/>
    <w:rsid w:val="00723650"/>
    <w:rsid w:val="00723837"/>
    <w:rsid w:val="007249B6"/>
    <w:rsid w:val="00724B01"/>
    <w:rsid w:val="00725268"/>
    <w:rsid w:val="007253CF"/>
    <w:rsid w:val="0072575D"/>
    <w:rsid w:val="00726049"/>
    <w:rsid w:val="00726765"/>
    <w:rsid w:val="00726AF1"/>
    <w:rsid w:val="007272DF"/>
    <w:rsid w:val="00727AC7"/>
    <w:rsid w:val="00727C8D"/>
    <w:rsid w:val="00730974"/>
    <w:rsid w:val="007312E2"/>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230"/>
    <w:rsid w:val="007465FE"/>
    <w:rsid w:val="00747C8F"/>
    <w:rsid w:val="00747D15"/>
    <w:rsid w:val="00747D7E"/>
    <w:rsid w:val="00750495"/>
    <w:rsid w:val="00750ECD"/>
    <w:rsid w:val="007510E4"/>
    <w:rsid w:val="00751497"/>
    <w:rsid w:val="00752A06"/>
    <w:rsid w:val="00752A7A"/>
    <w:rsid w:val="00752CD7"/>
    <w:rsid w:val="0075325F"/>
    <w:rsid w:val="00753435"/>
    <w:rsid w:val="00753486"/>
    <w:rsid w:val="00753A66"/>
    <w:rsid w:val="00753C79"/>
    <w:rsid w:val="00754218"/>
    <w:rsid w:val="00754F48"/>
    <w:rsid w:val="0075500F"/>
    <w:rsid w:val="00755606"/>
    <w:rsid w:val="00755D33"/>
    <w:rsid w:val="00755F23"/>
    <w:rsid w:val="00755F87"/>
    <w:rsid w:val="00757242"/>
    <w:rsid w:val="00757645"/>
    <w:rsid w:val="00757672"/>
    <w:rsid w:val="00760239"/>
    <w:rsid w:val="00760470"/>
    <w:rsid w:val="00760E7A"/>
    <w:rsid w:val="007610B3"/>
    <w:rsid w:val="00761470"/>
    <w:rsid w:val="00761B2C"/>
    <w:rsid w:val="00761C0F"/>
    <w:rsid w:val="00762B5B"/>
    <w:rsid w:val="00762D13"/>
    <w:rsid w:val="00762EA8"/>
    <w:rsid w:val="007632C8"/>
    <w:rsid w:val="00763471"/>
    <w:rsid w:val="00763A66"/>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3C5"/>
    <w:rsid w:val="00796782"/>
    <w:rsid w:val="007975FE"/>
    <w:rsid w:val="007A05BA"/>
    <w:rsid w:val="007A10CE"/>
    <w:rsid w:val="007A20AB"/>
    <w:rsid w:val="007A2E05"/>
    <w:rsid w:val="007A2F43"/>
    <w:rsid w:val="007A4DBE"/>
    <w:rsid w:val="007A5023"/>
    <w:rsid w:val="007A5317"/>
    <w:rsid w:val="007A5C66"/>
    <w:rsid w:val="007A5E63"/>
    <w:rsid w:val="007A6018"/>
    <w:rsid w:val="007A77D5"/>
    <w:rsid w:val="007A7B84"/>
    <w:rsid w:val="007B085C"/>
    <w:rsid w:val="007B147F"/>
    <w:rsid w:val="007B1779"/>
    <w:rsid w:val="007B23D0"/>
    <w:rsid w:val="007B2670"/>
    <w:rsid w:val="007B34F6"/>
    <w:rsid w:val="007B38C8"/>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C7A1D"/>
    <w:rsid w:val="007D03F2"/>
    <w:rsid w:val="007D270E"/>
    <w:rsid w:val="007D466E"/>
    <w:rsid w:val="007D4DE9"/>
    <w:rsid w:val="007D55B5"/>
    <w:rsid w:val="007D5C6C"/>
    <w:rsid w:val="007D6F82"/>
    <w:rsid w:val="007D6FBD"/>
    <w:rsid w:val="007D75EC"/>
    <w:rsid w:val="007D76FF"/>
    <w:rsid w:val="007E015E"/>
    <w:rsid w:val="007E0D08"/>
    <w:rsid w:val="007E0E9B"/>
    <w:rsid w:val="007E1778"/>
    <w:rsid w:val="007E20F3"/>
    <w:rsid w:val="007E257F"/>
    <w:rsid w:val="007E2D6A"/>
    <w:rsid w:val="007E39C5"/>
    <w:rsid w:val="007E5DA7"/>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0ED"/>
    <w:rsid w:val="00802E96"/>
    <w:rsid w:val="00802F62"/>
    <w:rsid w:val="00803294"/>
    <w:rsid w:val="00803DA9"/>
    <w:rsid w:val="00803DD7"/>
    <w:rsid w:val="0080571D"/>
    <w:rsid w:val="008058F5"/>
    <w:rsid w:val="008059BE"/>
    <w:rsid w:val="00805AEB"/>
    <w:rsid w:val="00805FBD"/>
    <w:rsid w:val="00807C31"/>
    <w:rsid w:val="0081028F"/>
    <w:rsid w:val="0081074D"/>
    <w:rsid w:val="00811293"/>
    <w:rsid w:val="008117C1"/>
    <w:rsid w:val="00811DFC"/>
    <w:rsid w:val="008122E2"/>
    <w:rsid w:val="00812C14"/>
    <w:rsid w:val="008135BF"/>
    <w:rsid w:val="00813700"/>
    <w:rsid w:val="008151D4"/>
    <w:rsid w:val="00815650"/>
    <w:rsid w:val="00816A30"/>
    <w:rsid w:val="0081759C"/>
    <w:rsid w:val="008176E4"/>
    <w:rsid w:val="008204C4"/>
    <w:rsid w:val="00820D8C"/>
    <w:rsid w:val="008216DD"/>
    <w:rsid w:val="008233DB"/>
    <w:rsid w:val="0082358F"/>
    <w:rsid w:val="00823B6D"/>
    <w:rsid w:val="0082492F"/>
    <w:rsid w:val="00824953"/>
    <w:rsid w:val="00824DDE"/>
    <w:rsid w:val="008259CB"/>
    <w:rsid w:val="00825C7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ACE"/>
    <w:rsid w:val="00841ED7"/>
    <w:rsid w:val="00842084"/>
    <w:rsid w:val="0084240D"/>
    <w:rsid w:val="00842705"/>
    <w:rsid w:val="00842984"/>
    <w:rsid w:val="00844524"/>
    <w:rsid w:val="00844C2F"/>
    <w:rsid w:val="00844FEE"/>
    <w:rsid w:val="00845373"/>
    <w:rsid w:val="00845B11"/>
    <w:rsid w:val="008464DB"/>
    <w:rsid w:val="00846584"/>
    <w:rsid w:val="00846713"/>
    <w:rsid w:val="0084679E"/>
    <w:rsid w:val="0084681E"/>
    <w:rsid w:val="00846DC8"/>
    <w:rsid w:val="00846F10"/>
    <w:rsid w:val="008470F6"/>
    <w:rsid w:val="008475F6"/>
    <w:rsid w:val="00847908"/>
    <w:rsid w:val="00850A36"/>
    <w:rsid w:val="008510BF"/>
    <w:rsid w:val="00852D32"/>
    <w:rsid w:val="00852F33"/>
    <w:rsid w:val="008530CC"/>
    <w:rsid w:val="00853852"/>
    <w:rsid w:val="00854264"/>
    <w:rsid w:val="008543C8"/>
    <w:rsid w:val="00854960"/>
    <w:rsid w:val="00854EF8"/>
    <w:rsid w:val="00855850"/>
    <w:rsid w:val="00855A7F"/>
    <w:rsid w:val="0085677B"/>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436"/>
    <w:rsid w:val="00875ACB"/>
    <w:rsid w:val="00875DE9"/>
    <w:rsid w:val="00876145"/>
    <w:rsid w:val="008770EE"/>
    <w:rsid w:val="00877DA4"/>
    <w:rsid w:val="00877FC1"/>
    <w:rsid w:val="00880657"/>
    <w:rsid w:val="00880BF0"/>
    <w:rsid w:val="00880DE7"/>
    <w:rsid w:val="0088134C"/>
    <w:rsid w:val="00881A28"/>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0FED"/>
    <w:rsid w:val="008913E1"/>
    <w:rsid w:val="00891E27"/>
    <w:rsid w:val="00892337"/>
    <w:rsid w:val="00892751"/>
    <w:rsid w:val="0089283B"/>
    <w:rsid w:val="008945DE"/>
    <w:rsid w:val="008946A8"/>
    <w:rsid w:val="008946E8"/>
    <w:rsid w:val="00896841"/>
    <w:rsid w:val="00896E07"/>
    <w:rsid w:val="00897B1D"/>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AAA"/>
    <w:rsid w:val="008A7B4D"/>
    <w:rsid w:val="008A7BC4"/>
    <w:rsid w:val="008B0451"/>
    <w:rsid w:val="008B1AEB"/>
    <w:rsid w:val="008B1EA8"/>
    <w:rsid w:val="008B20DC"/>
    <w:rsid w:val="008B20E1"/>
    <w:rsid w:val="008B2676"/>
    <w:rsid w:val="008B36BF"/>
    <w:rsid w:val="008B3DE5"/>
    <w:rsid w:val="008B45D5"/>
    <w:rsid w:val="008B4D91"/>
    <w:rsid w:val="008B59B4"/>
    <w:rsid w:val="008B5CEB"/>
    <w:rsid w:val="008B5E99"/>
    <w:rsid w:val="008B667E"/>
    <w:rsid w:val="008B6F26"/>
    <w:rsid w:val="008B7054"/>
    <w:rsid w:val="008B7216"/>
    <w:rsid w:val="008B7964"/>
    <w:rsid w:val="008C0DF7"/>
    <w:rsid w:val="008C1611"/>
    <w:rsid w:val="008C1DE8"/>
    <w:rsid w:val="008C23FE"/>
    <w:rsid w:val="008C2CD5"/>
    <w:rsid w:val="008C2E6F"/>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CDD"/>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4FA6"/>
    <w:rsid w:val="008E518A"/>
    <w:rsid w:val="008E523B"/>
    <w:rsid w:val="008E5BC7"/>
    <w:rsid w:val="008E6627"/>
    <w:rsid w:val="008E6963"/>
    <w:rsid w:val="008E7330"/>
    <w:rsid w:val="008F08F8"/>
    <w:rsid w:val="008F140E"/>
    <w:rsid w:val="008F18D0"/>
    <w:rsid w:val="008F1CBD"/>
    <w:rsid w:val="008F253F"/>
    <w:rsid w:val="008F368A"/>
    <w:rsid w:val="008F4991"/>
    <w:rsid w:val="008F4FAD"/>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4FF3"/>
    <w:rsid w:val="00905E19"/>
    <w:rsid w:val="00906304"/>
    <w:rsid w:val="00907012"/>
    <w:rsid w:val="0090775F"/>
    <w:rsid w:val="00907F53"/>
    <w:rsid w:val="00910537"/>
    <w:rsid w:val="00910C1C"/>
    <w:rsid w:val="00912048"/>
    <w:rsid w:val="009129EF"/>
    <w:rsid w:val="00912B65"/>
    <w:rsid w:val="00912EAF"/>
    <w:rsid w:val="009130D8"/>
    <w:rsid w:val="009144B5"/>
    <w:rsid w:val="00914531"/>
    <w:rsid w:val="00915544"/>
    <w:rsid w:val="00916512"/>
    <w:rsid w:val="0091719E"/>
    <w:rsid w:val="00917380"/>
    <w:rsid w:val="00917447"/>
    <w:rsid w:val="009176FF"/>
    <w:rsid w:val="00917E39"/>
    <w:rsid w:val="009203B3"/>
    <w:rsid w:val="009205F4"/>
    <w:rsid w:val="0092269C"/>
    <w:rsid w:val="009229AC"/>
    <w:rsid w:val="00923371"/>
    <w:rsid w:val="0092372F"/>
    <w:rsid w:val="009237D4"/>
    <w:rsid w:val="00923BC5"/>
    <w:rsid w:val="0092462D"/>
    <w:rsid w:val="009248B5"/>
    <w:rsid w:val="00924CFF"/>
    <w:rsid w:val="00925174"/>
    <w:rsid w:val="00925617"/>
    <w:rsid w:val="00925ADA"/>
    <w:rsid w:val="009267C0"/>
    <w:rsid w:val="0092733B"/>
    <w:rsid w:val="009276FD"/>
    <w:rsid w:val="00927DE3"/>
    <w:rsid w:val="009301C7"/>
    <w:rsid w:val="00930623"/>
    <w:rsid w:val="00930B73"/>
    <w:rsid w:val="00930C76"/>
    <w:rsid w:val="00930F53"/>
    <w:rsid w:val="0093159F"/>
    <w:rsid w:val="00931B69"/>
    <w:rsid w:val="00932919"/>
    <w:rsid w:val="00932EA0"/>
    <w:rsid w:val="00933BB2"/>
    <w:rsid w:val="00933E4E"/>
    <w:rsid w:val="0093489B"/>
    <w:rsid w:val="00935D70"/>
    <w:rsid w:val="009364DF"/>
    <w:rsid w:val="009369CE"/>
    <w:rsid w:val="00936D6D"/>
    <w:rsid w:val="00937AD6"/>
    <w:rsid w:val="00937BF6"/>
    <w:rsid w:val="00937C0E"/>
    <w:rsid w:val="009406F4"/>
    <w:rsid w:val="00940AE1"/>
    <w:rsid w:val="00940B8E"/>
    <w:rsid w:val="00941530"/>
    <w:rsid w:val="0094174D"/>
    <w:rsid w:val="00941BF8"/>
    <w:rsid w:val="00943425"/>
    <w:rsid w:val="00943515"/>
    <w:rsid w:val="00943A38"/>
    <w:rsid w:val="00944178"/>
    <w:rsid w:val="0094424A"/>
    <w:rsid w:val="00944465"/>
    <w:rsid w:val="00944871"/>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6653"/>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2B77"/>
    <w:rsid w:val="009830D7"/>
    <w:rsid w:val="0098356E"/>
    <w:rsid w:val="00983F61"/>
    <w:rsid w:val="00984AA3"/>
    <w:rsid w:val="00984C30"/>
    <w:rsid w:val="00985402"/>
    <w:rsid w:val="00985555"/>
    <w:rsid w:val="009858BB"/>
    <w:rsid w:val="0098685F"/>
    <w:rsid w:val="00986FF5"/>
    <w:rsid w:val="0098708B"/>
    <w:rsid w:val="00987D84"/>
    <w:rsid w:val="00987DAF"/>
    <w:rsid w:val="00987FD6"/>
    <w:rsid w:val="009904AD"/>
    <w:rsid w:val="00990DC9"/>
    <w:rsid w:val="00990F09"/>
    <w:rsid w:val="00990F46"/>
    <w:rsid w:val="00991522"/>
    <w:rsid w:val="00991FBB"/>
    <w:rsid w:val="00992FE1"/>
    <w:rsid w:val="00993593"/>
    <w:rsid w:val="009935A8"/>
    <w:rsid w:val="009952CF"/>
    <w:rsid w:val="0099576C"/>
    <w:rsid w:val="00995AF9"/>
    <w:rsid w:val="009961D2"/>
    <w:rsid w:val="009966DF"/>
    <w:rsid w:val="00996C7B"/>
    <w:rsid w:val="009A00C7"/>
    <w:rsid w:val="009A08F0"/>
    <w:rsid w:val="009A1546"/>
    <w:rsid w:val="009A27D5"/>
    <w:rsid w:val="009A2F05"/>
    <w:rsid w:val="009A3E0B"/>
    <w:rsid w:val="009A3E77"/>
    <w:rsid w:val="009A448D"/>
    <w:rsid w:val="009A4AF5"/>
    <w:rsid w:val="009A4F3B"/>
    <w:rsid w:val="009A542A"/>
    <w:rsid w:val="009A5463"/>
    <w:rsid w:val="009A5DB0"/>
    <w:rsid w:val="009A72DE"/>
    <w:rsid w:val="009A7367"/>
    <w:rsid w:val="009A7480"/>
    <w:rsid w:val="009A776A"/>
    <w:rsid w:val="009A7998"/>
    <w:rsid w:val="009B0990"/>
    <w:rsid w:val="009B0EA9"/>
    <w:rsid w:val="009B0F9C"/>
    <w:rsid w:val="009B18B0"/>
    <w:rsid w:val="009B1B50"/>
    <w:rsid w:val="009B1B72"/>
    <w:rsid w:val="009B2F3C"/>
    <w:rsid w:val="009B36B7"/>
    <w:rsid w:val="009B3E4A"/>
    <w:rsid w:val="009B46AB"/>
    <w:rsid w:val="009B56AE"/>
    <w:rsid w:val="009B572F"/>
    <w:rsid w:val="009B6D4A"/>
    <w:rsid w:val="009B6F26"/>
    <w:rsid w:val="009B6FEB"/>
    <w:rsid w:val="009B704D"/>
    <w:rsid w:val="009B7063"/>
    <w:rsid w:val="009B7E12"/>
    <w:rsid w:val="009C04C8"/>
    <w:rsid w:val="009C04DA"/>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159"/>
    <w:rsid w:val="009E1349"/>
    <w:rsid w:val="009E1F13"/>
    <w:rsid w:val="009E3421"/>
    <w:rsid w:val="009E420D"/>
    <w:rsid w:val="009E50BC"/>
    <w:rsid w:val="009E55F1"/>
    <w:rsid w:val="009E5781"/>
    <w:rsid w:val="009E5BA9"/>
    <w:rsid w:val="009E5D2C"/>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070"/>
    <w:rsid w:val="009F6214"/>
    <w:rsid w:val="009F68DD"/>
    <w:rsid w:val="009F73DB"/>
    <w:rsid w:val="009F7503"/>
    <w:rsid w:val="009F7B8E"/>
    <w:rsid w:val="009F7C2C"/>
    <w:rsid w:val="00A002F4"/>
    <w:rsid w:val="00A00FC7"/>
    <w:rsid w:val="00A01565"/>
    <w:rsid w:val="00A01B82"/>
    <w:rsid w:val="00A01BD9"/>
    <w:rsid w:val="00A0211B"/>
    <w:rsid w:val="00A02214"/>
    <w:rsid w:val="00A02A74"/>
    <w:rsid w:val="00A02EBE"/>
    <w:rsid w:val="00A03341"/>
    <w:rsid w:val="00A034CC"/>
    <w:rsid w:val="00A0358A"/>
    <w:rsid w:val="00A04FA6"/>
    <w:rsid w:val="00A05B5C"/>
    <w:rsid w:val="00A05CAA"/>
    <w:rsid w:val="00A0623E"/>
    <w:rsid w:val="00A06CAB"/>
    <w:rsid w:val="00A071E5"/>
    <w:rsid w:val="00A105A9"/>
    <w:rsid w:val="00A1100C"/>
    <w:rsid w:val="00A11BE2"/>
    <w:rsid w:val="00A11F5A"/>
    <w:rsid w:val="00A12396"/>
    <w:rsid w:val="00A12651"/>
    <w:rsid w:val="00A14C88"/>
    <w:rsid w:val="00A151CC"/>
    <w:rsid w:val="00A1574B"/>
    <w:rsid w:val="00A15E19"/>
    <w:rsid w:val="00A16A4C"/>
    <w:rsid w:val="00A17482"/>
    <w:rsid w:val="00A179E3"/>
    <w:rsid w:val="00A17AC6"/>
    <w:rsid w:val="00A20071"/>
    <w:rsid w:val="00A20493"/>
    <w:rsid w:val="00A207E5"/>
    <w:rsid w:val="00A2084C"/>
    <w:rsid w:val="00A21047"/>
    <w:rsid w:val="00A2109E"/>
    <w:rsid w:val="00A214E7"/>
    <w:rsid w:val="00A21508"/>
    <w:rsid w:val="00A22953"/>
    <w:rsid w:val="00A22ACD"/>
    <w:rsid w:val="00A2341D"/>
    <w:rsid w:val="00A23A52"/>
    <w:rsid w:val="00A23C50"/>
    <w:rsid w:val="00A23C6D"/>
    <w:rsid w:val="00A241D1"/>
    <w:rsid w:val="00A241F1"/>
    <w:rsid w:val="00A246C6"/>
    <w:rsid w:val="00A248D5"/>
    <w:rsid w:val="00A2504B"/>
    <w:rsid w:val="00A25718"/>
    <w:rsid w:val="00A25C3E"/>
    <w:rsid w:val="00A25EA0"/>
    <w:rsid w:val="00A261DE"/>
    <w:rsid w:val="00A266F3"/>
    <w:rsid w:val="00A309AF"/>
    <w:rsid w:val="00A32995"/>
    <w:rsid w:val="00A32A21"/>
    <w:rsid w:val="00A3389D"/>
    <w:rsid w:val="00A34763"/>
    <w:rsid w:val="00A3539E"/>
    <w:rsid w:val="00A35407"/>
    <w:rsid w:val="00A355CA"/>
    <w:rsid w:val="00A3692D"/>
    <w:rsid w:val="00A36F2C"/>
    <w:rsid w:val="00A372BF"/>
    <w:rsid w:val="00A374C9"/>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1FD4"/>
    <w:rsid w:val="00A521C6"/>
    <w:rsid w:val="00A53695"/>
    <w:rsid w:val="00A5510C"/>
    <w:rsid w:val="00A5519F"/>
    <w:rsid w:val="00A553A0"/>
    <w:rsid w:val="00A55EAF"/>
    <w:rsid w:val="00A56721"/>
    <w:rsid w:val="00A56900"/>
    <w:rsid w:val="00A56A94"/>
    <w:rsid w:val="00A56E8A"/>
    <w:rsid w:val="00A5767E"/>
    <w:rsid w:val="00A60010"/>
    <w:rsid w:val="00A6047C"/>
    <w:rsid w:val="00A60790"/>
    <w:rsid w:val="00A61454"/>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5E65"/>
    <w:rsid w:val="00A66942"/>
    <w:rsid w:val="00A66FC6"/>
    <w:rsid w:val="00A67281"/>
    <w:rsid w:val="00A67BB5"/>
    <w:rsid w:val="00A67EAC"/>
    <w:rsid w:val="00A71AE6"/>
    <w:rsid w:val="00A71C94"/>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970"/>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303"/>
    <w:rsid w:val="00A92815"/>
    <w:rsid w:val="00A92B2E"/>
    <w:rsid w:val="00A92B4D"/>
    <w:rsid w:val="00A92DCE"/>
    <w:rsid w:val="00A93EB0"/>
    <w:rsid w:val="00A94C37"/>
    <w:rsid w:val="00A950F1"/>
    <w:rsid w:val="00A969AC"/>
    <w:rsid w:val="00A96B00"/>
    <w:rsid w:val="00A96C69"/>
    <w:rsid w:val="00A9792D"/>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8C7"/>
    <w:rsid w:val="00AB3AF4"/>
    <w:rsid w:val="00AB408A"/>
    <w:rsid w:val="00AB4877"/>
    <w:rsid w:val="00AB5446"/>
    <w:rsid w:val="00AB6051"/>
    <w:rsid w:val="00AB6507"/>
    <w:rsid w:val="00AB6D72"/>
    <w:rsid w:val="00AB706F"/>
    <w:rsid w:val="00AB750F"/>
    <w:rsid w:val="00AB75FB"/>
    <w:rsid w:val="00AC067C"/>
    <w:rsid w:val="00AC0915"/>
    <w:rsid w:val="00AC1662"/>
    <w:rsid w:val="00AC1C8C"/>
    <w:rsid w:val="00AC2C7E"/>
    <w:rsid w:val="00AC3689"/>
    <w:rsid w:val="00AC3707"/>
    <w:rsid w:val="00AC47DE"/>
    <w:rsid w:val="00AC49E8"/>
    <w:rsid w:val="00AC4CB9"/>
    <w:rsid w:val="00AC4CBA"/>
    <w:rsid w:val="00AC5475"/>
    <w:rsid w:val="00AC6B39"/>
    <w:rsid w:val="00AC6B4D"/>
    <w:rsid w:val="00AC7A2B"/>
    <w:rsid w:val="00AD003A"/>
    <w:rsid w:val="00AD0573"/>
    <w:rsid w:val="00AD0970"/>
    <w:rsid w:val="00AD0B5C"/>
    <w:rsid w:val="00AD196B"/>
    <w:rsid w:val="00AD19DF"/>
    <w:rsid w:val="00AD2662"/>
    <w:rsid w:val="00AD29A6"/>
    <w:rsid w:val="00AD3FB3"/>
    <w:rsid w:val="00AD406A"/>
    <w:rsid w:val="00AD4764"/>
    <w:rsid w:val="00AD5026"/>
    <w:rsid w:val="00AD524B"/>
    <w:rsid w:val="00AD627F"/>
    <w:rsid w:val="00AD641D"/>
    <w:rsid w:val="00AD75A8"/>
    <w:rsid w:val="00AD787F"/>
    <w:rsid w:val="00AD7971"/>
    <w:rsid w:val="00AD7C5F"/>
    <w:rsid w:val="00AE0865"/>
    <w:rsid w:val="00AE089D"/>
    <w:rsid w:val="00AE0E24"/>
    <w:rsid w:val="00AE1879"/>
    <w:rsid w:val="00AE2AA2"/>
    <w:rsid w:val="00AE2B9D"/>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E1A"/>
    <w:rsid w:val="00AF5084"/>
    <w:rsid w:val="00AF5823"/>
    <w:rsid w:val="00AF596C"/>
    <w:rsid w:val="00AF6BDC"/>
    <w:rsid w:val="00AF6D68"/>
    <w:rsid w:val="00AF6E1B"/>
    <w:rsid w:val="00AF6EDA"/>
    <w:rsid w:val="00AF77DE"/>
    <w:rsid w:val="00AF785D"/>
    <w:rsid w:val="00B00784"/>
    <w:rsid w:val="00B02CC7"/>
    <w:rsid w:val="00B02DD3"/>
    <w:rsid w:val="00B03250"/>
    <w:rsid w:val="00B0391F"/>
    <w:rsid w:val="00B03E83"/>
    <w:rsid w:val="00B03EF9"/>
    <w:rsid w:val="00B04B50"/>
    <w:rsid w:val="00B052C0"/>
    <w:rsid w:val="00B055ED"/>
    <w:rsid w:val="00B05C13"/>
    <w:rsid w:val="00B06CD4"/>
    <w:rsid w:val="00B06E2B"/>
    <w:rsid w:val="00B07609"/>
    <w:rsid w:val="00B077F9"/>
    <w:rsid w:val="00B11582"/>
    <w:rsid w:val="00B116E5"/>
    <w:rsid w:val="00B1179B"/>
    <w:rsid w:val="00B11AF0"/>
    <w:rsid w:val="00B1209A"/>
    <w:rsid w:val="00B1247E"/>
    <w:rsid w:val="00B12DA1"/>
    <w:rsid w:val="00B12DA4"/>
    <w:rsid w:val="00B1392D"/>
    <w:rsid w:val="00B1433F"/>
    <w:rsid w:val="00B144EE"/>
    <w:rsid w:val="00B14A91"/>
    <w:rsid w:val="00B154AE"/>
    <w:rsid w:val="00B1555B"/>
    <w:rsid w:val="00B15E5C"/>
    <w:rsid w:val="00B162F3"/>
    <w:rsid w:val="00B1665E"/>
    <w:rsid w:val="00B16894"/>
    <w:rsid w:val="00B16BE7"/>
    <w:rsid w:val="00B17CE9"/>
    <w:rsid w:val="00B20142"/>
    <w:rsid w:val="00B219F5"/>
    <w:rsid w:val="00B21C0F"/>
    <w:rsid w:val="00B21FCA"/>
    <w:rsid w:val="00B22176"/>
    <w:rsid w:val="00B234D5"/>
    <w:rsid w:val="00B2363A"/>
    <w:rsid w:val="00B23A7A"/>
    <w:rsid w:val="00B26217"/>
    <w:rsid w:val="00B262E1"/>
    <w:rsid w:val="00B2631C"/>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C01"/>
    <w:rsid w:val="00B46179"/>
    <w:rsid w:val="00B461D7"/>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EAF"/>
    <w:rsid w:val="00B57F9C"/>
    <w:rsid w:val="00B60158"/>
    <w:rsid w:val="00B61E16"/>
    <w:rsid w:val="00B628E0"/>
    <w:rsid w:val="00B6299B"/>
    <w:rsid w:val="00B62ED2"/>
    <w:rsid w:val="00B63420"/>
    <w:rsid w:val="00B63681"/>
    <w:rsid w:val="00B63955"/>
    <w:rsid w:val="00B63A5B"/>
    <w:rsid w:val="00B640F5"/>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C5D"/>
    <w:rsid w:val="00B752A6"/>
    <w:rsid w:val="00B7779A"/>
    <w:rsid w:val="00B77BB3"/>
    <w:rsid w:val="00B80338"/>
    <w:rsid w:val="00B807A7"/>
    <w:rsid w:val="00B813EA"/>
    <w:rsid w:val="00B818AC"/>
    <w:rsid w:val="00B827FD"/>
    <w:rsid w:val="00B828A1"/>
    <w:rsid w:val="00B83D1C"/>
    <w:rsid w:val="00B84F74"/>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8A0"/>
    <w:rsid w:val="00BA0F79"/>
    <w:rsid w:val="00BA121E"/>
    <w:rsid w:val="00BA124D"/>
    <w:rsid w:val="00BA127C"/>
    <w:rsid w:val="00BA1BAE"/>
    <w:rsid w:val="00BA1E50"/>
    <w:rsid w:val="00BA26E3"/>
    <w:rsid w:val="00BA2E2E"/>
    <w:rsid w:val="00BA3A3E"/>
    <w:rsid w:val="00BA3D25"/>
    <w:rsid w:val="00BA3E3E"/>
    <w:rsid w:val="00BA4229"/>
    <w:rsid w:val="00BA462B"/>
    <w:rsid w:val="00BA46EE"/>
    <w:rsid w:val="00BA4D5A"/>
    <w:rsid w:val="00BA5138"/>
    <w:rsid w:val="00BA5442"/>
    <w:rsid w:val="00BA5F37"/>
    <w:rsid w:val="00BA621C"/>
    <w:rsid w:val="00BA6CD3"/>
    <w:rsid w:val="00BA6CF6"/>
    <w:rsid w:val="00BA7028"/>
    <w:rsid w:val="00BA7C19"/>
    <w:rsid w:val="00BB072A"/>
    <w:rsid w:val="00BB087C"/>
    <w:rsid w:val="00BB198D"/>
    <w:rsid w:val="00BB26B1"/>
    <w:rsid w:val="00BB3450"/>
    <w:rsid w:val="00BB3517"/>
    <w:rsid w:val="00BB3D8A"/>
    <w:rsid w:val="00BB404B"/>
    <w:rsid w:val="00BB5C5B"/>
    <w:rsid w:val="00BB63E7"/>
    <w:rsid w:val="00BB66A7"/>
    <w:rsid w:val="00BB69C1"/>
    <w:rsid w:val="00BB757B"/>
    <w:rsid w:val="00BB75BF"/>
    <w:rsid w:val="00BC0418"/>
    <w:rsid w:val="00BC045E"/>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0F"/>
    <w:rsid w:val="00BD2091"/>
    <w:rsid w:val="00BD2D61"/>
    <w:rsid w:val="00BD31F7"/>
    <w:rsid w:val="00BD3D6E"/>
    <w:rsid w:val="00BD3F5D"/>
    <w:rsid w:val="00BD3FC6"/>
    <w:rsid w:val="00BD4756"/>
    <w:rsid w:val="00BD5312"/>
    <w:rsid w:val="00BD6148"/>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2A55"/>
    <w:rsid w:val="00BE32E5"/>
    <w:rsid w:val="00BE3B80"/>
    <w:rsid w:val="00BE458D"/>
    <w:rsid w:val="00BE4CE8"/>
    <w:rsid w:val="00BE612C"/>
    <w:rsid w:val="00BE6EAB"/>
    <w:rsid w:val="00BE7569"/>
    <w:rsid w:val="00BE76A4"/>
    <w:rsid w:val="00BE77FA"/>
    <w:rsid w:val="00BE7A76"/>
    <w:rsid w:val="00BF0279"/>
    <w:rsid w:val="00BF0616"/>
    <w:rsid w:val="00BF1001"/>
    <w:rsid w:val="00BF11C4"/>
    <w:rsid w:val="00BF1832"/>
    <w:rsid w:val="00BF1FCC"/>
    <w:rsid w:val="00BF223D"/>
    <w:rsid w:val="00BF2D7A"/>
    <w:rsid w:val="00BF30C0"/>
    <w:rsid w:val="00BF3111"/>
    <w:rsid w:val="00BF3195"/>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2A30"/>
    <w:rsid w:val="00C13034"/>
    <w:rsid w:val="00C13A35"/>
    <w:rsid w:val="00C13B53"/>
    <w:rsid w:val="00C1404A"/>
    <w:rsid w:val="00C14157"/>
    <w:rsid w:val="00C156FA"/>
    <w:rsid w:val="00C157F5"/>
    <w:rsid w:val="00C15F80"/>
    <w:rsid w:val="00C16691"/>
    <w:rsid w:val="00C200F4"/>
    <w:rsid w:val="00C207EC"/>
    <w:rsid w:val="00C20E34"/>
    <w:rsid w:val="00C212BA"/>
    <w:rsid w:val="00C21565"/>
    <w:rsid w:val="00C21BB2"/>
    <w:rsid w:val="00C21C47"/>
    <w:rsid w:val="00C21EA5"/>
    <w:rsid w:val="00C229D0"/>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58BA"/>
    <w:rsid w:val="00C360B5"/>
    <w:rsid w:val="00C363B6"/>
    <w:rsid w:val="00C365AC"/>
    <w:rsid w:val="00C36A69"/>
    <w:rsid w:val="00C36C80"/>
    <w:rsid w:val="00C37E02"/>
    <w:rsid w:val="00C37EEC"/>
    <w:rsid w:val="00C4103B"/>
    <w:rsid w:val="00C4160C"/>
    <w:rsid w:val="00C41FAB"/>
    <w:rsid w:val="00C42208"/>
    <w:rsid w:val="00C42B77"/>
    <w:rsid w:val="00C42DF3"/>
    <w:rsid w:val="00C438CD"/>
    <w:rsid w:val="00C4394D"/>
    <w:rsid w:val="00C43F70"/>
    <w:rsid w:val="00C45B16"/>
    <w:rsid w:val="00C4637B"/>
    <w:rsid w:val="00C47996"/>
    <w:rsid w:val="00C47FE0"/>
    <w:rsid w:val="00C50583"/>
    <w:rsid w:val="00C507CC"/>
    <w:rsid w:val="00C51717"/>
    <w:rsid w:val="00C5199E"/>
    <w:rsid w:val="00C522FB"/>
    <w:rsid w:val="00C529BC"/>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967"/>
    <w:rsid w:val="00C74B2D"/>
    <w:rsid w:val="00C74D0B"/>
    <w:rsid w:val="00C74DF7"/>
    <w:rsid w:val="00C75067"/>
    <w:rsid w:val="00C75467"/>
    <w:rsid w:val="00C75909"/>
    <w:rsid w:val="00C769F9"/>
    <w:rsid w:val="00C76D65"/>
    <w:rsid w:val="00C76FE4"/>
    <w:rsid w:val="00C77410"/>
    <w:rsid w:val="00C77744"/>
    <w:rsid w:val="00C779BA"/>
    <w:rsid w:val="00C77C60"/>
    <w:rsid w:val="00C801B4"/>
    <w:rsid w:val="00C807C6"/>
    <w:rsid w:val="00C80D4D"/>
    <w:rsid w:val="00C80E8A"/>
    <w:rsid w:val="00C811D0"/>
    <w:rsid w:val="00C81239"/>
    <w:rsid w:val="00C8165F"/>
    <w:rsid w:val="00C81A35"/>
    <w:rsid w:val="00C81AAD"/>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979F9"/>
    <w:rsid w:val="00CA0219"/>
    <w:rsid w:val="00CA0323"/>
    <w:rsid w:val="00CA0869"/>
    <w:rsid w:val="00CA09AE"/>
    <w:rsid w:val="00CA1BC8"/>
    <w:rsid w:val="00CA2443"/>
    <w:rsid w:val="00CA26B6"/>
    <w:rsid w:val="00CA286B"/>
    <w:rsid w:val="00CA2974"/>
    <w:rsid w:val="00CA29C7"/>
    <w:rsid w:val="00CA2DEF"/>
    <w:rsid w:val="00CA5A93"/>
    <w:rsid w:val="00CA63C2"/>
    <w:rsid w:val="00CA6DC7"/>
    <w:rsid w:val="00CB007E"/>
    <w:rsid w:val="00CB097B"/>
    <w:rsid w:val="00CB0BD9"/>
    <w:rsid w:val="00CB126C"/>
    <w:rsid w:val="00CB1B2C"/>
    <w:rsid w:val="00CB23D2"/>
    <w:rsid w:val="00CB30B2"/>
    <w:rsid w:val="00CB3179"/>
    <w:rsid w:val="00CB3EC1"/>
    <w:rsid w:val="00CB4C60"/>
    <w:rsid w:val="00CB4EE1"/>
    <w:rsid w:val="00CB4F0E"/>
    <w:rsid w:val="00CB6173"/>
    <w:rsid w:val="00CB627B"/>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4D5D"/>
    <w:rsid w:val="00CD4EEF"/>
    <w:rsid w:val="00CD52B5"/>
    <w:rsid w:val="00CD5BEC"/>
    <w:rsid w:val="00CD5DAE"/>
    <w:rsid w:val="00CD618B"/>
    <w:rsid w:val="00CD7A6C"/>
    <w:rsid w:val="00CD7B83"/>
    <w:rsid w:val="00CD7DA4"/>
    <w:rsid w:val="00CE047E"/>
    <w:rsid w:val="00CE0783"/>
    <w:rsid w:val="00CE08A1"/>
    <w:rsid w:val="00CE09F4"/>
    <w:rsid w:val="00CE0C68"/>
    <w:rsid w:val="00CE0CDB"/>
    <w:rsid w:val="00CE126F"/>
    <w:rsid w:val="00CE192A"/>
    <w:rsid w:val="00CE26B4"/>
    <w:rsid w:val="00CE2C53"/>
    <w:rsid w:val="00CE2EC2"/>
    <w:rsid w:val="00CE3A44"/>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3575"/>
    <w:rsid w:val="00D1477F"/>
    <w:rsid w:val="00D14B8F"/>
    <w:rsid w:val="00D14EAF"/>
    <w:rsid w:val="00D15BD5"/>
    <w:rsid w:val="00D16DA2"/>
    <w:rsid w:val="00D16E3E"/>
    <w:rsid w:val="00D17056"/>
    <w:rsid w:val="00D20CCF"/>
    <w:rsid w:val="00D21508"/>
    <w:rsid w:val="00D21C58"/>
    <w:rsid w:val="00D226B6"/>
    <w:rsid w:val="00D23744"/>
    <w:rsid w:val="00D244F4"/>
    <w:rsid w:val="00D24621"/>
    <w:rsid w:val="00D257E7"/>
    <w:rsid w:val="00D25D5C"/>
    <w:rsid w:val="00D26E15"/>
    <w:rsid w:val="00D27DB1"/>
    <w:rsid w:val="00D305AC"/>
    <w:rsid w:val="00D306DB"/>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4A99"/>
    <w:rsid w:val="00D5501C"/>
    <w:rsid w:val="00D55113"/>
    <w:rsid w:val="00D551E7"/>
    <w:rsid w:val="00D555E3"/>
    <w:rsid w:val="00D5583B"/>
    <w:rsid w:val="00D55947"/>
    <w:rsid w:val="00D570D2"/>
    <w:rsid w:val="00D57234"/>
    <w:rsid w:val="00D5733B"/>
    <w:rsid w:val="00D576C2"/>
    <w:rsid w:val="00D60662"/>
    <w:rsid w:val="00D6066A"/>
    <w:rsid w:val="00D61436"/>
    <w:rsid w:val="00D61CCA"/>
    <w:rsid w:val="00D629D8"/>
    <w:rsid w:val="00D63302"/>
    <w:rsid w:val="00D635E1"/>
    <w:rsid w:val="00D6365D"/>
    <w:rsid w:val="00D63C83"/>
    <w:rsid w:val="00D643CC"/>
    <w:rsid w:val="00D64FC8"/>
    <w:rsid w:val="00D65065"/>
    <w:rsid w:val="00D6590E"/>
    <w:rsid w:val="00D66629"/>
    <w:rsid w:val="00D66EF8"/>
    <w:rsid w:val="00D671AB"/>
    <w:rsid w:val="00D6742C"/>
    <w:rsid w:val="00D679AF"/>
    <w:rsid w:val="00D70755"/>
    <w:rsid w:val="00D707D5"/>
    <w:rsid w:val="00D72288"/>
    <w:rsid w:val="00D725A0"/>
    <w:rsid w:val="00D72674"/>
    <w:rsid w:val="00D72C79"/>
    <w:rsid w:val="00D74406"/>
    <w:rsid w:val="00D74786"/>
    <w:rsid w:val="00D74919"/>
    <w:rsid w:val="00D74E9B"/>
    <w:rsid w:val="00D750E0"/>
    <w:rsid w:val="00D76263"/>
    <w:rsid w:val="00D76667"/>
    <w:rsid w:val="00D76D51"/>
    <w:rsid w:val="00D80B61"/>
    <w:rsid w:val="00D80DF8"/>
    <w:rsid w:val="00D80E17"/>
    <w:rsid w:val="00D811F7"/>
    <w:rsid w:val="00D8131A"/>
    <w:rsid w:val="00D814E6"/>
    <w:rsid w:val="00D81B64"/>
    <w:rsid w:val="00D81DB5"/>
    <w:rsid w:val="00D82735"/>
    <w:rsid w:val="00D83C90"/>
    <w:rsid w:val="00D83D64"/>
    <w:rsid w:val="00D83DDC"/>
    <w:rsid w:val="00D84146"/>
    <w:rsid w:val="00D843F0"/>
    <w:rsid w:val="00D84525"/>
    <w:rsid w:val="00D84912"/>
    <w:rsid w:val="00D84EA4"/>
    <w:rsid w:val="00D878B8"/>
    <w:rsid w:val="00D87E05"/>
    <w:rsid w:val="00D87E3B"/>
    <w:rsid w:val="00D90DAC"/>
    <w:rsid w:val="00D90DCE"/>
    <w:rsid w:val="00D9293C"/>
    <w:rsid w:val="00D92B68"/>
    <w:rsid w:val="00D93737"/>
    <w:rsid w:val="00D94325"/>
    <w:rsid w:val="00D94923"/>
    <w:rsid w:val="00D958B8"/>
    <w:rsid w:val="00D958FE"/>
    <w:rsid w:val="00D959D8"/>
    <w:rsid w:val="00D95E77"/>
    <w:rsid w:val="00D96706"/>
    <w:rsid w:val="00D97A05"/>
    <w:rsid w:val="00DA0366"/>
    <w:rsid w:val="00DA11F3"/>
    <w:rsid w:val="00DA18E5"/>
    <w:rsid w:val="00DA198A"/>
    <w:rsid w:val="00DA2178"/>
    <w:rsid w:val="00DA2F8A"/>
    <w:rsid w:val="00DA3276"/>
    <w:rsid w:val="00DA3B4C"/>
    <w:rsid w:val="00DA3BA8"/>
    <w:rsid w:val="00DA3E3A"/>
    <w:rsid w:val="00DA461A"/>
    <w:rsid w:val="00DA4E1D"/>
    <w:rsid w:val="00DA57B8"/>
    <w:rsid w:val="00DA6113"/>
    <w:rsid w:val="00DB1042"/>
    <w:rsid w:val="00DB27A1"/>
    <w:rsid w:val="00DB35AB"/>
    <w:rsid w:val="00DB43DE"/>
    <w:rsid w:val="00DB49E9"/>
    <w:rsid w:val="00DB4A18"/>
    <w:rsid w:val="00DB4C33"/>
    <w:rsid w:val="00DB4F02"/>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C9B"/>
    <w:rsid w:val="00DC5D13"/>
    <w:rsid w:val="00DC605A"/>
    <w:rsid w:val="00DC656F"/>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512D"/>
    <w:rsid w:val="00DD53D4"/>
    <w:rsid w:val="00DD5470"/>
    <w:rsid w:val="00DD58F9"/>
    <w:rsid w:val="00DD5A37"/>
    <w:rsid w:val="00DD5E71"/>
    <w:rsid w:val="00DD6021"/>
    <w:rsid w:val="00DD65EE"/>
    <w:rsid w:val="00DD6C9B"/>
    <w:rsid w:val="00DD6E5D"/>
    <w:rsid w:val="00DD734B"/>
    <w:rsid w:val="00DD7779"/>
    <w:rsid w:val="00DE0657"/>
    <w:rsid w:val="00DE17AA"/>
    <w:rsid w:val="00DE20F2"/>
    <w:rsid w:val="00DE39DF"/>
    <w:rsid w:val="00DE50D4"/>
    <w:rsid w:val="00DE55AF"/>
    <w:rsid w:val="00DE618F"/>
    <w:rsid w:val="00DE665C"/>
    <w:rsid w:val="00DF060D"/>
    <w:rsid w:val="00DF06CA"/>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76C"/>
    <w:rsid w:val="00E0689A"/>
    <w:rsid w:val="00E06A71"/>
    <w:rsid w:val="00E06BA0"/>
    <w:rsid w:val="00E06DC2"/>
    <w:rsid w:val="00E073C4"/>
    <w:rsid w:val="00E10500"/>
    <w:rsid w:val="00E106E9"/>
    <w:rsid w:val="00E122C1"/>
    <w:rsid w:val="00E1287C"/>
    <w:rsid w:val="00E128C8"/>
    <w:rsid w:val="00E12F89"/>
    <w:rsid w:val="00E130C0"/>
    <w:rsid w:val="00E14442"/>
    <w:rsid w:val="00E147D5"/>
    <w:rsid w:val="00E14A04"/>
    <w:rsid w:val="00E153C8"/>
    <w:rsid w:val="00E154B4"/>
    <w:rsid w:val="00E15BFB"/>
    <w:rsid w:val="00E16088"/>
    <w:rsid w:val="00E164FE"/>
    <w:rsid w:val="00E17036"/>
    <w:rsid w:val="00E178C4"/>
    <w:rsid w:val="00E17929"/>
    <w:rsid w:val="00E20330"/>
    <w:rsid w:val="00E20F08"/>
    <w:rsid w:val="00E21764"/>
    <w:rsid w:val="00E221C6"/>
    <w:rsid w:val="00E233BB"/>
    <w:rsid w:val="00E237F4"/>
    <w:rsid w:val="00E2389D"/>
    <w:rsid w:val="00E23C38"/>
    <w:rsid w:val="00E254E4"/>
    <w:rsid w:val="00E266F4"/>
    <w:rsid w:val="00E26DC3"/>
    <w:rsid w:val="00E272E2"/>
    <w:rsid w:val="00E3049F"/>
    <w:rsid w:val="00E30BEB"/>
    <w:rsid w:val="00E313A8"/>
    <w:rsid w:val="00E31427"/>
    <w:rsid w:val="00E316F3"/>
    <w:rsid w:val="00E32B32"/>
    <w:rsid w:val="00E32BAE"/>
    <w:rsid w:val="00E32E62"/>
    <w:rsid w:val="00E33CF7"/>
    <w:rsid w:val="00E34EB3"/>
    <w:rsid w:val="00E35DB6"/>
    <w:rsid w:val="00E37197"/>
    <w:rsid w:val="00E37AA6"/>
    <w:rsid w:val="00E41159"/>
    <w:rsid w:val="00E41F38"/>
    <w:rsid w:val="00E44283"/>
    <w:rsid w:val="00E4507B"/>
    <w:rsid w:val="00E45660"/>
    <w:rsid w:val="00E46A7C"/>
    <w:rsid w:val="00E46D45"/>
    <w:rsid w:val="00E4784C"/>
    <w:rsid w:val="00E47AC4"/>
    <w:rsid w:val="00E50B7E"/>
    <w:rsid w:val="00E50D9A"/>
    <w:rsid w:val="00E52CE8"/>
    <w:rsid w:val="00E533AA"/>
    <w:rsid w:val="00E55049"/>
    <w:rsid w:val="00E554BB"/>
    <w:rsid w:val="00E55A6E"/>
    <w:rsid w:val="00E56D22"/>
    <w:rsid w:val="00E56F74"/>
    <w:rsid w:val="00E57546"/>
    <w:rsid w:val="00E57BEB"/>
    <w:rsid w:val="00E57E16"/>
    <w:rsid w:val="00E605CB"/>
    <w:rsid w:val="00E60DAF"/>
    <w:rsid w:val="00E611FE"/>
    <w:rsid w:val="00E61C71"/>
    <w:rsid w:val="00E61F7A"/>
    <w:rsid w:val="00E6208E"/>
    <w:rsid w:val="00E6211C"/>
    <w:rsid w:val="00E6219B"/>
    <w:rsid w:val="00E62351"/>
    <w:rsid w:val="00E623F8"/>
    <w:rsid w:val="00E627EC"/>
    <w:rsid w:val="00E62B55"/>
    <w:rsid w:val="00E6441F"/>
    <w:rsid w:val="00E65BF8"/>
    <w:rsid w:val="00E6611E"/>
    <w:rsid w:val="00E66CD1"/>
    <w:rsid w:val="00E67288"/>
    <w:rsid w:val="00E7005F"/>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6DBC"/>
    <w:rsid w:val="00E87450"/>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53C5"/>
    <w:rsid w:val="00EA55D3"/>
    <w:rsid w:val="00EA58EF"/>
    <w:rsid w:val="00EA6AB6"/>
    <w:rsid w:val="00EA707F"/>
    <w:rsid w:val="00EA781D"/>
    <w:rsid w:val="00EA7935"/>
    <w:rsid w:val="00EB1D42"/>
    <w:rsid w:val="00EB2C26"/>
    <w:rsid w:val="00EB3284"/>
    <w:rsid w:val="00EB39F8"/>
    <w:rsid w:val="00EB4801"/>
    <w:rsid w:val="00EB4CB6"/>
    <w:rsid w:val="00EB4F9D"/>
    <w:rsid w:val="00EB6EA8"/>
    <w:rsid w:val="00EB75A1"/>
    <w:rsid w:val="00EC086F"/>
    <w:rsid w:val="00EC0C95"/>
    <w:rsid w:val="00EC1348"/>
    <w:rsid w:val="00EC1F2C"/>
    <w:rsid w:val="00EC202F"/>
    <w:rsid w:val="00EC21CA"/>
    <w:rsid w:val="00EC2276"/>
    <w:rsid w:val="00EC2B87"/>
    <w:rsid w:val="00EC3360"/>
    <w:rsid w:val="00EC409D"/>
    <w:rsid w:val="00EC5731"/>
    <w:rsid w:val="00EC58CE"/>
    <w:rsid w:val="00EC5C17"/>
    <w:rsid w:val="00EC5F4F"/>
    <w:rsid w:val="00EC70E4"/>
    <w:rsid w:val="00EC7C25"/>
    <w:rsid w:val="00EC7F5F"/>
    <w:rsid w:val="00ED12A8"/>
    <w:rsid w:val="00ED18AD"/>
    <w:rsid w:val="00ED1A4B"/>
    <w:rsid w:val="00ED1A8F"/>
    <w:rsid w:val="00ED25C5"/>
    <w:rsid w:val="00ED43D7"/>
    <w:rsid w:val="00ED50B2"/>
    <w:rsid w:val="00ED6C1C"/>
    <w:rsid w:val="00ED7061"/>
    <w:rsid w:val="00EE0388"/>
    <w:rsid w:val="00EE143D"/>
    <w:rsid w:val="00EE14B9"/>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CC3"/>
    <w:rsid w:val="00EF30F0"/>
    <w:rsid w:val="00EF310F"/>
    <w:rsid w:val="00EF4537"/>
    <w:rsid w:val="00EF4728"/>
    <w:rsid w:val="00EF5081"/>
    <w:rsid w:val="00EF5E25"/>
    <w:rsid w:val="00EF63AC"/>
    <w:rsid w:val="00EF65BC"/>
    <w:rsid w:val="00EF71F2"/>
    <w:rsid w:val="00EF759B"/>
    <w:rsid w:val="00EF79AB"/>
    <w:rsid w:val="00EF7B24"/>
    <w:rsid w:val="00EF7CFB"/>
    <w:rsid w:val="00F00212"/>
    <w:rsid w:val="00F002A4"/>
    <w:rsid w:val="00F00368"/>
    <w:rsid w:val="00F01448"/>
    <w:rsid w:val="00F03EA8"/>
    <w:rsid w:val="00F0519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6FD"/>
    <w:rsid w:val="00F13C2F"/>
    <w:rsid w:val="00F143FA"/>
    <w:rsid w:val="00F14E80"/>
    <w:rsid w:val="00F158F1"/>
    <w:rsid w:val="00F15EF1"/>
    <w:rsid w:val="00F1671B"/>
    <w:rsid w:val="00F167FB"/>
    <w:rsid w:val="00F175AE"/>
    <w:rsid w:val="00F17980"/>
    <w:rsid w:val="00F203B0"/>
    <w:rsid w:val="00F208EF"/>
    <w:rsid w:val="00F21756"/>
    <w:rsid w:val="00F21956"/>
    <w:rsid w:val="00F225A2"/>
    <w:rsid w:val="00F227E6"/>
    <w:rsid w:val="00F22A8A"/>
    <w:rsid w:val="00F2359A"/>
    <w:rsid w:val="00F2397E"/>
    <w:rsid w:val="00F23ADE"/>
    <w:rsid w:val="00F23B85"/>
    <w:rsid w:val="00F23D07"/>
    <w:rsid w:val="00F23ECE"/>
    <w:rsid w:val="00F242CD"/>
    <w:rsid w:val="00F255A8"/>
    <w:rsid w:val="00F263D1"/>
    <w:rsid w:val="00F27FFB"/>
    <w:rsid w:val="00F305A1"/>
    <w:rsid w:val="00F31170"/>
    <w:rsid w:val="00F3190E"/>
    <w:rsid w:val="00F320B4"/>
    <w:rsid w:val="00F32B6E"/>
    <w:rsid w:val="00F32C70"/>
    <w:rsid w:val="00F35462"/>
    <w:rsid w:val="00F3579F"/>
    <w:rsid w:val="00F35A7A"/>
    <w:rsid w:val="00F375D6"/>
    <w:rsid w:val="00F401C2"/>
    <w:rsid w:val="00F410F9"/>
    <w:rsid w:val="00F42472"/>
    <w:rsid w:val="00F42542"/>
    <w:rsid w:val="00F42652"/>
    <w:rsid w:val="00F43EFB"/>
    <w:rsid w:val="00F4486B"/>
    <w:rsid w:val="00F448DF"/>
    <w:rsid w:val="00F44A9A"/>
    <w:rsid w:val="00F463DE"/>
    <w:rsid w:val="00F46844"/>
    <w:rsid w:val="00F4761C"/>
    <w:rsid w:val="00F478DF"/>
    <w:rsid w:val="00F47D74"/>
    <w:rsid w:val="00F47EDD"/>
    <w:rsid w:val="00F50A1F"/>
    <w:rsid w:val="00F50C46"/>
    <w:rsid w:val="00F50F7D"/>
    <w:rsid w:val="00F51BE0"/>
    <w:rsid w:val="00F52B5F"/>
    <w:rsid w:val="00F53316"/>
    <w:rsid w:val="00F54159"/>
    <w:rsid w:val="00F544DB"/>
    <w:rsid w:val="00F546F2"/>
    <w:rsid w:val="00F54C68"/>
    <w:rsid w:val="00F55AB9"/>
    <w:rsid w:val="00F56467"/>
    <w:rsid w:val="00F5670D"/>
    <w:rsid w:val="00F56F03"/>
    <w:rsid w:val="00F57BCB"/>
    <w:rsid w:val="00F57D7B"/>
    <w:rsid w:val="00F60431"/>
    <w:rsid w:val="00F6083A"/>
    <w:rsid w:val="00F6193D"/>
    <w:rsid w:val="00F61D79"/>
    <w:rsid w:val="00F61FE4"/>
    <w:rsid w:val="00F627DC"/>
    <w:rsid w:val="00F640A3"/>
    <w:rsid w:val="00F64356"/>
    <w:rsid w:val="00F64539"/>
    <w:rsid w:val="00F648CE"/>
    <w:rsid w:val="00F64EED"/>
    <w:rsid w:val="00F67C7C"/>
    <w:rsid w:val="00F71AE9"/>
    <w:rsid w:val="00F71F5E"/>
    <w:rsid w:val="00F73066"/>
    <w:rsid w:val="00F73D56"/>
    <w:rsid w:val="00F741C8"/>
    <w:rsid w:val="00F74332"/>
    <w:rsid w:val="00F748B4"/>
    <w:rsid w:val="00F748E9"/>
    <w:rsid w:val="00F754BB"/>
    <w:rsid w:val="00F76328"/>
    <w:rsid w:val="00F7666D"/>
    <w:rsid w:val="00F77812"/>
    <w:rsid w:val="00F778DC"/>
    <w:rsid w:val="00F77A7E"/>
    <w:rsid w:val="00F80895"/>
    <w:rsid w:val="00F80ECD"/>
    <w:rsid w:val="00F80FF1"/>
    <w:rsid w:val="00F81387"/>
    <w:rsid w:val="00F81688"/>
    <w:rsid w:val="00F8184A"/>
    <w:rsid w:val="00F82055"/>
    <w:rsid w:val="00F83180"/>
    <w:rsid w:val="00F83E5A"/>
    <w:rsid w:val="00F841A1"/>
    <w:rsid w:val="00F84475"/>
    <w:rsid w:val="00F84DFB"/>
    <w:rsid w:val="00F85166"/>
    <w:rsid w:val="00F851E6"/>
    <w:rsid w:val="00F85A29"/>
    <w:rsid w:val="00F85BD5"/>
    <w:rsid w:val="00F85D7B"/>
    <w:rsid w:val="00F85FF0"/>
    <w:rsid w:val="00F86DB9"/>
    <w:rsid w:val="00F87361"/>
    <w:rsid w:val="00F87374"/>
    <w:rsid w:val="00F8758D"/>
    <w:rsid w:val="00F87621"/>
    <w:rsid w:val="00F8767C"/>
    <w:rsid w:val="00F8781B"/>
    <w:rsid w:val="00F90426"/>
    <w:rsid w:val="00F9143E"/>
    <w:rsid w:val="00F915B9"/>
    <w:rsid w:val="00F9171C"/>
    <w:rsid w:val="00F91967"/>
    <w:rsid w:val="00F92830"/>
    <w:rsid w:val="00F9373F"/>
    <w:rsid w:val="00F93902"/>
    <w:rsid w:val="00F93DB0"/>
    <w:rsid w:val="00F94BC6"/>
    <w:rsid w:val="00F94F1A"/>
    <w:rsid w:val="00F96570"/>
    <w:rsid w:val="00F96AAA"/>
    <w:rsid w:val="00F96B61"/>
    <w:rsid w:val="00F96FDD"/>
    <w:rsid w:val="00F970E0"/>
    <w:rsid w:val="00F971E8"/>
    <w:rsid w:val="00F97FAE"/>
    <w:rsid w:val="00FA22D4"/>
    <w:rsid w:val="00FA2D67"/>
    <w:rsid w:val="00FA3F30"/>
    <w:rsid w:val="00FA4334"/>
    <w:rsid w:val="00FA4630"/>
    <w:rsid w:val="00FA4638"/>
    <w:rsid w:val="00FA468C"/>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2610"/>
    <w:rsid w:val="00FC3ACE"/>
    <w:rsid w:val="00FC3BA7"/>
    <w:rsid w:val="00FC3C5A"/>
    <w:rsid w:val="00FC3D65"/>
    <w:rsid w:val="00FC4155"/>
    <w:rsid w:val="00FC41C3"/>
    <w:rsid w:val="00FC4863"/>
    <w:rsid w:val="00FC5094"/>
    <w:rsid w:val="00FC582E"/>
    <w:rsid w:val="00FC7A96"/>
    <w:rsid w:val="00FC7F29"/>
    <w:rsid w:val="00FD042C"/>
    <w:rsid w:val="00FD1476"/>
    <w:rsid w:val="00FD1A94"/>
    <w:rsid w:val="00FD22C0"/>
    <w:rsid w:val="00FD2466"/>
    <w:rsid w:val="00FD2A0E"/>
    <w:rsid w:val="00FD42A2"/>
    <w:rsid w:val="00FD4C86"/>
    <w:rsid w:val="00FD4E15"/>
    <w:rsid w:val="00FD5142"/>
    <w:rsid w:val="00FD67DC"/>
    <w:rsid w:val="00FD6E04"/>
    <w:rsid w:val="00FD7013"/>
    <w:rsid w:val="00FD7145"/>
    <w:rsid w:val="00FD76B1"/>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E7C43"/>
    <w:rsid w:val="00FF008B"/>
    <w:rsid w:val="00FF0797"/>
    <w:rsid w:val="00FF080E"/>
    <w:rsid w:val="00FF09F8"/>
    <w:rsid w:val="00FF0CD5"/>
    <w:rsid w:val="00FF0EC6"/>
    <w:rsid w:val="00FF1164"/>
    <w:rsid w:val="00FF176A"/>
    <w:rsid w:val="00FF18B2"/>
    <w:rsid w:val="00FF24FB"/>
    <w:rsid w:val="00FF2A37"/>
    <w:rsid w:val="00FF3169"/>
    <w:rsid w:val="00FF31F7"/>
    <w:rsid w:val="00FF467D"/>
    <w:rsid w:val="00FF4F47"/>
    <w:rsid w:val="00FF5DEE"/>
    <w:rsid w:val="00FF62A6"/>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E830"/>
  <w15:chartTrackingRefBased/>
  <w15:docId w15:val="{0B7BAE8F-7A71-495D-95AE-FD46A54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5EE"/>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table" w:styleId="TableGrid">
    <w:name w:val="Table Grid"/>
    <w:basedOn w:val="TableNormal"/>
    <w:rsid w:val="008B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75F"/>
    <w:pPr>
      <w:ind w:left="720"/>
      <w:contextualSpacing/>
    </w:pPr>
  </w:style>
  <w:style w:type="character" w:styleId="CommentReference">
    <w:name w:val="annotation reference"/>
    <w:basedOn w:val="DefaultParagraphFont"/>
    <w:rsid w:val="00FE7C43"/>
    <w:rPr>
      <w:sz w:val="16"/>
      <w:szCs w:val="16"/>
    </w:rPr>
  </w:style>
  <w:style w:type="paragraph" w:styleId="CommentText">
    <w:name w:val="annotation text"/>
    <w:basedOn w:val="Normal"/>
    <w:link w:val="CommentTextChar"/>
    <w:rsid w:val="00FE7C43"/>
    <w:rPr>
      <w:sz w:val="20"/>
      <w:szCs w:val="20"/>
    </w:rPr>
  </w:style>
  <w:style w:type="character" w:customStyle="1" w:styleId="CommentTextChar">
    <w:name w:val="Comment Text Char"/>
    <w:basedOn w:val="DefaultParagraphFont"/>
    <w:link w:val="CommentText"/>
    <w:rsid w:val="00FE7C43"/>
    <w:rPr>
      <w:lang w:val="en-GB" w:eastAsia="ja-JP"/>
    </w:rPr>
  </w:style>
  <w:style w:type="paragraph" w:styleId="CommentSubject">
    <w:name w:val="annotation subject"/>
    <w:basedOn w:val="CommentText"/>
    <w:next w:val="CommentText"/>
    <w:link w:val="CommentSubjectChar"/>
    <w:semiHidden/>
    <w:unhideWhenUsed/>
    <w:rsid w:val="00FE7C43"/>
    <w:rPr>
      <w:b/>
      <w:bCs/>
    </w:rPr>
  </w:style>
  <w:style w:type="character" w:customStyle="1" w:styleId="CommentSubjectChar">
    <w:name w:val="Comment Subject Char"/>
    <w:basedOn w:val="CommentTextChar"/>
    <w:link w:val="CommentSubject"/>
    <w:semiHidden/>
    <w:rsid w:val="00FE7C43"/>
    <w:rPr>
      <w:b/>
      <w:bCs/>
      <w:lang w:val="en-GB" w:eastAsia="ja-JP"/>
    </w:rPr>
  </w:style>
  <w:style w:type="paragraph" w:styleId="Revision">
    <w:name w:val="Revision"/>
    <w:hidden/>
    <w:uiPriority w:val="99"/>
    <w:semiHidden/>
    <w:rsid w:val="00FE7C43"/>
    <w:rPr>
      <w:sz w:val="24"/>
      <w:szCs w:val="24"/>
      <w:lang w:val="en-GB" w:eastAsia="ja-JP"/>
    </w:rPr>
  </w:style>
  <w:style w:type="paragraph" w:styleId="BalloonText">
    <w:name w:val="Balloon Text"/>
    <w:basedOn w:val="Normal"/>
    <w:link w:val="BalloonTextChar"/>
    <w:semiHidden/>
    <w:unhideWhenUsed/>
    <w:rsid w:val="003E6327"/>
    <w:rPr>
      <w:rFonts w:ascii="Segoe UI" w:hAnsi="Segoe UI" w:cs="Segoe UI"/>
      <w:sz w:val="18"/>
      <w:szCs w:val="18"/>
    </w:rPr>
  </w:style>
  <w:style w:type="character" w:customStyle="1" w:styleId="BalloonTextChar">
    <w:name w:val="Balloon Text Char"/>
    <w:basedOn w:val="DefaultParagraphFont"/>
    <w:link w:val="BalloonText"/>
    <w:semiHidden/>
    <w:rsid w:val="003E6327"/>
    <w:rPr>
      <w:rFonts w:ascii="Segoe UI" w:hAnsi="Segoe UI" w:cs="Segoe UI"/>
      <w:sz w:val="18"/>
      <w:szCs w:val="18"/>
      <w:lang w:val="en-GB" w:eastAsia="ja-JP"/>
    </w:rPr>
  </w:style>
  <w:style w:type="table" w:customStyle="1" w:styleId="TableGrid0">
    <w:name w:val="TableGrid"/>
    <w:rsid w:val="00A51F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rsid w:val="00C75467"/>
    <w:rPr>
      <w:color w:val="0563C1" w:themeColor="hyperlink"/>
      <w:u w:val="single"/>
    </w:rPr>
  </w:style>
  <w:style w:type="character" w:customStyle="1" w:styleId="UnresolvedMention1">
    <w:name w:val="Unresolved Mention1"/>
    <w:basedOn w:val="DefaultParagraphFont"/>
    <w:uiPriority w:val="99"/>
    <w:semiHidden/>
    <w:unhideWhenUsed/>
    <w:rsid w:val="00C75467"/>
    <w:rPr>
      <w:color w:val="605E5C"/>
      <w:shd w:val="clear" w:color="auto" w:fill="E1DFDD"/>
    </w:rPr>
  </w:style>
  <w:style w:type="character" w:styleId="FollowedHyperlink">
    <w:name w:val="FollowedHyperlink"/>
    <w:basedOn w:val="DefaultParagraphFont"/>
    <w:rsid w:val="001C2B58"/>
    <w:rPr>
      <w:color w:val="954F72" w:themeColor="followedHyperlink"/>
      <w:u w:val="single"/>
    </w:rPr>
  </w:style>
  <w:style w:type="table" w:customStyle="1" w:styleId="TableauNormal">
    <w:name w:val="Tableau Normal"/>
    <w:uiPriority w:val="99"/>
    <w:semiHidden/>
    <w:rsid w:val="00041151"/>
    <w:rPr>
      <w:rFonts w:eastAsia="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502">
      <w:bodyDiv w:val="1"/>
      <w:marLeft w:val="0"/>
      <w:marRight w:val="0"/>
      <w:marTop w:val="0"/>
      <w:marBottom w:val="0"/>
      <w:divBdr>
        <w:top w:val="none" w:sz="0" w:space="0" w:color="auto"/>
        <w:left w:val="none" w:sz="0" w:space="0" w:color="auto"/>
        <w:bottom w:val="none" w:sz="0" w:space="0" w:color="auto"/>
        <w:right w:val="none" w:sz="0" w:space="0" w:color="auto"/>
      </w:divBdr>
    </w:div>
    <w:div w:id="196941109">
      <w:bodyDiv w:val="1"/>
      <w:marLeft w:val="0"/>
      <w:marRight w:val="0"/>
      <w:marTop w:val="0"/>
      <w:marBottom w:val="0"/>
      <w:divBdr>
        <w:top w:val="none" w:sz="0" w:space="0" w:color="auto"/>
        <w:left w:val="none" w:sz="0" w:space="0" w:color="auto"/>
        <w:bottom w:val="none" w:sz="0" w:space="0" w:color="auto"/>
        <w:right w:val="none" w:sz="0" w:space="0" w:color="auto"/>
      </w:divBdr>
    </w:div>
    <w:div w:id="240720722">
      <w:bodyDiv w:val="1"/>
      <w:marLeft w:val="0"/>
      <w:marRight w:val="0"/>
      <w:marTop w:val="0"/>
      <w:marBottom w:val="0"/>
      <w:divBdr>
        <w:top w:val="none" w:sz="0" w:space="0" w:color="auto"/>
        <w:left w:val="none" w:sz="0" w:space="0" w:color="auto"/>
        <w:bottom w:val="none" w:sz="0" w:space="0" w:color="auto"/>
        <w:right w:val="none" w:sz="0" w:space="0" w:color="auto"/>
      </w:divBdr>
    </w:div>
    <w:div w:id="20886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g-gcc.gc.ca/MCTS-SCTM/NAVWARN-AVNAV-CA-ENG.HTML" TargetMode="External"/><Relationship Id="rId13" Type="http://schemas.openxmlformats.org/officeDocument/2006/relationships/hyperlink" Target="https://gcdocs.gc.ca/dfo-mpodav/nodes/20181837/mailto_navarea17.18%40innav.gc.ca" TargetMode="External"/><Relationship Id="rId3" Type="http://schemas.openxmlformats.org/officeDocument/2006/relationships/settings" Target="settings.xml"/><Relationship Id="rId7" Type="http://schemas.openxmlformats.org/officeDocument/2006/relationships/hyperlink" Target="https://www.ccg-gcc.gc.ca/MCTS-SCTM/NAVWARN-AVNAV-CA-ENG.HTML" TargetMode="External"/><Relationship Id="rId12" Type="http://schemas.openxmlformats.org/officeDocument/2006/relationships/hyperlink" Target="https://www.ccg-gcc.gc.ca/mcts-sctm/navwarn-avnav-ca-e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g-gcc.gc.ca/mcts-sctm/navwarn-avnav-ca-e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S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WWNWS3-SA-Template.dot</Template>
  <TotalTime>0</TotalTime>
  <Pages>8</Pages>
  <Words>1542</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Marquette, Valerie</dc:creator>
  <cp:keywords/>
  <dc:description/>
  <cp:lastModifiedBy>Marquette, Valerie</cp:lastModifiedBy>
  <cp:revision>2</cp:revision>
  <cp:lastPrinted>1900-01-01T05:00:00Z</cp:lastPrinted>
  <dcterms:created xsi:type="dcterms:W3CDTF">2023-09-01T15:32:00Z</dcterms:created>
  <dcterms:modified xsi:type="dcterms:W3CDTF">2023-09-01T15:32:00Z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1168599066</vt:i4>
  </property>
</Properties>
</file>