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305E" w14:textId="39C8BE4C" w:rsidR="00CE0494" w:rsidRPr="00894D83" w:rsidRDefault="00B8346F">
      <w:pPr>
        <w:pStyle w:val="BodyA"/>
        <w:rPr>
          <w:b/>
          <w:bCs/>
          <w:lang w:val="en-GB"/>
        </w:rPr>
      </w:pPr>
      <w:r>
        <w:rPr>
          <w:b/>
          <w:bCs/>
          <w:lang w:val="en-GB"/>
        </w:rPr>
        <w:t>Minutes of 16</w:t>
      </w:r>
      <w:r w:rsidR="00911AFD" w:rsidRPr="00894D83">
        <w:rPr>
          <w:b/>
          <w:bCs/>
          <w:vertAlign w:val="superscript"/>
          <w:lang w:val="en-GB"/>
        </w:rPr>
        <w:t>th</w:t>
      </w:r>
      <w:r w:rsidR="00911AFD" w:rsidRPr="00894D83">
        <w:rPr>
          <w:b/>
          <w:bCs/>
          <w:lang w:val="en-GB"/>
        </w:rPr>
        <w:t xml:space="preserve"> DQWG Meeting</w:t>
      </w:r>
    </w:p>
    <w:p w14:paraId="696E6ADA" w14:textId="57C3EB9D" w:rsidR="00CE0494" w:rsidRPr="00894D83" w:rsidRDefault="00B8346F">
      <w:pPr>
        <w:pStyle w:val="BodyA"/>
        <w:rPr>
          <w:b/>
          <w:bCs/>
          <w:lang w:val="en-GB"/>
        </w:rPr>
      </w:pPr>
      <w:r>
        <w:rPr>
          <w:b/>
          <w:bCs/>
          <w:lang w:val="en-GB"/>
        </w:rPr>
        <w:t>Online event (9-10 February 2021</w:t>
      </w:r>
      <w:r w:rsidR="00911AFD" w:rsidRPr="00894D83">
        <w:rPr>
          <w:b/>
          <w:bCs/>
          <w:lang w:val="en-GB"/>
        </w:rPr>
        <w:t>)</w:t>
      </w:r>
    </w:p>
    <w:p w14:paraId="4C060BD4" w14:textId="77777777" w:rsidR="00CE0494" w:rsidRPr="00894D83" w:rsidRDefault="00CE0494">
      <w:pPr>
        <w:pStyle w:val="BodyA"/>
        <w:rPr>
          <w:lang w:val="en-GB"/>
        </w:rPr>
      </w:pPr>
    </w:p>
    <w:p w14:paraId="1F00ADAB" w14:textId="16AA66DF" w:rsidR="00CE0494" w:rsidRPr="00894D83" w:rsidRDefault="005D3B35">
      <w:pPr>
        <w:pStyle w:val="BodyA"/>
        <w:jc w:val="center"/>
        <w:rPr>
          <w:lang w:val="en-GB"/>
        </w:rPr>
      </w:pPr>
      <w:r>
        <w:rPr>
          <w:b/>
          <w:bCs/>
          <w:lang w:val="en-GB"/>
        </w:rPr>
        <w:t>FINAL</w:t>
      </w:r>
      <w:r w:rsidR="00911AFD" w:rsidRPr="00894D83">
        <w:rPr>
          <w:b/>
          <w:bCs/>
          <w:lang w:val="en-GB"/>
        </w:rPr>
        <w:t xml:space="preserve"> MINUTES</w:t>
      </w:r>
    </w:p>
    <w:p w14:paraId="781330F1" w14:textId="77777777" w:rsidR="00CE0494" w:rsidRPr="00894D83" w:rsidRDefault="00911AFD">
      <w:pPr>
        <w:pStyle w:val="BodyA"/>
        <w:rPr>
          <w:b/>
          <w:bCs/>
          <w:lang w:val="en-GB"/>
        </w:rPr>
      </w:pPr>
      <w:r w:rsidRPr="00894D83">
        <w:rPr>
          <w:b/>
          <w:bCs/>
          <w:lang w:val="en-GB"/>
          <w14:shadow w14:blurRad="0" w14:dist="19050" w14:dir="5400000" w14:sx="100000" w14:sy="100000" w14:kx="0" w14:ky="0" w14:algn="tl">
            <w14:srgbClr w14:val="FFC000">
              <w14:alpha w14:val="50000"/>
            </w14:srgbClr>
          </w14:shadow>
        </w:rPr>
        <w:t xml:space="preserve">1. </w:t>
      </w:r>
      <w:r w:rsidRPr="00894D83">
        <w:rPr>
          <w:b/>
          <w:bCs/>
          <w:lang w:val="en-GB"/>
          <w14:shadow w14:blurRad="0" w14:dist="19050" w14:dir="5400000" w14:sx="100000" w14:sy="100000" w14:kx="0" w14:ky="0" w14:algn="tl">
            <w14:srgbClr w14:val="FFC000">
              <w14:alpha w14:val="50000"/>
            </w14:srgbClr>
          </w14:shadow>
        </w:rPr>
        <w:tab/>
        <w:t>OPENING AND ADMINSTRATIVE ARRANGEMENTS</w:t>
      </w:r>
    </w:p>
    <w:p w14:paraId="56C9CE59" w14:textId="44C6B550" w:rsidR="00195962" w:rsidRPr="00894D83" w:rsidRDefault="003534AE" w:rsidP="00F60897">
      <w:pPr>
        <w:pStyle w:val="BodyA"/>
        <w:spacing w:after="0" w:line="240" w:lineRule="auto"/>
        <w:jc w:val="both"/>
        <w:rPr>
          <w:lang w:val="en-GB"/>
        </w:rPr>
      </w:pPr>
      <w:r w:rsidRPr="003534AE">
        <w:rPr>
          <w:lang w:val="en-GB"/>
        </w:rPr>
        <w:t xml:space="preserve">The meeting was chaired by </w:t>
      </w:r>
      <w:r w:rsidRPr="0028348A">
        <w:rPr>
          <w:i/>
          <w:lang w:val="en-GB"/>
        </w:rPr>
        <w:t>Mr Rogier Broekman (Netherlands)</w:t>
      </w:r>
      <w:r w:rsidRPr="003534AE">
        <w:rPr>
          <w:lang w:val="en-GB"/>
        </w:rPr>
        <w:t>. Forty-six delegates (a record for the DQWG!) representing 18 Member States (Brazil, Canada, China, Denmark, Finland, France, Germany, India, Indonesia, Italy, Japan, Netherlands, Norway, Portugal, South Africa, Sweden, United Kingdom and United States), 2 representatives of the RENCs (IC-ENC</w:t>
      </w:r>
      <w:r>
        <w:rPr>
          <w:rStyle w:val="FootnoteReference"/>
          <w:lang w:val="en-GB"/>
        </w:rPr>
        <w:footnoteReference w:id="1"/>
      </w:r>
      <w:r w:rsidRPr="003534AE">
        <w:rPr>
          <w:lang w:val="en-GB"/>
        </w:rPr>
        <w:t>, PRIMAR), 7 expert contributors (IEHG</w:t>
      </w:r>
      <w:r>
        <w:rPr>
          <w:rStyle w:val="FootnoteReference"/>
          <w:lang w:val="en-GB"/>
        </w:rPr>
        <w:footnoteReference w:id="2"/>
      </w:r>
      <w:r>
        <w:rPr>
          <w:lang w:val="en-GB"/>
        </w:rPr>
        <w:t>, ISO, NWIC</w:t>
      </w:r>
      <w:r>
        <w:rPr>
          <w:rStyle w:val="FootnoteReference"/>
          <w:lang w:val="en-GB"/>
        </w:rPr>
        <w:footnoteReference w:id="3"/>
      </w:r>
      <w:r w:rsidRPr="003534AE">
        <w:rPr>
          <w:lang w:val="en-GB"/>
        </w:rPr>
        <w:t>, Portolan Science, SevenCs, Teledyne-Caris and University of New Hampsh</w:t>
      </w:r>
      <w:r>
        <w:rPr>
          <w:lang w:val="en-GB"/>
        </w:rPr>
        <w:t>ire) and 2 stakeholders (CSMART</w:t>
      </w:r>
      <w:r>
        <w:rPr>
          <w:rStyle w:val="FootnoteReference"/>
          <w:lang w:val="en-GB"/>
        </w:rPr>
        <w:footnoteReference w:id="4"/>
      </w:r>
      <w:r w:rsidRPr="003534AE">
        <w:rPr>
          <w:lang w:val="en-GB"/>
        </w:rPr>
        <w:t xml:space="preserve">, INTERTANKO) attended the meeting. The IHO Secretariat was represented by </w:t>
      </w:r>
      <w:r w:rsidRPr="0028348A">
        <w:rPr>
          <w:i/>
          <w:lang w:val="en-GB"/>
        </w:rPr>
        <w:t>Assistant Director Yves Guillam</w:t>
      </w:r>
      <w:r w:rsidRPr="003534AE">
        <w:rPr>
          <w:lang w:val="en-GB"/>
        </w:rPr>
        <w:t xml:space="preserve"> and </w:t>
      </w:r>
      <w:r w:rsidRPr="0028348A">
        <w:rPr>
          <w:i/>
          <w:lang w:val="en-GB"/>
        </w:rPr>
        <w:t>Technical Standards Support Officer Jeff Wootton</w:t>
      </w:r>
      <w:r w:rsidR="00BA5DB5">
        <w:rPr>
          <w:lang w:val="en-GB"/>
        </w:rPr>
        <w:t xml:space="preserve">. </w:t>
      </w:r>
      <w:r w:rsidR="00FC6CB0" w:rsidRPr="00894D83">
        <w:rPr>
          <w:lang w:val="en-GB"/>
        </w:rPr>
        <w:t xml:space="preserve">Apologies were received from </w:t>
      </w:r>
      <w:r w:rsidR="00BF7994">
        <w:rPr>
          <w:lang w:val="en-GB"/>
        </w:rPr>
        <w:t>Australia</w:t>
      </w:r>
      <w:r w:rsidR="00FC6CB0" w:rsidRPr="00894D83">
        <w:rPr>
          <w:lang w:val="en-GB"/>
        </w:rPr>
        <w:t xml:space="preserve"> and </w:t>
      </w:r>
      <w:r w:rsidR="00BF7994">
        <w:rPr>
          <w:lang w:val="en-GB"/>
        </w:rPr>
        <w:t>New Zealand.</w:t>
      </w:r>
    </w:p>
    <w:p w14:paraId="16FE1203" w14:textId="77777777" w:rsidR="00FC6CB0" w:rsidRPr="00894D83" w:rsidRDefault="00FC6CB0" w:rsidP="00F60897">
      <w:pPr>
        <w:pStyle w:val="BodyA"/>
        <w:spacing w:after="0" w:line="240" w:lineRule="auto"/>
        <w:jc w:val="both"/>
        <w:rPr>
          <w:lang w:val="en-GB"/>
        </w:rPr>
      </w:pPr>
    </w:p>
    <w:p w14:paraId="2C05C339" w14:textId="1C6D49E9" w:rsidR="00FC6CB0" w:rsidRDefault="00FC6CB0" w:rsidP="00F60897">
      <w:pPr>
        <w:pStyle w:val="BodyA"/>
        <w:spacing w:after="0" w:line="240" w:lineRule="auto"/>
        <w:jc w:val="both"/>
        <w:rPr>
          <w:lang w:val="en-GB"/>
        </w:rPr>
      </w:pPr>
      <w:r w:rsidRPr="00894D83">
        <w:rPr>
          <w:lang w:val="en-GB"/>
        </w:rPr>
        <w:t xml:space="preserve">The agenda was adopted without changes. </w:t>
      </w:r>
    </w:p>
    <w:p w14:paraId="27B92D63" w14:textId="0C2F1F4B" w:rsidR="005A5467" w:rsidRDefault="005A5467" w:rsidP="00F60897">
      <w:pPr>
        <w:pStyle w:val="BodyA"/>
        <w:spacing w:after="0" w:line="240" w:lineRule="auto"/>
        <w:jc w:val="both"/>
        <w:rPr>
          <w:lang w:val="en-GB"/>
        </w:rPr>
      </w:pPr>
    </w:p>
    <w:p w14:paraId="6659D8A2" w14:textId="77777777" w:rsidR="005A5467" w:rsidRDefault="005A5467" w:rsidP="005A5467">
      <w:pPr>
        <w:pStyle w:val="Body"/>
        <w:spacing w:after="0" w:line="240" w:lineRule="auto"/>
        <w:jc w:val="both"/>
        <w:rPr>
          <w:rFonts w:ascii="Helvetica" w:hAnsi="Helvetica"/>
          <w:lang w:val="en-GB"/>
        </w:rPr>
      </w:pPr>
      <w:r>
        <w:rPr>
          <w:rFonts w:ascii="Helvetica" w:hAnsi="Helvetica"/>
          <w:lang w:val="en-GB"/>
        </w:rPr>
        <w:t xml:space="preserve">The DQWG Terms of Reference were viewed, no comments or amendments. </w:t>
      </w:r>
    </w:p>
    <w:p w14:paraId="1FD8B58A" w14:textId="77777777" w:rsidR="005A5467" w:rsidRDefault="005A5467" w:rsidP="005A5467">
      <w:pPr>
        <w:pStyle w:val="Body"/>
        <w:spacing w:after="0" w:line="240" w:lineRule="auto"/>
        <w:jc w:val="both"/>
        <w:rPr>
          <w:rFonts w:ascii="Helvetica" w:hAnsi="Helvetica"/>
          <w:lang w:val="en-GB"/>
        </w:rPr>
      </w:pPr>
    </w:p>
    <w:p w14:paraId="57C47FF8" w14:textId="3A0AFAA0" w:rsidR="00714F99" w:rsidRDefault="00714F99" w:rsidP="00714F99">
      <w:pPr>
        <w:pStyle w:val="Body"/>
        <w:spacing w:after="0" w:line="240" w:lineRule="auto"/>
        <w:jc w:val="both"/>
        <w:rPr>
          <w:rFonts w:ascii="Helvetica" w:hAnsi="Helvetica"/>
          <w:lang w:val="en-GB"/>
        </w:rPr>
      </w:pPr>
      <w:r>
        <w:rPr>
          <w:rFonts w:ascii="Helvetica" w:hAnsi="Helvetica"/>
          <w:lang w:val="en-GB"/>
        </w:rPr>
        <w:t>The DQWG webpage has been updated as follows</w:t>
      </w:r>
      <w:r w:rsidR="00BC22DB">
        <w:rPr>
          <w:rFonts w:ascii="Helvetica" w:hAnsi="Helvetica"/>
          <w:lang w:val="en-GB"/>
        </w:rPr>
        <w:t xml:space="preserve"> (</w:t>
      </w:r>
      <w:r w:rsidR="00BC22DB" w:rsidRPr="00BC22DB">
        <w:rPr>
          <w:rFonts w:ascii="Helvetica" w:hAnsi="Helvetica"/>
          <w:b/>
          <w:lang w:val="en-GB"/>
        </w:rPr>
        <w:t>DQWG16/01</w:t>
      </w:r>
      <w:r w:rsidR="00BC22DB">
        <w:rPr>
          <w:rFonts w:ascii="Helvetica" w:hAnsi="Helvetica"/>
          <w:lang w:val="en-GB"/>
        </w:rPr>
        <w:t>)</w:t>
      </w:r>
      <w:r>
        <w:rPr>
          <w:rFonts w:ascii="Helvetica" w:hAnsi="Helvetica"/>
          <w:lang w:val="en-GB"/>
        </w:rPr>
        <w:t>:</w:t>
      </w:r>
    </w:p>
    <w:p w14:paraId="286E4415" w14:textId="40999EB0" w:rsidR="00714F99" w:rsidRDefault="0014529F" w:rsidP="00714F99">
      <w:pPr>
        <w:pStyle w:val="Body"/>
        <w:numPr>
          <w:ilvl w:val="0"/>
          <w:numId w:val="6"/>
        </w:numPr>
        <w:spacing w:after="0" w:line="240" w:lineRule="auto"/>
        <w:jc w:val="both"/>
        <w:rPr>
          <w:rFonts w:ascii="Helvetica" w:hAnsi="Helvetica"/>
          <w:lang w:val="en-GB"/>
        </w:rPr>
      </w:pPr>
      <w:r>
        <w:rPr>
          <w:rFonts w:ascii="Helvetica" w:hAnsi="Helvetica"/>
          <w:lang w:val="en-GB"/>
        </w:rPr>
        <w:t>T</w:t>
      </w:r>
      <w:r w:rsidR="00714F99">
        <w:rPr>
          <w:rFonts w:ascii="Helvetica" w:hAnsi="Helvetica"/>
          <w:lang w:val="en-GB"/>
        </w:rPr>
        <w:t>he list of WG members</w:t>
      </w:r>
      <w:r>
        <w:rPr>
          <w:rFonts w:ascii="Helvetica" w:hAnsi="Helvetica"/>
          <w:lang w:val="en-GB"/>
        </w:rPr>
        <w:t xml:space="preserve"> was updated</w:t>
      </w:r>
      <w:r w:rsidR="00714F99">
        <w:rPr>
          <w:rFonts w:ascii="Helvetica" w:hAnsi="Helvetica"/>
          <w:lang w:val="en-GB"/>
        </w:rPr>
        <w:t xml:space="preserve"> (</w:t>
      </w:r>
      <w:r w:rsidR="00714F99" w:rsidRPr="0014529F">
        <w:rPr>
          <w:rFonts w:ascii="Helvetica" w:hAnsi="Helvetica"/>
          <w:i/>
          <w:lang w:val="en-GB"/>
        </w:rPr>
        <w:t>Basic WG Documents</w:t>
      </w:r>
      <w:r w:rsidR="00714F99">
        <w:rPr>
          <w:rFonts w:ascii="Helvetica" w:hAnsi="Helvetica"/>
          <w:lang w:val="en-GB"/>
        </w:rPr>
        <w:t>).</w:t>
      </w:r>
    </w:p>
    <w:p w14:paraId="29369E31" w14:textId="77777777" w:rsidR="00714F99" w:rsidRDefault="00714F99" w:rsidP="00714F99">
      <w:pPr>
        <w:pStyle w:val="Body"/>
        <w:numPr>
          <w:ilvl w:val="0"/>
          <w:numId w:val="6"/>
        </w:numPr>
        <w:spacing w:after="0" w:line="240" w:lineRule="auto"/>
        <w:jc w:val="both"/>
        <w:rPr>
          <w:rFonts w:ascii="Helvetica" w:hAnsi="Helvetica"/>
          <w:lang w:val="en-GB"/>
        </w:rPr>
      </w:pPr>
      <w:r>
        <w:rPr>
          <w:rFonts w:ascii="Helvetica" w:hAnsi="Helvetica"/>
          <w:lang w:val="en-GB"/>
        </w:rPr>
        <w:t>Added the Quick Reference S-1xx Feature Catalogue zip file with various S-1xx FCs in excel format (</w:t>
      </w:r>
      <w:r w:rsidRPr="0014529F">
        <w:rPr>
          <w:rFonts w:ascii="Helvetica" w:hAnsi="Helvetica"/>
          <w:i/>
          <w:lang w:val="en-GB"/>
        </w:rPr>
        <w:t>Reference Documents</w:t>
      </w:r>
      <w:r>
        <w:rPr>
          <w:rFonts w:ascii="Helvetica" w:hAnsi="Helvetica"/>
          <w:lang w:val="en-GB"/>
        </w:rPr>
        <w:t>).</w:t>
      </w:r>
    </w:p>
    <w:p w14:paraId="2F5F78FF" w14:textId="77777777" w:rsidR="00714F99" w:rsidRDefault="00714F99" w:rsidP="00714F99">
      <w:pPr>
        <w:pStyle w:val="Body"/>
        <w:numPr>
          <w:ilvl w:val="0"/>
          <w:numId w:val="6"/>
        </w:numPr>
        <w:spacing w:after="0" w:line="240" w:lineRule="auto"/>
        <w:jc w:val="both"/>
        <w:rPr>
          <w:rFonts w:ascii="Helvetica" w:hAnsi="Helvetica"/>
          <w:lang w:val="en-GB"/>
        </w:rPr>
      </w:pPr>
      <w:r>
        <w:rPr>
          <w:rFonts w:ascii="Helvetica" w:hAnsi="Helvetica"/>
          <w:lang w:val="en-GB"/>
        </w:rPr>
        <w:t>Quality of Bathymetric Data – Decision tree: now under discussion with S-101PT (</w:t>
      </w:r>
      <w:r w:rsidRPr="0014529F">
        <w:rPr>
          <w:rFonts w:ascii="Helvetica" w:hAnsi="Helvetica"/>
          <w:i/>
          <w:lang w:val="en-GB"/>
        </w:rPr>
        <w:t>Reference Documents</w:t>
      </w:r>
      <w:r>
        <w:rPr>
          <w:rFonts w:ascii="Helvetica" w:hAnsi="Helvetica"/>
          <w:lang w:val="en-GB"/>
        </w:rPr>
        <w:t>).</w:t>
      </w:r>
    </w:p>
    <w:p w14:paraId="7CB19524" w14:textId="627F41DB" w:rsidR="00714F99" w:rsidRDefault="00714F99" w:rsidP="00714F99">
      <w:pPr>
        <w:pStyle w:val="Body"/>
        <w:numPr>
          <w:ilvl w:val="0"/>
          <w:numId w:val="6"/>
        </w:numPr>
        <w:spacing w:after="0" w:line="240" w:lineRule="auto"/>
        <w:jc w:val="both"/>
        <w:rPr>
          <w:rFonts w:ascii="Helvetica" w:hAnsi="Helvetica"/>
          <w:lang w:val="en-GB"/>
        </w:rPr>
      </w:pPr>
      <w:r>
        <w:rPr>
          <w:rFonts w:ascii="Helvetica" w:hAnsi="Helvetica"/>
          <w:lang w:val="en-GB"/>
        </w:rPr>
        <w:t>Data Quality Model removed (</w:t>
      </w:r>
      <w:r w:rsidRPr="0014529F">
        <w:rPr>
          <w:rFonts w:ascii="Helvetica" w:hAnsi="Helvetica"/>
          <w:i/>
          <w:lang w:val="en-GB"/>
        </w:rPr>
        <w:t>Reference Documents</w:t>
      </w:r>
      <w:r>
        <w:rPr>
          <w:rFonts w:ascii="Helvetica" w:hAnsi="Helvetica"/>
          <w:lang w:val="en-GB"/>
        </w:rPr>
        <w:t>).</w:t>
      </w:r>
    </w:p>
    <w:p w14:paraId="470E574F" w14:textId="23F0202F" w:rsidR="00B512BC" w:rsidRDefault="00B512BC" w:rsidP="00B512BC">
      <w:pPr>
        <w:pStyle w:val="Body"/>
        <w:spacing w:after="0" w:line="240" w:lineRule="auto"/>
        <w:jc w:val="both"/>
        <w:rPr>
          <w:rFonts w:ascii="Helvetica" w:hAnsi="Helvetica"/>
          <w:lang w:val="en-GB"/>
        </w:rPr>
      </w:pPr>
    </w:p>
    <w:p w14:paraId="4E0F801E" w14:textId="15DD9261" w:rsidR="00B512BC" w:rsidRDefault="00B512BC" w:rsidP="00B512BC">
      <w:pPr>
        <w:pStyle w:val="Body"/>
        <w:spacing w:after="0" w:line="240" w:lineRule="auto"/>
        <w:jc w:val="both"/>
        <w:rPr>
          <w:rFonts w:ascii="Helvetica" w:hAnsi="Helvetica"/>
          <w:lang w:val="en-GB"/>
        </w:rPr>
      </w:pPr>
      <w:r>
        <w:rPr>
          <w:rFonts w:ascii="Helvetica" w:hAnsi="Helvetica"/>
          <w:lang w:val="en-GB"/>
        </w:rPr>
        <w:t>It was decided that hosting a DQ Wiki was not needed at this time.</w:t>
      </w:r>
    </w:p>
    <w:p w14:paraId="741F3C25" w14:textId="77777777" w:rsidR="00CE0494" w:rsidRPr="00894D83" w:rsidRDefault="00CE0494" w:rsidP="00F60897">
      <w:pPr>
        <w:pStyle w:val="BodyA"/>
        <w:spacing w:after="0" w:line="240" w:lineRule="auto"/>
        <w:jc w:val="both"/>
        <w:rPr>
          <w:lang w:val="en-GB"/>
        </w:rPr>
      </w:pPr>
    </w:p>
    <w:p w14:paraId="6D533A7F" w14:textId="77777777" w:rsidR="00CE0494" w:rsidRPr="00894D83" w:rsidRDefault="00CE0494">
      <w:pPr>
        <w:pStyle w:val="BodyA"/>
        <w:rPr>
          <w:lang w:val="en-GB"/>
        </w:rPr>
      </w:pPr>
    </w:p>
    <w:p w14:paraId="2CF7F913" w14:textId="77777777" w:rsidR="00CE0494" w:rsidRPr="00894D83" w:rsidRDefault="00911AFD">
      <w:pPr>
        <w:pStyle w:val="BodyA"/>
        <w:rPr>
          <w:lang w:val="en-GB"/>
        </w:rPr>
      </w:pPr>
      <w:r w:rsidRPr="00894D83">
        <w:rPr>
          <w:b/>
          <w:bCs/>
          <w:lang w:val="en-GB"/>
        </w:rPr>
        <w:t>2.</w:t>
      </w:r>
      <w:r w:rsidRPr="00894D83">
        <w:rPr>
          <w:b/>
          <w:bCs/>
          <w:lang w:val="en-GB"/>
        </w:rPr>
        <w:tab/>
        <w:t xml:space="preserve">MATTERS </w:t>
      </w:r>
      <w:r w:rsidR="00C629D0" w:rsidRPr="00894D83">
        <w:rPr>
          <w:b/>
          <w:bCs/>
          <w:lang w:val="en-GB"/>
        </w:rPr>
        <w:t>ARISING AND HSSC WORK GROUP REPORTS</w:t>
      </w:r>
    </w:p>
    <w:p w14:paraId="0D877EF9" w14:textId="1E3043FE" w:rsidR="00D95B98" w:rsidRDefault="00D95B98" w:rsidP="00F60897">
      <w:pPr>
        <w:pStyle w:val="Body"/>
        <w:spacing w:after="0" w:line="240" w:lineRule="auto"/>
        <w:jc w:val="both"/>
        <w:rPr>
          <w:rFonts w:ascii="Helvetica" w:hAnsi="Helvetica"/>
          <w:lang w:val="en-GB"/>
        </w:rPr>
      </w:pPr>
      <w:r>
        <w:rPr>
          <w:rFonts w:ascii="Helvetica" w:hAnsi="Helvetica"/>
          <w:lang w:val="en-GB"/>
        </w:rPr>
        <w:t>The election of Chair and Vice-Chair shall be decided at the first meeting after each ordinary session of the Assembly</w:t>
      </w:r>
      <w:r w:rsidR="008C0BBC">
        <w:rPr>
          <w:rFonts w:ascii="Helvetica" w:hAnsi="Helvetica"/>
          <w:lang w:val="en-GB"/>
        </w:rPr>
        <w:t xml:space="preserve"> (ToR 4.d. refers). The last ordinary session of the Assembly took place in November 2020 so for this meeting the election of Chair and Vice-Chair was required. There was </w:t>
      </w:r>
      <w:r w:rsidR="00446A25">
        <w:rPr>
          <w:rFonts w:ascii="Helvetica" w:hAnsi="Helvetica"/>
          <w:lang w:val="en-GB"/>
        </w:rPr>
        <w:t>one</w:t>
      </w:r>
      <w:r w:rsidR="008C0BBC">
        <w:rPr>
          <w:rFonts w:ascii="Helvetica" w:hAnsi="Helvetica"/>
          <w:lang w:val="en-GB"/>
        </w:rPr>
        <w:t xml:space="preserve"> nominee for Chair from NL and no nominees for Vice-Chair and Secretary.</w:t>
      </w:r>
      <w:r w:rsidR="00A92778">
        <w:rPr>
          <w:rFonts w:ascii="Helvetica" w:hAnsi="Helvetica"/>
          <w:lang w:val="en-GB"/>
        </w:rPr>
        <w:t xml:space="preserve"> </w:t>
      </w:r>
    </w:p>
    <w:p w14:paraId="12BA135A" w14:textId="77777777" w:rsidR="00D95B98" w:rsidRDefault="00D95B98" w:rsidP="00F60897">
      <w:pPr>
        <w:pStyle w:val="Body"/>
        <w:spacing w:after="0" w:line="240" w:lineRule="auto"/>
        <w:jc w:val="both"/>
        <w:rPr>
          <w:rFonts w:ascii="Helvetica" w:hAnsi="Helvetica"/>
          <w:lang w:val="en-GB"/>
        </w:rPr>
      </w:pPr>
    </w:p>
    <w:p w14:paraId="596BE2D6" w14:textId="15A97938" w:rsidR="00866CBF" w:rsidRDefault="006C1203" w:rsidP="00F60897">
      <w:pPr>
        <w:pStyle w:val="Body"/>
        <w:spacing w:after="0" w:line="240" w:lineRule="auto"/>
        <w:jc w:val="both"/>
        <w:rPr>
          <w:rFonts w:ascii="Helvetica" w:hAnsi="Helvetica"/>
          <w:lang w:val="en-GB"/>
        </w:rPr>
      </w:pPr>
      <w:r>
        <w:rPr>
          <w:rFonts w:ascii="Helvetica" w:hAnsi="Helvetica"/>
          <w:lang w:val="en-GB"/>
        </w:rPr>
        <w:t>The</w:t>
      </w:r>
      <w:r w:rsidR="00911AFD" w:rsidRPr="00894D83">
        <w:rPr>
          <w:rFonts w:ascii="Helvetica" w:hAnsi="Helvetica"/>
          <w:lang w:val="en-GB"/>
        </w:rPr>
        <w:t xml:space="preserve"> </w:t>
      </w:r>
      <w:r w:rsidR="00C629D0" w:rsidRPr="00894D83">
        <w:rPr>
          <w:rFonts w:ascii="Helvetica" w:hAnsi="Helvetica"/>
          <w:lang w:val="en-GB"/>
        </w:rPr>
        <w:t>HSSC</w:t>
      </w:r>
      <w:r w:rsidR="00866CBF">
        <w:rPr>
          <w:rFonts w:ascii="Helvetica" w:hAnsi="Helvetica"/>
          <w:lang w:val="en-GB"/>
        </w:rPr>
        <w:t>12 List of Decision and Actions for DQWG</w:t>
      </w:r>
      <w:r>
        <w:rPr>
          <w:rFonts w:ascii="Helvetica" w:hAnsi="Helvetica"/>
          <w:lang w:val="en-GB"/>
        </w:rPr>
        <w:t xml:space="preserve"> are</w:t>
      </w:r>
      <w:r w:rsidR="00866CBF">
        <w:rPr>
          <w:rFonts w:ascii="Helvetica" w:hAnsi="Helvetica"/>
          <w:lang w:val="en-GB"/>
        </w:rPr>
        <w:t>:</w:t>
      </w:r>
    </w:p>
    <w:p w14:paraId="199206F9" w14:textId="28D81C8B" w:rsidR="00866CBF" w:rsidRDefault="00866CBF" w:rsidP="00866CBF">
      <w:pPr>
        <w:pStyle w:val="Body"/>
        <w:numPr>
          <w:ilvl w:val="0"/>
          <w:numId w:val="5"/>
        </w:numPr>
        <w:spacing w:after="0" w:line="240" w:lineRule="auto"/>
        <w:jc w:val="both"/>
        <w:rPr>
          <w:rFonts w:ascii="Helvetica" w:hAnsi="Helvetica"/>
          <w:lang w:val="en-GB"/>
        </w:rPr>
      </w:pPr>
      <w:r>
        <w:rPr>
          <w:rFonts w:ascii="Helvetica" w:hAnsi="Helvetica"/>
          <w:lang w:val="en-GB"/>
        </w:rPr>
        <w:t>HSSC12/46 -&gt; translation of S-67 (action).</w:t>
      </w:r>
    </w:p>
    <w:p w14:paraId="6931A5CF" w14:textId="086FC808" w:rsidR="00866CBF" w:rsidRDefault="00866CBF" w:rsidP="00866CBF">
      <w:pPr>
        <w:pStyle w:val="Body"/>
        <w:numPr>
          <w:ilvl w:val="0"/>
          <w:numId w:val="5"/>
        </w:numPr>
        <w:spacing w:after="0" w:line="240" w:lineRule="auto"/>
        <w:jc w:val="both"/>
        <w:rPr>
          <w:rFonts w:ascii="Helvetica" w:hAnsi="Helvetica"/>
          <w:lang w:val="en-GB"/>
        </w:rPr>
      </w:pPr>
      <w:r>
        <w:rPr>
          <w:rFonts w:ascii="Helvetica" w:hAnsi="Helvetica"/>
          <w:lang w:val="en-GB"/>
        </w:rPr>
        <w:t>HSSC12/47 -&gt; review by DQWG of S-1xx PS before submitting Ed.2.0.0 for approval to MS (decision).</w:t>
      </w:r>
    </w:p>
    <w:p w14:paraId="0434300D" w14:textId="7BE17E97" w:rsidR="00866CBF" w:rsidRDefault="00866CBF" w:rsidP="00866CBF">
      <w:pPr>
        <w:pStyle w:val="Body"/>
        <w:numPr>
          <w:ilvl w:val="0"/>
          <w:numId w:val="5"/>
        </w:numPr>
        <w:spacing w:after="0" w:line="240" w:lineRule="auto"/>
        <w:jc w:val="both"/>
        <w:rPr>
          <w:rFonts w:ascii="Helvetica" w:hAnsi="Helvetica"/>
          <w:lang w:val="en-GB"/>
        </w:rPr>
      </w:pPr>
      <w:r>
        <w:rPr>
          <w:rFonts w:ascii="Helvetica" w:hAnsi="Helvetica"/>
          <w:lang w:val="en-GB"/>
        </w:rPr>
        <w:t>HSSC12/48 -&gt; approval of the recommendations on conditional visualization of quality of bathymetric data and transfer of the results to the S101PT (decision).</w:t>
      </w:r>
    </w:p>
    <w:p w14:paraId="14C26AE2" w14:textId="4FC50B83" w:rsidR="006C1203" w:rsidRDefault="006C1203" w:rsidP="006C1203">
      <w:pPr>
        <w:pStyle w:val="Body"/>
        <w:spacing w:after="0" w:line="240" w:lineRule="auto"/>
        <w:jc w:val="both"/>
        <w:rPr>
          <w:rFonts w:ascii="Helvetica" w:hAnsi="Helvetica"/>
          <w:lang w:val="en-GB"/>
        </w:rPr>
      </w:pPr>
    </w:p>
    <w:p w14:paraId="55578A9D" w14:textId="1479827B" w:rsidR="006C1203" w:rsidRDefault="00E52E3B" w:rsidP="006C1203">
      <w:pPr>
        <w:pStyle w:val="Body"/>
        <w:spacing w:after="0" w:line="240" w:lineRule="auto"/>
        <w:jc w:val="both"/>
        <w:rPr>
          <w:rFonts w:ascii="Helvetica" w:hAnsi="Helvetica"/>
          <w:lang w:val="en-GB"/>
        </w:rPr>
      </w:pPr>
      <w:r>
        <w:rPr>
          <w:rFonts w:ascii="Helvetica" w:hAnsi="Helvetica"/>
          <w:lang w:val="en-GB"/>
        </w:rPr>
        <w:lastRenderedPageBreak/>
        <w:t xml:space="preserve">The HSSC Chair and WG Chairs held an online meeting on </w:t>
      </w:r>
      <w:r w:rsidR="002530CB">
        <w:rPr>
          <w:rFonts w:ascii="Helvetica" w:hAnsi="Helvetica"/>
          <w:lang w:val="en-GB"/>
        </w:rPr>
        <w:t>9</w:t>
      </w:r>
      <w:r w:rsidR="002530CB" w:rsidRPr="002530CB">
        <w:rPr>
          <w:rFonts w:ascii="Helvetica" w:hAnsi="Helvetica"/>
          <w:vertAlign w:val="superscript"/>
          <w:lang w:val="en-GB"/>
        </w:rPr>
        <w:t>th</w:t>
      </w:r>
      <w:r w:rsidR="002530CB">
        <w:rPr>
          <w:rFonts w:ascii="Helvetica" w:hAnsi="Helvetica"/>
          <w:lang w:val="en-GB"/>
        </w:rPr>
        <w:t xml:space="preserve"> </w:t>
      </w:r>
      <w:r>
        <w:rPr>
          <w:rFonts w:ascii="Helvetica" w:hAnsi="Helvetica"/>
          <w:lang w:val="en-GB"/>
        </w:rPr>
        <w:t xml:space="preserve">of December 2020. Its report is can be found at </w:t>
      </w:r>
      <w:hyperlink r:id="rId8" w:history="1">
        <w:r w:rsidRPr="00D50A3D">
          <w:rPr>
            <w:rStyle w:val="Hyperlink"/>
            <w:rFonts w:ascii="Helvetica" w:hAnsi="Helvetica"/>
            <w:lang w:val="en-GB"/>
          </w:rPr>
          <w:t>www.iho.int</w:t>
        </w:r>
      </w:hyperlink>
      <w:r>
        <w:rPr>
          <w:rFonts w:ascii="Helvetica" w:hAnsi="Helvetica"/>
          <w:lang w:val="en-GB"/>
        </w:rPr>
        <w:t xml:space="preserve"> &gt; HSSC &gt; </w:t>
      </w:r>
      <w:hyperlink r:id="rId9" w:history="1">
        <w:r w:rsidRPr="00E52E3B">
          <w:rPr>
            <w:rStyle w:val="Hyperlink"/>
            <w:rFonts w:ascii="Helvetica" w:hAnsi="Helvetica"/>
            <w:lang w:val="en-GB"/>
          </w:rPr>
          <w:t>Miscellaneous</w:t>
        </w:r>
      </w:hyperlink>
      <w:r>
        <w:rPr>
          <w:rFonts w:ascii="Helvetica" w:hAnsi="Helvetica"/>
          <w:lang w:val="en-GB"/>
        </w:rPr>
        <w:t>. For DQWG the following items are of interest:</w:t>
      </w:r>
    </w:p>
    <w:p w14:paraId="1871B2D7" w14:textId="56AF4DC2" w:rsidR="00E52E3B" w:rsidRDefault="0022488B" w:rsidP="00E52E3B">
      <w:pPr>
        <w:pStyle w:val="Body"/>
        <w:numPr>
          <w:ilvl w:val="0"/>
          <w:numId w:val="7"/>
        </w:numPr>
        <w:spacing w:after="0" w:line="240" w:lineRule="auto"/>
        <w:jc w:val="both"/>
        <w:rPr>
          <w:rFonts w:ascii="Helvetica" w:hAnsi="Helvetica"/>
          <w:lang w:val="en-GB"/>
        </w:rPr>
      </w:pPr>
      <w:r>
        <w:rPr>
          <w:rFonts w:ascii="Helvetica" w:hAnsi="Helvetica"/>
          <w:lang w:val="en-GB"/>
        </w:rPr>
        <w:t xml:space="preserve">Target 1.2: develop standards, specifications and guidelines in the areas of data assurance, including cyber security and </w:t>
      </w:r>
      <w:r w:rsidRPr="00A75620">
        <w:rPr>
          <w:rFonts w:ascii="Helvetica" w:hAnsi="Helvetica"/>
          <w:u w:val="single"/>
          <w:lang w:val="en-GB"/>
        </w:rPr>
        <w:t>data quality assessment</w:t>
      </w:r>
      <w:r>
        <w:rPr>
          <w:rFonts w:ascii="Helvetica" w:hAnsi="Helvetica"/>
          <w:lang w:val="en-GB"/>
        </w:rPr>
        <w:t>.</w:t>
      </w:r>
    </w:p>
    <w:p w14:paraId="1E46ECE3" w14:textId="6CA2DAC6" w:rsidR="0022488B" w:rsidRDefault="0022488B" w:rsidP="00E52E3B">
      <w:pPr>
        <w:pStyle w:val="Body"/>
        <w:numPr>
          <w:ilvl w:val="0"/>
          <w:numId w:val="7"/>
        </w:numPr>
        <w:spacing w:after="0" w:line="240" w:lineRule="auto"/>
        <w:jc w:val="both"/>
        <w:rPr>
          <w:rFonts w:ascii="Helvetica" w:hAnsi="Helvetica"/>
          <w:lang w:val="en-GB"/>
        </w:rPr>
      </w:pPr>
      <w:r>
        <w:rPr>
          <w:rFonts w:ascii="Helvetica" w:hAnsi="Helvetica"/>
          <w:lang w:val="en-GB"/>
        </w:rPr>
        <w:t>SPI 1.1.2: 7 Product Specifications currently (2020) identified for navigation, route monitoring mode. By 2026, 100% should be operational. (</w:t>
      </w:r>
      <w:proofErr w:type="gramStart"/>
      <w:r>
        <w:rPr>
          <w:rFonts w:ascii="Helvetica" w:hAnsi="Helvetica"/>
          <w:lang w:val="en-GB"/>
        </w:rPr>
        <w:t>identified</w:t>
      </w:r>
      <w:proofErr w:type="gramEnd"/>
      <w:r>
        <w:rPr>
          <w:rFonts w:ascii="Helvetica" w:hAnsi="Helvetica"/>
          <w:lang w:val="en-GB"/>
        </w:rPr>
        <w:t xml:space="preserve"> </w:t>
      </w:r>
      <w:r w:rsidR="00446A25">
        <w:rPr>
          <w:rFonts w:ascii="Helvetica" w:hAnsi="Helvetica"/>
          <w:lang w:val="en-GB"/>
        </w:rPr>
        <w:t>are</w:t>
      </w:r>
      <w:r>
        <w:rPr>
          <w:rFonts w:ascii="Helvetica" w:hAnsi="Helvetica"/>
          <w:lang w:val="en-GB"/>
        </w:rPr>
        <w:t xml:space="preserve"> </w:t>
      </w:r>
      <w:r w:rsidRPr="00A75620">
        <w:rPr>
          <w:rFonts w:ascii="Helvetica" w:hAnsi="Helvetica"/>
          <w:u w:val="single"/>
          <w:lang w:val="en-GB"/>
        </w:rPr>
        <w:t xml:space="preserve">S-101, S-102, S-104, S-111, S-124, S-128, </w:t>
      </w:r>
      <w:r w:rsidR="00446A25" w:rsidRPr="00A75620">
        <w:rPr>
          <w:rFonts w:ascii="Helvetica" w:hAnsi="Helvetica"/>
          <w:u w:val="single"/>
          <w:lang w:val="en-GB"/>
        </w:rPr>
        <w:t>and S</w:t>
      </w:r>
      <w:r w:rsidRPr="00A75620">
        <w:rPr>
          <w:rFonts w:ascii="Helvetica" w:hAnsi="Helvetica"/>
          <w:u w:val="single"/>
          <w:lang w:val="en-GB"/>
        </w:rPr>
        <w:t>-129</w:t>
      </w:r>
      <w:r>
        <w:rPr>
          <w:rFonts w:ascii="Helvetica" w:hAnsi="Helvetica"/>
          <w:lang w:val="en-GB"/>
        </w:rPr>
        <w:t>).</w:t>
      </w:r>
    </w:p>
    <w:p w14:paraId="02B8885D" w14:textId="4C6204AE" w:rsidR="0022488B" w:rsidRDefault="0022488B" w:rsidP="0022488B">
      <w:pPr>
        <w:pStyle w:val="Body"/>
        <w:spacing w:after="0" w:line="240" w:lineRule="auto"/>
        <w:jc w:val="both"/>
        <w:rPr>
          <w:rFonts w:ascii="Helvetica" w:hAnsi="Helvetica"/>
          <w:lang w:val="en-GB"/>
        </w:rPr>
      </w:pPr>
    </w:p>
    <w:p w14:paraId="675A6F49" w14:textId="77777777" w:rsidR="0022488B" w:rsidRDefault="0022488B" w:rsidP="0022488B">
      <w:pPr>
        <w:pStyle w:val="Body"/>
        <w:spacing w:after="0" w:line="240" w:lineRule="auto"/>
        <w:jc w:val="both"/>
        <w:rPr>
          <w:rFonts w:ascii="Helvetica" w:hAnsi="Helvetica"/>
          <w:lang w:val="en-GB"/>
        </w:rPr>
      </w:pPr>
    </w:p>
    <w:p w14:paraId="5C63D816" w14:textId="21798B17" w:rsidR="005A5467" w:rsidRDefault="00B512BC" w:rsidP="006C1203">
      <w:pPr>
        <w:pStyle w:val="Body"/>
        <w:spacing w:after="0" w:line="240" w:lineRule="auto"/>
        <w:jc w:val="both"/>
        <w:rPr>
          <w:rFonts w:ascii="Helvetica" w:hAnsi="Helvetica"/>
          <w:lang w:val="en-GB"/>
        </w:rPr>
      </w:pPr>
      <w:r>
        <w:rPr>
          <w:rFonts w:ascii="Helvetica" w:hAnsi="Helvetica"/>
          <w:lang w:val="en-GB"/>
        </w:rPr>
        <w:t>The outstanding actions from DQWG15 are:</w:t>
      </w:r>
    </w:p>
    <w:p w14:paraId="4ED9A74E" w14:textId="499BA9CE" w:rsidR="00B512BC" w:rsidRDefault="00B512BC" w:rsidP="00B512BC">
      <w:pPr>
        <w:pStyle w:val="Body"/>
        <w:numPr>
          <w:ilvl w:val="0"/>
          <w:numId w:val="8"/>
        </w:numPr>
        <w:spacing w:after="0"/>
        <w:ind w:left="714" w:hanging="357"/>
        <w:jc w:val="both"/>
        <w:rPr>
          <w:rFonts w:ascii="Helvetica" w:hAnsi="Helvetica"/>
          <w:lang w:val="en-GB"/>
        </w:rPr>
      </w:pPr>
      <w:r>
        <w:rPr>
          <w:rFonts w:ascii="Helvetica" w:hAnsi="Helvetica"/>
          <w:lang w:val="en-GB"/>
        </w:rPr>
        <w:t xml:space="preserve">DQWG15/04: </w:t>
      </w:r>
      <w:r w:rsidRPr="00B512BC">
        <w:rPr>
          <w:rFonts w:ascii="Helvetica" w:hAnsi="Helvetica"/>
          <w:lang w:val="en-GB"/>
        </w:rPr>
        <w:t>Check the model components across S-1xx for</w:t>
      </w:r>
      <w:r>
        <w:rPr>
          <w:rFonts w:ascii="Helvetica" w:hAnsi="Helvetica"/>
          <w:lang w:val="en-GB"/>
        </w:rPr>
        <w:t xml:space="preserve"> </w:t>
      </w:r>
      <w:proofErr w:type="spellStart"/>
      <w:r w:rsidRPr="00B512BC">
        <w:rPr>
          <w:rFonts w:ascii="Helvetica" w:hAnsi="Helvetica"/>
          <w:lang w:val="en-GB"/>
        </w:rPr>
        <w:t>timeUncertainty</w:t>
      </w:r>
      <w:proofErr w:type="spellEnd"/>
      <w:r w:rsidRPr="00B512BC">
        <w:rPr>
          <w:rFonts w:ascii="Helvetica" w:hAnsi="Helvetica"/>
          <w:lang w:val="en-GB"/>
        </w:rPr>
        <w:t xml:space="preserve"> as introduced by TWCWG.</w:t>
      </w:r>
      <w:r>
        <w:rPr>
          <w:rFonts w:ascii="Helvetica" w:hAnsi="Helvetica"/>
          <w:lang w:val="en-GB"/>
        </w:rPr>
        <w:t xml:space="preserve"> -&gt; </w:t>
      </w:r>
      <w:r w:rsidR="00446A25">
        <w:rPr>
          <w:rFonts w:ascii="Helvetica" w:hAnsi="Helvetica"/>
          <w:lang w:val="en-GB"/>
        </w:rPr>
        <w:t>To</w:t>
      </w:r>
      <w:r>
        <w:rPr>
          <w:rFonts w:ascii="Helvetica" w:hAnsi="Helvetica"/>
          <w:lang w:val="en-GB"/>
        </w:rPr>
        <w:t xml:space="preserve"> be included in review of S-104 and S-111.</w:t>
      </w:r>
    </w:p>
    <w:p w14:paraId="1927FD88" w14:textId="62A10C1B" w:rsidR="00B512BC" w:rsidRDefault="00B512BC" w:rsidP="00B512BC">
      <w:pPr>
        <w:pStyle w:val="Body"/>
        <w:numPr>
          <w:ilvl w:val="0"/>
          <w:numId w:val="8"/>
        </w:numPr>
        <w:spacing w:after="0"/>
        <w:ind w:left="714" w:hanging="357"/>
        <w:jc w:val="both"/>
        <w:rPr>
          <w:rFonts w:ascii="Helvetica" w:hAnsi="Helvetica"/>
          <w:lang w:val="en-GB"/>
        </w:rPr>
      </w:pPr>
      <w:r>
        <w:rPr>
          <w:rFonts w:ascii="Helvetica" w:hAnsi="Helvetica"/>
          <w:lang w:val="en-GB"/>
        </w:rPr>
        <w:t>DQWG15/08: Develop software to translate Feature Catalogues into excel format.</w:t>
      </w:r>
    </w:p>
    <w:p w14:paraId="575A44F2" w14:textId="2CF17EB8" w:rsidR="000A368C" w:rsidRDefault="007A3E19" w:rsidP="007A3E19">
      <w:pPr>
        <w:pStyle w:val="Body"/>
        <w:numPr>
          <w:ilvl w:val="0"/>
          <w:numId w:val="8"/>
        </w:numPr>
        <w:spacing w:after="0"/>
        <w:jc w:val="both"/>
        <w:rPr>
          <w:rFonts w:ascii="Helvetica" w:hAnsi="Helvetica"/>
          <w:lang w:val="en-GB"/>
        </w:rPr>
      </w:pPr>
      <w:r>
        <w:rPr>
          <w:rFonts w:ascii="Helvetica" w:hAnsi="Helvetica"/>
          <w:lang w:val="en-GB"/>
        </w:rPr>
        <w:t xml:space="preserve">DQWG15/09: </w:t>
      </w:r>
      <w:r w:rsidRPr="007A3E19">
        <w:rPr>
          <w:rFonts w:ascii="Helvetica" w:hAnsi="Helvetica"/>
          <w:lang w:val="en-GB"/>
        </w:rPr>
        <w:t>Update S-100 part 4c with ISO-19157</w:t>
      </w:r>
      <w:r w:rsidR="00A75620">
        <w:rPr>
          <w:rFonts w:ascii="Helvetica" w:hAnsi="Helvetica"/>
          <w:lang w:val="en-GB"/>
        </w:rPr>
        <w:t>.</w:t>
      </w:r>
    </w:p>
    <w:p w14:paraId="7AF71ECC" w14:textId="6FEA4865" w:rsidR="007A3E19" w:rsidRDefault="00C66D13" w:rsidP="00C66D13">
      <w:pPr>
        <w:pStyle w:val="Body"/>
        <w:numPr>
          <w:ilvl w:val="0"/>
          <w:numId w:val="8"/>
        </w:numPr>
        <w:spacing w:after="0"/>
        <w:jc w:val="both"/>
        <w:rPr>
          <w:rFonts w:ascii="Helvetica" w:hAnsi="Helvetica"/>
          <w:lang w:val="en-GB"/>
        </w:rPr>
      </w:pPr>
      <w:r>
        <w:rPr>
          <w:rFonts w:ascii="Helvetica" w:hAnsi="Helvetica"/>
          <w:lang w:val="en-GB"/>
        </w:rPr>
        <w:t xml:space="preserve">DQWG15/14: </w:t>
      </w:r>
      <w:r w:rsidRPr="00C66D13">
        <w:rPr>
          <w:rFonts w:ascii="Helvetica" w:hAnsi="Helvetica"/>
          <w:lang w:val="en-GB"/>
        </w:rPr>
        <w:t>Monitor and report inconsistencies between S-67 and INT-1 section V</w:t>
      </w:r>
      <w:r w:rsidR="00A75620">
        <w:rPr>
          <w:rFonts w:ascii="Helvetica" w:hAnsi="Helvetica"/>
          <w:lang w:val="en-GB"/>
        </w:rPr>
        <w:t>.</w:t>
      </w:r>
    </w:p>
    <w:p w14:paraId="477AA4FC" w14:textId="2FCBDF4F" w:rsidR="00C66D13" w:rsidRDefault="00C66D13" w:rsidP="00C66D13">
      <w:pPr>
        <w:pStyle w:val="Body"/>
        <w:spacing w:after="0"/>
        <w:jc w:val="both"/>
        <w:rPr>
          <w:rFonts w:ascii="Helvetica" w:hAnsi="Helvetica"/>
          <w:lang w:val="en-GB"/>
        </w:rPr>
      </w:pPr>
    </w:p>
    <w:p w14:paraId="3B42AF58" w14:textId="075A8D99" w:rsidR="00C66D13" w:rsidRDefault="00C66D13" w:rsidP="00C66D13">
      <w:pPr>
        <w:pStyle w:val="Body"/>
        <w:spacing w:after="0"/>
        <w:jc w:val="both"/>
        <w:rPr>
          <w:rFonts w:ascii="Helvetica" w:hAnsi="Helvetica"/>
          <w:lang w:val="en-GB"/>
        </w:rPr>
      </w:pPr>
      <w:r>
        <w:rPr>
          <w:rFonts w:ascii="Helvetica" w:hAnsi="Helvetica"/>
          <w:lang w:val="en-GB"/>
        </w:rPr>
        <w:t>The outstanding actions were discussed and updated accordingly, see Annex B.</w:t>
      </w:r>
    </w:p>
    <w:p w14:paraId="37F6DDA8" w14:textId="3694F67E" w:rsidR="00C66D13" w:rsidRDefault="00C66D13" w:rsidP="00C66D13">
      <w:pPr>
        <w:pStyle w:val="Body"/>
        <w:spacing w:after="0"/>
        <w:jc w:val="both"/>
        <w:rPr>
          <w:rFonts w:ascii="Helvetica" w:hAnsi="Helvetica"/>
          <w:lang w:val="en-GB"/>
        </w:rPr>
      </w:pPr>
    </w:p>
    <w:p w14:paraId="0BC1041D" w14:textId="5F83E94F" w:rsidR="00C66D13" w:rsidRDefault="002A2F48" w:rsidP="00C66D13">
      <w:pPr>
        <w:pStyle w:val="Body"/>
        <w:spacing w:after="0"/>
        <w:jc w:val="both"/>
        <w:rPr>
          <w:rFonts w:ascii="Helvetica" w:hAnsi="Helvetica"/>
          <w:lang w:val="en-GB"/>
        </w:rPr>
      </w:pPr>
      <w:r>
        <w:rPr>
          <w:rFonts w:ascii="Helvetica" w:hAnsi="Helvetica"/>
          <w:lang w:val="en-GB"/>
        </w:rPr>
        <w:t>The Chair introduced the Process of ISO-9001 principles for development of S-101. The HSSC has requested the DQWG to pursue this based on the Council decision</w:t>
      </w:r>
      <w:r w:rsidR="00CB68DA">
        <w:rPr>
          <w:rFonts w:ascii="Helvetica" w:hAnsi="Helvetica"/>
          <w:lang w:val="en-GB"/>
        </w:rPr>
        <w:t xml:space="preserve"> C4/40, under supervision of the HSSC Vice-Chair and with support from Sweden.</w:t>
      </w:r>
    </w:p>
    <w:p w14:paraId="6E0AAA1C" w14:textId="4554588A" w:rsidR="00CB68DA" w:rsidRDefault="00CB68DA" w:rsidP="00C66D13">
      <w:pPr>
        <w:pStyle w:val="Body"/>
        <w:spacing w:after="0"/>
        <w:jc w:val="both"/>
        <w:rPr>
          <w:rFonts w:ascii="Helvetica" w:hAnsi="Helvetica"/>
          <w:lang w:val="en-GB"/>
        </w:rPr>
      </w:pPr>
    </w:p>
    <w:p w14:paraId="4FD58B36" w14:textId="3E52A922" w:rsidR="00CB68DA" w:rsidRPr="00B512BC" w:rsidRDefault="00CB68DA" w:rsidP="00FF0836">
      <w:pPr>
        <w:pStyle w:val="Body"/>
        <w:spacing w:after="0" w:line="240" w:lineRule="auto"/>
        <w:jc w:val="both"/>
        <w:rPr>
          <w:rFonts w:ascii="Helvetica" w:hAnsi="Helvetica"/>
          <w:lang w:val="en-GB"/>
        </w:rPr>
      </w:pPr>
      <w:r>
        <w:rPr>
          <w:rFonts w:ascii="Helvetica" w:hAnsi="Helvetica"/>
          <w:lang w:val="en-GB"/>
        </w:rPr>
        <w:t xml:space="preserve">The S-101PT Chair </w:t>
      </w:r>
      <w:r w:rsidR="00A75620">
        <w:rPr>
          <w:rFonts w:ascii="Helvetica" w:hAnsi="Helvetica"/>
          <w:lang w:val="en-GB"/>
        </w:rPr>
        <w:t>(</w:t>
      </w:r>
      <w:r w:rsidR="00A75620" w:rsidRPr="0031631E">
        <w:rPr>
          <w:rFonts w:ascii="Helvetica" w:hAnsi="Helvetica"/>
          <w:i/>
          <w:lang w:val="en-GB"/>
        </w:rPr>
        <w:t>Tom Richardson – IC-ENC</w:t>
      </w:r>
      <w:r w:rsidR="00A75620">
        <w:rPr>
          <w:rFonts w:ascii="Helvetica" w:hAnsi="Helvetica"/>
          <w:lang w:val="en-GB"/>
        </w:rPr>
        <w:t xml:space="preserve">) </w:t>
      </w:r>
      <w:r w:rsidR="00B529A6">
        <w:rPr>
          <w:rFonts w:ascii="Helvetica" w:hAnsi="Helvetica"/>
          <w:lang w:val="en-GB"/>
        </w:rPr>
        <w:t xml:space="preserve">presented the report of the S-101 Project Team. The S-101 Ed.1.1.0 will be delivered following the publication of S-100 Ed.5.0.0. Two </w:t>
      </w:r>
      <w:proofErr w:type="spellStart"/>
      <w:r w:rsidR="00B529A6">
        <w:rPr>
          <w:rFonts w:ascii="Helvetica" w:hAnsi="Helvetica"/>
          <w:lang w:val="en-GB"/>
        </w:rPr>
        <w:t>subWGs</w:t>
      </w:r>
      <w:proofErr w:type="spellEnd"/>
      <w:r w:rsidR="00B529A6">
        <w:rPr>
          <w:rFonts w:ascii="Helvetica" w:hAnsi="Helvetica"/>
          <w:lang w:val="en-GB"/>
        </w:rPr>
        <w:t xml:space="preserve"> have been established: Data Model (</w:t>
      </w:r>
      <w:r w:rsidR="00B529A6" w:rsidRPr="00BC22DB">
        <w:rPr>
          <w:rFonts w:ascii="Helvetica" w:hAnsi="Helvetica"/>
          <w:i/>
          <w:lang w:val="en-GB"/>
        </w:rPr>
        <w:t>lead Jeff Wootton</w:t>
      </w:r>
      <w:r w:rsidR="00B529A6">
        <w:rPr>
          <w:rFonts w:ascii="Helvetica" w:hAnsi="Helvetica"/>
          <w:lang w:val="en-GB"/>
        </w:rPr>
        <w:t>) and Portrayal (</w:t>
      </w:r>
      <w:r w:rsidR="00B529A6" w:rsidRPr="0031631E">
        <w:rPr>
          <w:rFonts w:ascii="Helvetica" w:hAnsi="Helvetica"/>
          <w:i/>
          <w:lang w:val="en-GB"/>
        </w:rPr>
        <w:t>lead Alvaro Sanchez</w:t>
      </w:r>
      <w:r w:rsidR="00B529A6">
        <w:rPr>
          <w:rFonts w:ascii="Helvetica" w:hAnsi="Helvetica"/>
          <w:lang w:val="en-GB"/>
        </w:rPr>
        <w:t xml:space="preserve">). The portrayal group has two active issues related to Data Quality. Good progress has been made on Validation Checks. An initial draft is close to being ready for internal review. The principles of ISO-9001 will be applied to the revision of S-101. Timeframe between S-101PT and DQWG to be harmonized. </w:t>
      </w:r>
      <w:r w:rsidR="00A75620">
        <w:rPr>
          <w:rFonts w:ascii="Helvetica" w:hAnsi="Helvetica"/>
          <w:lang w:val="en-GB"/>
        </w:rPr>
        <w:t>(</w:t>
      </w:r>
      <w:r w:rsidR="00A75620" w:rsidRPr="002530CB">
        <w:rPr>
          <w:rFonts w:ascii="Helvetica" w:hAnsi="Helvetica"/>
          <w:b/>
          <w:lang w:val="en-GB"/>
        </w:rPr>
        <w:t>DQWG16/02</w:t>
      </w:r>
      <w:r w:rsidR="00A75620" w:rsidRPr="00FF0836">
        <w:rPr>
          <w:rFonts w:ascii="Helvetica" w:hAnsi="Helvetica"/>
          <w:lang w:val="en-GB"/>
        </w:rPr>
        <w:t xml:space="preserve"> – </w:t>
      </w:r>
      <w:r w:rsidR="00A75620" w:rsidRPr="00FF0836">
        <w:rPr>
          <w:rFonts w:ascii="Helvetica" w:hAnsi="Helvetica"/>
          <w:b/>
          <w:lang w:val="en-GB"/>
        </w:rPr>
        <w:t>permanent</w:t>
      </w:r>
      <w:r w:rsidR="00A75620">
        <w:rPr>
          <w:rFonts w:ascii="Helvetica" w:hAnsi="Helvetica"/>
          <w:lang w:val="en-GB"/>
        </w:rPr>
        <w:t>)</w:t>
      </w:r>
    </w:p>
    <w:p w14:paraId="4733EFB7" w14:textId="5273D610" w:rsidR="00714F99" w:rsidRDefault="00714F99">
      <w:pPr>
        <w:rPr>
          <w:rFonts w:ascii="Helvetica" w:eastAsia="Calibri" w:hAnsi="Helvetica" w:cs="Calibri"/>
          <w:color w:val="000000"/>
          <w:sz w:val="22"/>
          <w:szCs w:val="22"/>
          <w:u w:color="000000"/>
          <w:lang w:eastAsia="nl-NL"/>
        </w:rPr>
      </w:pPr>
    </w:p>
    <w:p w14:paraId="258C51E6" w14:textId="16F1A7C8" w:rsidR="00714F99" w:rsidRDefault="00A75620" w:rsidP="00876C94">
      <w:pPr>
        <w:pStyle w:val="Body"/>
        <w:spacing w:after="0" w:line="240" w:lineRule="auto"/>
        <w:jc w:val="both"/>
        <w:rPr>
          <w:rFonts w:ascii="Helvetica" w:hAnsi="Helvetica"/>
          <w:lang w:val="en-GB"/>
        </w:rPr>
      </w:pPr>
      <w:r>
        <w:rPr>
          <w:rFonts w:ascii="Helvetica" w:hAnsi="Helvetica"/>
          <w:lang w:val="en-GB"/>
        </w:rPr>
        <w:t>The CSBWG</w:t>
      </w:r>
      <w:r w:rsidR="00E67DA6">
        <w:rPr>
          <w:rStyle w:val="FootnoteReference"/>
          <w:rFonts w:ascii="Helvetica" w:hAnsi="Helvetica"/>
          <w:lang w:val="en-GB"/>
        </w:rPr>
        <w:footnoteReference w:id="5"/>
      </w:r>
      <w:r>
        <w:rPr>
          <w:rFonts w:ascii="Helvetica" w:hAnsi="Helvetica"/>
          <w:lang w:val="en-GB"/>
        </w:rPr>
        <w:t xml:space="preserve"> Vice-Chair (</w:t>
      </w:r>
      <w:r w:rsidRPr="00A75620">
        <w:rPr>
          <w:rFonts w:ascii="Helvetica" w:hAnsi="Helvetica"/>
          <w:i/>
          <w:lang w:val="en-GB"/>
        </w:rPr>
        <w:t>Marta Pratellesi – Italy</w:t>
      </w:r>
      <w:r>
        <w:rPr>
          <w:rFonts w:ascii="Helvetica" w:hAnsi="Helvetica"/>
          <w:lang w:val="en-GB"/>
        </w:rPr>
        <w:t>)</w:t>
      </w:r>
      <w:r w:rsidR="000E7DD5">
        <w:rPr>
          <w:rFonts w:ascii="Helvetica" w:hAnsi="Helvetica"/>
          <w:lang w:val="en-GB"/>
        </w:rPr>
        <w:t xml:space="preserve"> presented a request from the CSBWG: </w:t>
      </w:r>
      <w:r w:rsidR="00E206C3">
        <w:rPr>
          <w:rFonts w:ascii="Helvetica" w:hAnsi="Helvetica"/>
          <w:lang w:val="en-GB"/>
        </w:rPr>
        <w:t>“</w:t>
      </w:r>
      <w:r w:rsidR="000E7DD5">
        <w:rPr>
          <w:rFonts w:ascii="Helvetica" w:hAnsi="Helvetica"/>
          <w:lang w:val="en-GB"/>
        </w:rPr>
        <w:t>Request for guidance from the IHO DQWG regarding the usage of crowdsourced bathymetry data on official charts produced by Hydrographic Offices.</w:t>
      </w:r>
      <w:r w:rsidR="00E206C3">
        <w:rPr>
          <w:rFonts w:ascii="Helvetica" w:hAnsi="Helvetica"/>
          <w:lang w:val="en-GB"/>
        </w:rPr>
        <w:t>”</w:t>
      </w:r>
      <w:r w:rsidR="000E7DD5">
        <w:rPr>
          <w:rFonts w:ascii="Helvetica" w:hAnsi="Helvetica"/>
          <w:lang w:val="en-GB"/>
        </w:rPr>
        <w:t xml:space="preserve"> In </w:t>
      </w:r>
      <w:r w:rsidR="00446A25">
        <w:rPr>
          <w:rFonts w:ascii="Helvetica" w:hAnsi="Helvetica"/>
          <w:lang w:val="en-GB"/>
        </w:rPr>
        <w:t>particular,</w:t>
      </w:r>
      <w:r w:rsidR="000E7DD5">
        <w:rPr>
          <w:rFonts w:ascii="Helvetica" w:hAnsi="Helvetica"/>
          <w:lang w:val="en-GB"/>
        </w:rPr>
        <w:t xml:space="preserve"> the question was to support the CSBWG through the draft of a white paper</w:t>
      </w:r>
      <w:r w:rsidR="0014529F">
        <w:rPr>
          <w:rFonts w:ascii="Helvetica" w:hAnsi="Helvetica"/>
          <w:lang w:val="en-GB"/>
        </w:rPr>
        <w:t xml:space="preserve"> by DQWG</w:t>
      </w:r>
      <w:r w:rsidR="000E7DD5">
        <w:rPr>
          <w:rFonts w:ascii="Helvetica" w:hAnsi="Helvetica"/>
          <w:lang w:val="en-GB"/>
        </w:rPr>
        <w:t xml:space="preserve"> for HOs usage of CSB data, providing advices and best practices. </w:t>
      </w:r>
      <w:r w:rsidR="00E67DA6">
        <w:rPr>
          <w:rFonts w:ascii="Helvetica" w:hAnsi="Helvetica"/>
          <w:lang w:val="en-GB"/>
        </w:rPr>
        <w:t>This request may be (partially) incorporated in the general guidelines from survey to CATZOC</w:t>
      </w:r>
      <w:r w:rsidR="000E7DD5">
        <w:rPr>
          <w:rFonts w:ascii="Helvetica" w:hAnsi="Helvetica"/>
          <w:lang w:val="en-GB"/>
        </w:rPr>
        <w:t>.</w:t>
      </w:r>
      <w:r w:rsidR="00BC22DB">
        <w:rPr>
          <w:rFonts w:ascii="Helvetica" w:hAnsi="Helvetica"/>
          <w:lang w:val="en-GB"/>
        </w:rPr>
        <w:t xml:space="preserve"> (</w:t>
      </w:r>
      <w:r w:rsidR="00BC22DB" w:rsidRPr="00BC22DB">
        <w:rPr>
          <w:rFonts w:ascii="Helvetica" w:hAnsi="Helvetica"/>
          <w:b/>
          <w:lang w:val="en-GB"/>
        </w:rPr>
        <w:t>DQWG16/03</w:t>
      </w:r>
      <w:r w:rsidR="00BC22DB">
        <w:rPr>
          <w:rFonts w:ascii="Helvetica" w:hAnsi="Helvetica"/>
          <w:lang w:val="en-GB"/>
        </w:rPr>
        <w:t>)</w:t>
      </w:r>
    </w:p>
    <w:p w14:paraId="67DFAE99" w14:textId="5AD3CF4E" w:rsidR="006430DB" w:rsidRPr="00894D83" w:rsidRDefault="006430DB" w:rsidP="00F60897">
      <w:pPr>
        <w:pStyle w:val="Body"/>
        <w:spacing w:after="0" w:line="240" w:lineRule="auto"/>
        <w:jc w:val="both"/>
        <w:rPr>
          <w:rFonts w:ascii="Helvetica" w:hAnsi="Helvetica"/>
          <w:lang w:val="en-GB"/>
        </w:rPr>
      </w:pPr>
    </w:p>
    <w:p w14:paraId="0BEEB272" w14:textId="77777777" w:rsidR="00CE0494" w:rsidRPr="00894D83" w:rsidRDefault="00CE0494" w:rsidP="00F60897">
      <w:pPr>
        <w:pStyle w:val="Body"/>
        <w:spacing w:after="0" w:line="240" w:lineRule="auto"/>
        <w:jc w:val="both"/>
        <w:rPr>
          <w:rFonts w:ascii="Helvetica" w:eastAsia="Helvetica" w:hAnsi="Helvetica" w:cs="Helvetica"/>
          <w:lang w:val="en-GB"/>
        </w:rPr>
      </w:pPr>
    </w:p>
    <w:p w14:paraId="47D4B75E" w14:textId="4AE1BAAC" w:rsidR="00CE0494" w:rsidRPr="00894D83" w:rsidRDefault="00911AFD">
      <w:pPr>
        <w:pStyle w:val="BodyA"/>
        <w:rPr>
          <w:b/>
          <w:bCs/>
          <w:lang w:val="en-GB"/>
        </w:rPr>
      </w:pPr>
      <w:r w:rsidRPr="00894D83">
        <w:rPr>
          <w:b/>
          <w:bCs/>
          <w:lang w:val="en-GB"/>
        </w:rPr>
        <w:t xml:space="preserve">3. </w:t>
      </w:r>
      <w:r w:rsidRPr="00894D83">
        <w:rPr>
          <w:b/>
          <w:bCs/>
          <w:lang w:val="en-GB"/>
        </w:rPr>
        <w:tab/>
      </w:r>
      <w:r w:rsidR="00876C94">
        <w:rPr>
          <w:b/>
          <w:bCs/>
          <w:lang w:val="en-GB"/>
        </w:rPr>
        <w:t>DATA QUALITY CHECKLIST</w:t>
      </w:r>
    </w:p>
    <w:p w14:paraId="2DD78E5E" w14:textId="2F0C5ACE" w:rsidR="00CF14D5" w:rsidRPr="00894D83" w:rsidRDefault="00911AFD" w:rsidP="00876C94">
      <w:pPr>
        <w:pStyle w:val="BodyA"/>
        <w:spacing w:after="0" w:line="240" w:lineRule="auto"/>
        <w:jc w:val="both"/>
      </w:pPr>
      <w:r w:rsidRPr="00894D83">
        <w:rPr>
          <w:lang w:val="en-GB"/>
        </w:rPr>
        <w:t xml:space="preserve">The </w:t>
      </w:r>
      <w:r w:rsidR="00E206C3">
        <w:rPr>
          <w:lang w:val="en-GB"/>
        </w:rPr>
        <w:t xml:space="preserve">S-97 IHO Guidelines for Creating S-100 based Product Specifications (Ed.1.0.0 June 2020), part C – Data Quality is based upon the Data Quality checklist that was created by the DQWG. It shows ten recommendations </w:t>
      </w:r>
      <w:r w:rsidR="002530CB">
        <w:rPr>
          <w:lang w:val="en-GB"/>
        </w:rPr>
        <w:t>for the development of</w:t>
      </w:r>
      <w:r w:rsidR="00E206C3">
        <w:rPr>
          <w:lang w:val="en-GB"/>
        </w:rPr>
        <w:t xml:space="preserve"> S-1xx based Product Specifications. If some data quality measures are not applicable to that particular Product Specification, they can be omitted.</w:t>
      </w:r>
      <w:r w:rsidR="0065728C">
        <w:rPr>
          <w:lang w:val="en-GB"/>
        </w:rPr>
        <w:t xml:space="preserve"> </w:t>
      </w:r>
    </w:p>
    <w:p w14:paraId="417D835D" w14:textId="77777777" w:rsidR="00CF14D5" w:rsidRPr="00894D83" w:rsidRDefault="00CF14D5">
      <w:pPr>
        <w:pStyle w:val="Default"/>
        <w:rPr>
          <w:lang w:val="en-GB"/>
        </w:rPr>
      </w:pPr>
    </w:p>
    <w:p w14:paraId="0725711D" w14:textId="77777777" w:rsidR="00CE0494" w:rsidRPr="00894D83" w:rsidRDefault="00CE0494">
      <w:pPr>
        <w:pStyle w:val="Default"/>
        <w:rPr>
          <w:lang w:val="en-GB"/>
        </w:rPr>
      </w:pPr>
    </w:p>
    <w:p w14:paraId="1A962683" w14:textId="77777777" w:rsidR="00B3737B" w:rsidRDefault="00B3737B">
      <w:pPr>
        <w:rPr>
          <w:rFonts w:ascii="Helvetica" w:hAnsi="Helvetica" w:cs="Arial Unicode MS"/>
          <w:b/>
          <w:bCs/>
          <w:color w:val="000000"/>
          <w:sz w:val="22"/>
          <w:szCs w:val="22"/>
          <w:lang w:eastAsia="nl-NL"/>
        </w:rPr>
      </w:pPr>
      <w:r>
        <w:rPr>
          <w:b/>
          <w:bCs/>
        </w:rPr>
        <w:br w:type="page"/>
      </w:r>
    </w:p>
    <w:p w14:paraId="42710F58" w14:textId="318D7389" w:rsidR="00CE0494" w:rsidRPr="00894D83" w:rsidRDefault="00911AFD">
      <w:pPr>
        <w:pStyle w:val="Default"/>
        <w:rPr>
          <w:b/>
          <w:bCs/>
          <w:lang w:val="en-GB"/>
        </w:rPr>
      </w:pPr>
      <w:r w:rsidRPr="00894D83">
        <w:rPr>
          <w:b/>
          <w:bCs/>
          <w:lang w:val="en-GB"/>
        </w:rPr>
        <w:lastRenderedPageBreak/>
        <w:t>4.</w:t>
      </w:r>
      <w:r w:rsidRPr="00894D83">
        <w:rPr>
          <w:b/>
          <w:bCs/>
          <w:lang w:val="en-GB"/>
        </w:rPr>
        <w:tab/>
      </w:r>
      <w:r w:rsidR="00A33547" w:rsidRPr="00894D83">
        <w:rPr>
          <w:b/>
          <w:bCs/>
          <w:lang w:val="en-GB"/>
        </w:rPr>
        <w:t>REVIE</w:t>
      </w:r>
      <w:r w:rsidR="00876C94">
        <w:rPr>
          <w:b/>
          <w:bCs/>
          <w:lang w:val="en-GB"/>
        </w:rPr>
        <w:t xml:space="preserve">W </w:t>
      </w:r>
      <w:r w:rsidR="00A33547" w:rsidRPr="00894D83">
        <w:rPr>
          <w:b/>
          <w:bCs/>
          <w:lang w:val="en-GB"/>
        </w:rPr>
        <w:t>S-100 BASED PRODUCT SPECIFICATIONS</w:t>
      </w:r>
      <w:r w:rsidR="00876C94">
        <w:rPr>
          <w:b/>
          <w:bCs/>
          <w:lang w:val="en-GB"/>
        </w:rPr>
        <w:t xml:space="preserve"> FOR DQ ELEMENTS</w:t>
      </w:r>
    </w:p>
    <w:p w14:paraId="06668A73" w14:textId="77777777" w:rsidR="00CE0494" w:rsidRPr="00894D83" w:rsidRDefault="00CE0494">
      <w:pPr>
        <w:pStyle w:val="Default"/>
        <w:rPr>
          <w:lang w:val="en-GB"/>
        </w:rPr>
      </w:pPr>
    </w:p>
    <w:p w14:paraId="10AF232F" w14:textId="6A9D3394" w:rsidR="00713059" w:rsidRDefault="00E206C3" w:rsidP="00F60897">
      <w:pPr>
        <w:pStyle w:val="Default"/>
        <w:jc w:val="both"/>
        <w:rPr>
          <w:lang w:val="en-GB"/>
        </w:rPr>
      </w:pPr>
      <w:r>
        <w:rPr>
          <w:lang w:val="en-GB"/>
        </w:rPr>
        <w:t xml:space="preserve">This is the primary objective of the DQWG. The Chair introduced the current Product Specifications that are available at </w:t>
      </w:r>
      <w:hyperlink r:id="rId10" w:history="1">
        <w:r w:rsidRPr="00D50A3D">
          <w:rPr>
            <w:rStyle w:val="Hyperlink"/>
            <w:lang w:val="en-GB"/>
          </w:rPr>
          <w:t>https://iho.int/en/standards-and-specifications</w:t>
        </w:r>
      </w:hyperlink>
      <w:r>
        <w:rPr>
          <w:lang w:val="en-GB"/>
        </w:rPr>
        <w:t xml:space="preserve">. A </w:t>
      </w:r>
      <w:r w:rsidR="00446A25">
        <w:rPr>
          <w:lang w:val="en-GB"/>
        </w:rPr>
        <w:t>crosscheck</w:t>
      </w:r>
      <w:r>
        <w:rPr>
          <w:lang w:val="en-GB"/>
        </w:rPr>
        <w:t xml:space="preserve"> matrix tool is available that lists the 10 recommendations from S-97 and the published Product Specifications. A subWG is created to perform the review of the available Product Specifications</w:t>
      </w:r>
      <w:r w:rsidR="0065728C">
        <w:rPr>
          <w:lang w:val="en-GB"/>
        </w:rPr>
        <w:t>, NL, SE and UNH volunteered to take this task</w:t>
      </w:r>
      <w:r w:rsidR="00DC5015">
        <w:rPr>
          <w:lang w:val="en-GB"/>
        </w:rPr>
        <w:t>.</w:t>
      </w:r>
      <w:r w:rsidR="006A6DDB">
        <w:rPr>
          <w:lang w:val="en-GB"/>
        </w:rPr>
        <w:t xml:space="preserve"> (</w:t>
      </w:r>
      <w:r w:rsidR="00CA431C">
        <w:rPr>
          <w:b/>
          <w:lang w:val="en-GB"/>
        </w:rPr>
        <w:t>DQWG16/04</w:t>
      </w:r>
      <w:r w:rsidR="006A6DDB">
        <w:rPr>
          <w:lang w:val="en-GB"/>
        </w:rPr>
        <w:t>)</w:t>
      </w:r>
    </w:p>
    <w:p w14:paraId="29FCD727" w14:textId="590EE860" w:rsidR="00CE01F1" w:rsidRDefault="00CE01F1" w:rsidP="00F60897">
      <w:pPr>
        <w:pStyle w:val="Default"/>
        <w:jc w:val="both"/>
        <w:rPr>
          <w:lang w:val="en-GB"/>
        </w:rPr>
      </w:pPr>
    </w:p>
    <w:p w14:paraId="24AC43F3" w14:textId="0BC23C99" w:rsidR="00CE0494" w:rsidRPr="00894D83" w:rsidRDefault="00911AFD">
      <w:pPr>
        <w:pStyle w:val="BodyA"/>
        <w:rPr>
          <w:b/>
          <w:bCs/>
          <w:lang w:val="en-GB"/>
        </w:rPr>
      </w:pPr>
      <w:r w:rsidRPr="00894D83">
        <w:rPr>
          <w:b/>
          <w:bCs/>
          <w:lang w:val="en-GB"/>
        </w:rPr>
        <w:t>5.</w:t>
      </w:r>
      <w:r w:rsidRPr="00894D83">
        <w:rPr>
          <w:b/>
          <w:bCs/>
          <w:lang w:val="en-GB"/>
        </w:rPr>
        <w:tab/>
      </w:r>
      <w:r w:rsidR="00876C94">
        <w:rPr>
          <w:b/>
          <w:bCs/>
          <w:lang w:val="en-GB"/>
        </w:rPr>
        <w:t>INTERNATIONAL STANDARDS</w:t>
      </w:r>
    </w:p>
    <w:p w14:paraId="7859A1F2" w14:textId="72C1C451" w:rsidR="004A52D5" w:rsidRPr="00894D83" w:rsidRDefault="00CE01F1" w:rsidP="00876C94">
      <w:pPr>
        <w:pStyle w:val="Default"/>
        <w:jc w:val="both"/>
        <w:rPr>
          <w:lang w:val="en-GB"/>
        </w:rPr>
      </w:pPr>
      <w:r>
        <w:rPr>
          <w:lang w:val="en-GB"/>
        </w:rPr>
        <w:t>ISO-19157 is current, no other standards were discussed.</w:t>
      </w:r>
    </w:p>
    <w:p w14:paraId="21A6C697" w14:textId="77777777" w:rsidR="00744E4A" w:rsidRPr="00894D83" w:rsidRDefault="00744E4A" w:rsidP="00F60897">
      <w:pPr>
        <w:pStyle w:val="Default"/>
        <w:jc w:val="both"/>
        <w:rPr>
          <w:lang w:val="en-GB"/>
        </w:rPr>
      </w:pPr>
    </w:p>
    <w:p w14:paraId="161D4422" w14:textId="77777777" w:rsidR="00CE0494" w:rsidRPr="00894D83" w:rsidRDefault="00CE0494">
      <w:pPr>
        <w:pStyle w:val="Default"/>
        <w:rPr>
          <w:lang w:val="en-GB"/>
        </w:rPr>
      </w:pPr>
    </w:p>
    <w:p w14:paraId="7BCB8572" w14:textId="11321039" w:rsidR="00CE0494" w:rsidRPr="00894D83" w:rsidRDefault="00911AFD">
      <w:pPr>
        <w:pStyle w:val="BodyA"/>
        <w:rPr>
          <w:b/>
          <w:bCs/>
          <w:lang w:val="en-GB"/>
        </w:rPr>
      </w:pPr>
      <w:r w:rsidRPr="00894D83">
        <w:rPr>
          <w:b/>
          <w:bCs/>
          <w:lang w:val="en-GB"/>
        </w:rPr>
        <w:t>6.</w:t>
      </w:r>
      <w:r w:rsidRPr="00894D83">
        <w:rPr>
          <w:b/>
          <w:bCs/>
          <w:lang w:val="en-GB"/>
        </w:rPr>
        <w:tab/>
      </w:r>
      <w:r w:rsidR="00876C94">
        <w:rPr>
          <w:b/>
          <w:bCs/>
          <w:lang w:val="en-GB"/>
        </w:rPr>
        <w:t>GUIDANCE TO HYDROGRAPHIC OFFICES ON DQ ASPECTS</w:t>
      </w:r>
    </w:p>
    <w:p w14:paraId="17C87434" w14:textId="0BD50425" w:rsidR="00CE0494" w:rsidRDefault="00CE01F1" w:rsidP="00F60897">
      <w:pPr>
        <w:pStyle w:val="Default"/>
        <w:jc w:val="both"/>
        <w:rPr>
          <w:lang w:val="en-GB"/>
        </w:rPr>
      </w:pPr>
      <w:r>
        <w:rPr>
          <w:lang w:val="en-GB"/>
        </w:rPr>
        <w:t xml:space="preserve">Chair presented the S-1xx Feature Catalogues – relations. As the S-1xx Product Specifications and associated Feature Catalogues are officially published and available, the content and structure of Feature Catalogues is difficult to understand for unexperienced users. For this reason, a presentation was created during DQWG15 “Explaining Feature Catalogues.” The available Feature Catalogues have been translated into excel format. No special software is needed, mandatory items are in normal text, </w:t>
      </w:r>
      <w:r w:rsidR="00446A25">
        <w:rPr>
          <w:lang w:val="en-GB"/>
        </w:rPr>
        <w:t xml:space="preserve">and </w:t>
      </w:r>
      <w:r w:rsidR="00446A25" w:rsidRPr="00B3737B">
        <w:rPr>
          <w:i/>
          <w:lang w:val="en-GB"/>
        </w:rPr>
        <w:t>optional</w:t>
      </w:r>
      <w:r w:rsidRPr="00B3737B">
        <w:rPr>
          <w:i/>
          <w:lang w:val="en-GB"/>
        </w:rPr>
        <w:t xml:space="preserve"> items are italic</w:t>
      </w:r>
      <w:r>
        <w:rPr>
          <w:lang w:val="en-GB"/>
        </w:rPr>
        <w:t xml:space="preserve">. It provides a clear overview of the different components of the Feature Catalogue and how they are related. It allows all people to have the same basic knowledge </w:t>
      </w:r>
      <w:r w:rsidR="00AB3339">
        <w:rPr>
          <w:lang w:val="en-GB"/>
        </w:rPr>
        <w:t>of the Feature Catalogue</w:t>
      </w:r>
      <w:r w:rsidR="0065728C">
        <w:rPr>
          <w:lang w:val="en-GB"/>
        </w:rPr>
        <w:t>s</w:t>
      </w:r>
      <w:r w:rsidR="00AB3339">
        <w:rPr>
          <w:lang w:val="en-GB"/>
        </w:rPr>
        <w:t xml:space="preserve">. </w:t>
      </w:r>
      <w:r w:rsidR="007A776D">
        <w:rPr>
          <w:lang w:val="en-GB"/>
        </w:rPr>
        <w:t xml:space="preserve">It serves as educational purpose, not as a registry. It will allow the DQWG to horizontally </w:t>
      </w:r>
      <w:r w:rsidR="00446A25">
        <w:rPr>
          <w:lang w:val="en-GB"/>
        </w:rPr>
        <w:t>crosscheck</w:t>
      </w:r>
      <w:r w:rsidR="007A776D">
        <w:rPr>
          <w:lang w:val="en-GB"/>
        </w:rPr>
        <w:t xml:space="preserve"> different Feature Catalogues against each other to identify differences. Once differences are </w:t>
      </w:r>
      <w:r w:rsidR="00446A25">
        <w:rPr>
          <w:lang w:val="en-GB"/>
        </w:rPr>
        <w:t>identified,</w:t>
      </w:r>
      <w:r w:rsidR="007A776D">
        <w:rPr>
          <w:lang w:val="en-GB"/>
        </w:rPr>
        <w:t xml:space="preserve"> they can be classified in order to be resolved or accepted. Feature Catalogues between different Product Specifications do not have to be identical, as long as they do not cause any interoperability issues in operational usage.</w:t>
      </w:r>
    </w:p>
    <w:p w14:paraId="003CB525" w14:textId="73431249" w:rsidR="007A776D" w:rsidRDefault="007A776D" w:rsidP="00F60897">
      <w:pPr>
        <w:pStyle w:val="Default"/>
        <w:jc w:val="both"/>
        <w:rPr>
          <w:lang w:val="en-GB"/>
        </w:rPr>
      </w:pPr>
    </w:p>
    <w:p w14:paraId="6F2164D7" w14:textId="07CB757F" w:rsidR="007A776D" w:rsidRDefault="00446A25" w:rsidP="00F60897">
      <w:pPr>
        <w:pStyle w:val="Default"/>
        <w:jc w:val="both"/>
        <w:rPr>
          <w:lang w:val="en-GB"/>
        </w:rPr>
      </w:pPr>
      <w:r>
        <w:rPr>
          <w:lang w:val="en-GB"/>
        </w:rPr>
        <w:t>Crosscheck</w:t>
      </w:r>
      <w:r w:rsidR="007A776D">
        <w:rPr>
          <w:lang w:val="en-GB"/>
        </w:rPr>
        <w:t xml:space="preserve"> of all available S-1xx Feature Catalogues against the S-101 Feature Catalogue will be done once S-101 Ed.1.1.0 becomes available. This should eliminate interoperability issues between other S-1xx Feature Catalogues with S-101 for Ed. 2.0.0 of S-101.</w:t>
      </w:r>
      <w:r w:rsidR="001C13F0">
        <w:rPr>
          <w:lang w:val="en-GB"/>
        </w:rPr>
        <w:t xml:space="preserve"> (</w:t>
      </w:r>
      <w:r w:rsidR="001C13F0" w:rsidRPr="00E41A6F">
        <w:rPr>
          <w:b/>
          <w:lang w:val="en-GB"/>
        </w:rPr>
        <w:t>DQWG</w:t>
      </w:r>
      <w:r w:rsidR="00CA431C">
        <w:rPr>
          <w:b/>
          <w:lang w:val="en-GB"/>
        </w:rPr>
        <w:t>16/05</w:t>
      </w:r>
      <w:r w:rsidR="001C13F0">
        <w:rPr>
          <w:lang w:val="en-GB"/>
        </w:rPr>
        <w:t>)</w:t>
      </w:r>
    </w:p>
    <w:p w14:paraId="44EF6D5F" w14:textId="6D274DA6" w:rsidR="001C13F0" w:rsidRDefault="001C13F0" w:rsidP="00F60897">
      <w:pPr>
        <w:pStyle w:val="Default"/>
        <w:jc w:val="both"/>
        <w:rPr>
          <w:lang w:val="en-GB"/>
        </w:rPr>
      </w:pPr>
    </w:p>
    <w:p w14:paraId="240A84E9" w14:textId="50A27F45" w:rsidR="00C1418B" w:rsidRDefault="001C13F0" w:rsidP="00F60897">
      <w:pPr>
        <w:pStyle w:val="Default"/>
        <w:jc w:val="both"/>
        <w:rPr>
          <w:lang w:val="en-GB"/>
        </w:rPr>
      </w:pPr>
      <w:r>
        <w:rPr>
          <w:lang w:val="en-GB"/>
        </w:rPr>
        <w:t xml:space="preserve">Chair presented </w:t>
      </w:r>
      <w:r w:rsidR="002C3F3D">
        <w:rPr>
          <w:lang w:val="en-GB"/>
        </w:rPr>
        <w:t>“</w:t>
      </w:r>
      <w:r>
        <w:rPr>
          <w:lang w:val="en-GB"/>
        </w:rPr>
        <w:t xml:space="preserve">Guidelines and recommendations </w:t>
      </w:r>
      <w:r w:rsidR="002C3F3D">
        <w:rPr>
          <w:lang w:val="en-GB"/>
        </w:rPr>
        <w:t>for the population of CATZOC values from survey data.” The S-44 Ed.6.0.0 has been officially published by the IHO (Sept 2020). Ten DQWG Member States have provided their national methodologies from survey to CATZOC. With the new release of S-44, the trans</w:t>
      </w:r>
      <w:r w:rsidR="00766130">
        <w:rPr>
          <w:lang w:val="en-GB"/>
        </w:rPr>
        <w:t>l</w:t>
      </w:r>
      <w:r w:rsidR="002C3F3D">
        <w:rPr>
          <w:lang w:val="en-GB"/>
        </w:rPr>
        <w:t>ation from survey to CATZOC needs reviewing. It is the intention of the D</w:t>
      </w:r>
      <w:r w:rsidR="00766130">
        <w:rPr>
          <w:lang w:val="en-GB"/>
        </w:rPr>
        <w:t>QWG to write a document providing</w:t>
      </w:r>
      <w:r w:rsidR="002C3F3D">
        <w:rPr>
          <w:lang w:val="en-GB"/>
        </w:rPr>
        <w:t xml:space="preserve"> general guidelines and best practices for all IHO Member States. This is part of the task to </w:t>
      </w:r>
      <w:bookmarkStart w:id="0" w:name="_GoBack"/>
      <w:r w:rsidR="002C3F3D">
        <w:rPr>
          <w:lang w:val="en-GB"/>
        </w:rPr>
        <w:t>ensure harmonized implementation</w:t>
      </w:r>
      <w:bookmarkEnd w:id="0"/>
      <w:r w:rsidR="002C3F3D">
        <w:rPr>
          <w:lang w:val="en-GB"/>
        </w:rPr>
        <w:t>.</w:t>
      </w:r>
      <w:r w:rsidR="00C1418B">
        <w:rPr>
          <w:lang w:val="en-GB"/>
        </w:rPr>
        <w:t xml:space="preserve"> </w:t>
      </w:r>
      <w:r w:rsidR="00C1418B" w:rsidRPr="00C327CB">
        <w:rPr>
          <w:highlight w:val="yellow"/>
          <w:lang w:val="en-GB"/>
        </w:rPr>
        <w:t xml:space="preserve">Items to take under consideration </w:t>
      </w:r>
      <w:r w:rsidR="00446A25" w:rsidRPr="00C327CB">
        <w:rPr>
          <w:highlight w:val="yellow"/>
          <w:lang w:val="en-GB"/>
        </w:rPr>
        <w:t>are</w:t>
      </w:r>
      <w:r w:rsidR="00C1418B" w:rsidRPr="00C327CB">
        <w:rPr>
          <w:highlight w:val="yellow"/>
          <w:lang w:val="en-GB"/>
        </w:rPr>
        <w:t xml:space="preserve"> definitions (semantics), intended usage, requirements, </w:t>
      </w:r>
      <w:r w:rsidR="00446A25" w:rsidRPr="00C327CB">
        <w:rPr>
          <w:highlight w:val="yellow"/>
          <w:lang w:val="en-GB"/>
        </w:rPr>
        <w:t>and numerical</w:t>
      </w:r>
      <w:r w:rsidR="00C1418B" w:rsidRPr="00C327CB">
        <w:rPr>
          <w:highlight w:val="yellow"/>
          <w:lang w:val="en-GB"/>
        </w:rPr>
        <w:t xml:space="preserve"> calculations of horizontal and vertical uncertainty, usage bands/compilation scales.</w:t>
      </w:r>
    </w:p>
    <w:p w14:paraId="7D8AA9E2" w14:textId="77777777" w:rsidR="00521510" w:rsidRDefault="00521510" w:rsidP="00F60897">
      <w:pPr>
        <w:pStyle w:val="Default"/>
        <w:jc w:val="both"/>
        <w:rPr>
          <w:lang w:val="en-GB"/>
        </w:rPr>
      </w:pPr>
    </w:p>
    <w:p w14:paraId="17DAC295" w14:textId="6EE51FD0" w:rsidR="001C13F0" w:rsidRDefault="00C1418B" w:rsidP="00F60897">
      <w:pPr>
        <w:pStyle w:val="Default"/>
        <w:jc w:val="both"/>
        <w:rPr>
          <w:lang w:val="en-GB"/>
        </w:rPr>
      </w:pPr>
      <w:r>
        <w:rPr>
          <w:lang w:val="en-GB"/>
        </w:rPr>
        <w:t>A subWG was created to perform this task. (</w:t>
      </w:r>
      <w:r w:rsidR="00CA431C">
        <w:rPr>
          <w:b/>
          <w:lang w:val="en-GB"/>
        </w:rPr>
        <w:t>DQWG16/06</w:t>
      </w:r>
      <w:r>
        <w:rPr>
          <w:lang w:val="en-GB"/>
        </w:rPr>
        <w:t>)</w:t>
      </w:r>
      <w:r w:rsidR="002C3F3D">
        <w:rPr>
          <w:lang w:val="en-GB"/>
        </w:rPr>
        <w:t xml:space="preserve"> </w:t>
      </w:r>
    </w:p>
    <w:p w14:paraId="7F02CC73" w14:textId="77777777" w:rsidR="00521510" w:rsidRDefault="00521510" w:rsidP="00F60897">
      <w:pPr>
        <w:pStyle w:val="Default"/>
        <w:jc w:val="both"/>
        <w:rPr>
          <w:lang w:val="en-GB"/>
        </w:rPr>
      </w:pPr>
    </w:p>
    <w:p w14:paraId="3F5213BA" w14:textId="2C37BE10" w:rsidR="00521510" w:rsidRPr="00CE01F1" w:rsidRDefault="00521510" w:rsidP="00F60897">
      <w:pPr>
        <w:pStyle w:val="Default"/>
        <w:jc w:val="both"/>
        <w:rPr>
          <w:lang w:val="en-GB"/>
        </w:rPr>
      </w:pPr>
      <w:r>
        <w:rPr>
          <w:lang w:val="en-GB"/>
        </w:rPr>
        <w:t>PRIMAR has offered to perform a query on their database with of CATZOC values against Usage Bands. (</w:t>
      </w:r>
      <w:r w:rsidR="00CA431C">
        <w:rPr>
          <w:b/>
          <w:lang w:val="en-GB"/>
        </w:rPr>
        <w:t>DQWG16/07</w:t>
      </w:r>
      <w:r>
        <w:rPr>
          <w:lang w:val="en-GB"/>
        </w:rPr>
        <w:t>)</w:t>
      </w:r>
    </w:p>
    <w:p w14:paraId="227EF58A" w14:textId="77777777" w:rsidR="00CE01F1" w:rsidRPr="00894D83" w:rsidRDefault="00CE01F1" w:rsidP="00F60897">
      <w:pPr>
        <w:pStyle w:val="Default"/>
        <w:jc w:val="both"/>
        <w:rPr>
          <w:lang w:val="en-GB"/>
        </w:rPr>
      </w:pPr>
    </w:p>
    <w:p w14:paraId="001EB9D3" w14:textId="77777777" w:rsidR="00CE0494" w:rsidRPr="00894D83" w:rsidRDefault="00CE0494" w:rsidP="00F60897">
      <w:pPr>
        <w:pStyle w:val="Default"/>
        <w:jc w:val="both"/>
        <w:rPr>
          <w:lang w:val="en-GB"/>
        </w:rPr>
      </w:pPr>
    </w:p>
    <w:p w14:paraId="35CB7958" w14:textId="13976859" w:rsidR="00CE0494" w:rsidRPr="00894D83" w:rsidRDefault="00911AFD" w:rsidP="00F60897">
      <w:pPr>
        <w:pStyle w:val="BodyA"/>
        <w:jc w:val="both"/>
        <w:rPr>
          <w:b/>
          <w:bCs/>
          <w:lang w:val="en-GB"/>
        </w:rPr>
      </w:pPr>
      <w:r w:rsidRPr="00BB4752">
        <w:rPr>
          <w:b/>
          <w:lang w:val="en-GB"/>
        </w:rPr>
        <w:t>7</w:t>
      </w:r>
      <w:r w:rsidRPr="00894D83">
        <w:rPr>
          <w:b/>
          <w:bCs/>
          <w:lang w:val="en-GB"/>
        </w:rPr>
        <w:t>.</w:t>
      </w:r>
      <w:r w:rsidRPr="00894D83">
        <w:rPr>
          <w:b/>
          <w:bCs/>
          <w:lang w:val="en-GB"/>
        </w:rPr>
        <w:tab/>
      </w:r>
      <w:r w:rsidR="00876C94">
        <w:rPr>
          <w:b/>
          <w:bCs/>
          <w:lang w:val="en-GB"/>
        </w:rPr>
        <w:t>DATA QUALITY EDUCATIONAL MATERIAL</w:t>
      </w:r>
    </w:p>
    <w:p w14:paraId="59FAE675" w14:textId="79C536F4" w:rsidR="00CE0494" w:rsidRDefault="00EE2BC8" w:rsidP="00F60897">
      <w:pPr>
        <w:pStyle w:val="BodyA"/>
        <w:spacing w:after="0" w:line="240" w:lineRule="auto"/>
        <w:jc w:val="both"/>
        <w:rPr>
          <w:lang w:val="en-GB"/>
        </w:rPr>
      </w:pPr>
      <w:r w:rsidRPr="00EE2BC8">
        <w:rPr>
          <w:i/>
          <w:lang w:val="en-GB"/>
        </w:rPr>
        <w:t xml:space="preserve">MSA </w:t>
      </w:r>
      <w:r w:rsidR="000D7B39" w:rsidRPr="00EE2BC8">
        <w:rPr>
          <w:i/>
          <w:lang w:val="en-GB"/>
        </w:rPr>
        <w:t>China</w:t>
      </w:r>
      <w:r w:rsidR="000D7B39">
        <w:rPr>
          <w:lang w:val="en-GB"/>
        </w:rPr>
        <w:t xml:space="preserve"> introduced a</w:t>
      </w:r>
      <w:r w:rsidR="004C0DBA">
        <w:rPr>
          <w:lang w:val="en-GB"/>
        </w:rPr>
        <w:t xml:space="preserve"> proposal to translate S-67 </w:t>
      </w:r>
      <w:r w:rsidR="004C0DBA" w:rsidRPr="004C0DBA">
        <w:rPr>
          <w:lang w:val="en-GB"/>
        </w:rPr>
        <w:t>Mariners’ Guide to Accuracy of Depth Information in Electronic Navigational Charts (ENC) (Edition 1.0.0, September 2020)</w:t>
      </w:r>
      <w:r w:rsidR="004C0DBA">
        <w:rPr>
          <w:lang w:val="en-GB"/>
        </w:rPr>
        <w:t xml:space="preserve">, into Chinese and to maintain its updates in Chinese. This proposal was </w:t>
      </w:r>
      <w:r>
        <w:rPr>
          <w:lang w:val="en-GB"/>
        </w:rPr>
        <w:t>warmly welcomed and agreed</w:t>
      </w:r>
      <w:r w:rsidR="004C0DBA">
        <w:rPr>
          <w:lang w:val="en-GB"/>
        </w:rPr>
        <w:t>.</w:t>
      </w:r>
      <w:r w:rsidR="00E41A6F">
        <w:rPr>
          <w:lang w:val="en-GB"/>
        </w:rPr>
        <w:t xml:space="preserve"> (</w:t>
      </w:r>
      <w:r w:rsidR="00CA431C">
        <w:rPr>
          <w:b/>
          <w:lang w:val="en-GB"/>
        </w:rPr>
        <w:t>DQWG16/08</w:t>
      </w:r>
      <w:r w:rsidR="00E41A6F">
        <w:rPr>
          <w:lang w:val="en-GB"/>
        </w:rPr>
        <w:t>)</w:t>
      </w:r>
    </w:p>
    <w:p w14:paraId="1A264826" w14:textId="2309161C" w:rsidR="00EA0E54" w:rsidRPr="00894D83" w:rsidRDefault="00EA0E54" w:rsidP="00F60897">
      <w:pPr>
        <w:pStyle w:val="BodyA"/>
        <w:spacing w:after="0" w:line="240" w:lineRule="auto"/>
        <w:jc w:val="both"/>
        <w:rPr>
          <w:lang w:val="en-GB"/>
        </w:rPr>
      </w:pPr>
      <w:r>
        <w:rPr>
          <w:lang w:val="en-GB"/>
        </w:rPr>
        <w:t>France kindly informed it had already started on its translation into French.</w:t>
      </w:r>
    </w:p>
    <w:p w14:paraId="3C064168" w14:textId="03B57C1C" w:rsidR="00CE0494" w:rsidRPr="00876C94" w:rsidRDefault="00CE0494" w:rsidP="00876C94">
      <w:pPr>
        <w:rPr>
          <w:rFonts w:asciiTheme="minorHAnsi" w:hAnsiTheme="minorHAnsi" w:cstheme="minorHAnsi"/>
          <w:sz w:val="22"/>
          <w:szCs w:val="22"/>
        </w:rPr>
      </w:pPr>
    </w:p>
    <w:p w14:paraId="6466E176" w14:textId="0FA5B70F" w:rsidR="00876C94" w:rsidRDefault="00876C94" w:rsidP="00876C94">
      <w:pPr>
        <w:rPr>
          <w:rFonts w:asciiTheme="minorHAnsi" w:hAnsiTheme="minorHAnsi" w:cstheme="minorHAnsi"/>
          <w:b/>
          <w:sz w:val="22"/>
          <w:szCs w:val="22"/>
        </w:rPr>
      </w:pPr>
      <w:r>
        <w:rPr>
          <w:rFonts w:asciiTheme="minorHAnsi" w:hAnsiTheme="minorHAnsi" w:cstheme="minorHAnsi"/>
          <w:b/>
          <w:sz w:val="22"/>
          <w:szCs w:val="22"/>
        </w:rPr>
        <w:lastRenderedPageBreak/>
        <w:t>8.</w:t>
      </w:r>
      <w:r>
        <w:rPr>
          <w:rFonts w:asciiTheme="minorHAnsi" w:hAnsiTheme="minorHAnsi" w:cstheme="minorHAnsi"/>
          <w:b/>
          <w:sz w:val="22"/>
          <w:szCs w:val="22"/>
        </w:rPr>
        <w:tab/>
        <w:t>METHODOLOGY FOR THE DISPLAY OF QUALITY INFORMATION</w:t>
      </w:r>
    </w:p>
    <w:p w14:paraId="636C6E39" w14:textId="3BF49C4A" w:rsidR="00876C94" w:rsidRDefault="00876C94" w:rsidP="00876C94">
      <w:pPr>
        <w:rPr>
          <w:rFonts w:asciiTheme="minorHAnsi" w:hAnsiTheme="minorHAnsi" w:cstheme="minorHAnsi"/>
          <w:sz w:val="22"/>
          <w:szCs w:val="22"/>
        </w:rPr>
      </w:pPr>
    </w:p>
    <w:p w14:paraId="321C9501" w14:textId="34B7B623" w:rsidR="004C0DBA" w:rsidRDefault="004C0DBA" w:rsidP="00876C94">
      <w:pPr>
        <w:rPr>
          <w:rFonts w:asciiTheme="minorHAnsi" w:hAnsiTheme="minorHAnsi" w:cstheme="minorHAnsi"/>
          <w:sz w:val="22"/>
          <w:szCs w:val="22"/>
        </w:rPr>
      </w:pPr>
      <w:r w:rsidRPr="00EE2BC8">
        <w:rPr>
          <w:rFonts w:asciiTheme="minorHAnsi" w:hAnsiTheme="minorHAnsi" w:cstheme="minorHAnsi"/>
          <w:i/>
          <w:sz w:val="22"/>
          <w:szCs w:val="22"/>
        </w:rPr>
        <w:t>Christos Kastrisios</w:t>
      </w:r>
      <w:r>
        <w:rPr>
          <w:rFonts w:asciiTheme="minorHAnsi" w:hAnsiTheme="minorHAnsi" w:cstheme="minorHAnsi"/>
          <w:sz w:val="22"/>
          <w:szCs w:val="22"/>
        </w:rPr>
        <w:t xml:space="preserve"> of the University of New Hampshire demonstrated the latest developments in the portrayal of quality of bathymetric data. This was well received. Chair noted that the implementation phase of this concept is now handled by the S-101PT. Contact will be made between the UNH of the S101PT subWG Portrayal lead to continue testing this concept.</w:t>
      </w:r>
    </w:p>
    <w:p w14:paraId="609A1FD6" w14:textId="4A276696" w:rsidR="00876C94" w:rsidRDefault="00876C94" w:rsidP="00876C94">
      <w:pPr>
        <w:rPr>
          <w:rFonts w:asciiTheme="minorHAnsi" w:hAnsiTheme="minorHAnsi" w:cstheme="minorHAnsi"/>
          <w:sz w:val="22"/>
          <w:szCs w:val="22"/>
        </w:rPr>
      </w:pPr>
    </w:p>
    <w:p w14:paraId="64977716" w14:textId="6B27AEA6" w:rsidR="00876C94" w:rsidRDefault="00876C94" w:rsidP="00876C94">
      <w:pPr>
        <w:rPr>
          <w:rFonts w:asciiTheme="minorHAnsi" w:hAnsiTheme="minorHAnsi" w:cstheme="minorHAnsi"/>
          <w:sz w:val="22"/>
          <w:szCs w:val="22"/>
        </w:rPr>
      </w:pPr>
    </w:p>
    <w:p w14:paraId="6C640738" w14:textId="1798BF82" w:rsidR="00876C94" w:rsidRDefault="00876C94" w:rsidP="00876C94">
      <w:pPr>
        <w:rPr>
          <w:rFonts w:asciiTheme="minorHAnsi" w:hAnsiTheme="minorHAnsi" w:cstheme="minorHAnsi"/>
          <w:sz w:val="22"/>
          <w:szCs w:val="22"/>
        </w:rPr>
      </w:pPr>
      <w:r>
        <w:rPr>
          <w:rFonts w:asciiTheme="minorHAnsi" w:hAnsiTheme="minorHAnsi" w:cstheme="minorHAnsi"/>
          <w:b/>
          <w:sz w:val="22"/>
          <w:szCs w:val="22"/>
        </w:rPr>
        <w:t>9.</w:t>
      </w:r>
      <w:r>
        <w:rPr>
          <w:rFonts w:asciiTheme="minorHAnsi" w:hAnsiTheme="minorHAnsi" w:cstheme="minorHAnsi"/>
          <w:b/>
          <w:sz w:val="22"/>
          <w:szCs w:val="22"/>
        </w:rPr>
        <w:tab/>
        <w:t>NEW DATA QUALITY TOPICS FOR CONSIDERATION OF HSSC</w:t>
      </w:r>
    </w:p>
    <w:p w14:paraId="59F795E6" w14:textId="09050702" w:rsidR="00876C94" w:rsidRDefault="00876C94" w:rsidP="00876C94">
      <w:pPr>
        <w:rPr>
          <w:rFonts w:asciiTheme="minorHAnsi" w:hAnsiTheme="minorHAnsi" w:cstheme="minorHAnsi"/>
          <w:sz w:val="22"/>
          <w:szCs w:val="22"/>
        </w:rPr>
      </w:pPr>
    </w:p>
    <w:p w14:paraId="20EA904D" w14:textId="7A1BA343" w:rsidR="00876C94" w:rsidRDefault="004C0DBA" w:rsidP="00876C94">
      <w:pPr>
        <w:rPr>
          <w:rFonts w:asciiTheme="minorHAnsi" w:hAnsiTheme="minorHAnsi" w:cstheme="minorHAnsi"/>
          <w:sz w:val="22"/>
          <w:szCs w:val="22"/>
        </w:rPr>
      </w:pPr>
      <w:r>
        <w:rPr>
          <w:rFonts w:asciiTheme="minorHAnsi" w:hAnsiTheme="minorHAnsi" w:cstheme="minorHAnsi"/>
          <w:sz w:val="22"/>
          <w:szCs w:val="22"/>
        </w:rPr>
        <w:t xml:space="preserve">Chair presented a paper and presentation from NL: autonomous shipping and Data Quality. It is based on the concept of portrayal of quality of bathymetric data and it shows the need for HOs to actively populate appropriate uncertainty values in S-101 ENCs. </w:t>
      </w:r>
      <w:r w:rsidR="00A563BC">
        <w:rPr>
          <w:rFonts w:asciiTheme="minorHAnsi" w:hAnsiTheme="minorHAnsi" w:cstheme="minorHAnsi"/>
          <w:sz w:val="22"/>
          <w:szCs w:val="22"/>
        </w:rPr>
        <w:t>Autonomous shipping is mostly about avoiding collision to other ships but also to underwater isolated objects dangerous to safe navigation. NL has adopted the policy to actively populate all POSACC/SOUACC values of their entire existing portfolio in advance of the transition to S-101 to facilitate the portrayal of quality of bathymetric data as well as autonomous shipping.</w:t>
      </w:r>
      <w:r w:rsidR="00EB18E8">
        <w:rPr>
          <w:rFonts w:asciiTheme="minorHAnsi" w:hAnsiTheme="minorHAnsi" w:cstheme="minorHAnsi"/>
          <w:sz w:val="22"/>
          <w:szCs w:val="22"/>
        </w:rPr>
        <w:t xml:space="preserve"> It is also noted that </w:t>
      </w:r>
      <w:r w:rsidR="00EE2BC8">
        <w:rPr>
          <w:rFonts w:asciiTheme="minorHAnsi" w:hAnsiTheme="minorHAnsi" w:cstheme="minorHAnsi"/>
          <w:sz w:val="22"/>
          <w:szCs w:val="22"/>
        </w:rPr>
        <w:t xml:space="preserve">currently </w:t>
      </w:r>
      <w:r w:rsidR="00EB18E8">
        <w:rPr>
          <w:rFonts w:asciiTheme="minorHAnsi" w:hAnsiTheme="minorHAnsi" w:cstheme="minorHAnsi"/>
          <w:sz w:val="22"/>
          <w:szCs w:val="22"/>
        </w:rPr>
        <w:t>depth contours do not have an attribute to have its vertical uncertainty included.</w:t>
      </w:r>
    </w:p>
    <w:p w14:paraId="59913A58" w14:textId="7A17C59A" w:rsidR="00A563BC" w:rsidRDefault="00A563BC" w:rsidP="00876C94">
      <w:pPr>
        <w:rPr>
          <w:rFonts w:asciiTheme="minorHAnsi" w:hAnsiTheme="minorHAnsi" w:cstheme="minorHAnsi"/>
          <w:sz w:val="22"/>
          <w:szCs w:val="22"/>
        </w:rPr>
      </w:pPr>
    </w:p>
    <w:p w14:paraId="7D049795" w14:textId="6F3D26C0" w:rsidR="00A563BC" w:rsidRDefault="00A563BC" w:rsidP="00876C94">
      <w:pPr>
        <w:rPr>
          <w:rFonts w:asciiTheme="minorHAnsi" w:hAnsiTheme="minorHAnsi" w:cstheme="minorHAnsi"/>
          <w:sz w:val="22"/>
          <w:szCs w:val="22"/>
        </w:rPr>
      </w:pPr>
      <w:r w:rsidRPr="002530CB">
        <w:rPr>
          <w:rFonts w:asciiTheme="minorHAnsi" w:hAnsiTheme="minorHAnsi" w:cstheme="minorHAnsi"/>
          <w:i/>
          <w:sz w:val="22"/>
          <w:szCs w:val="22"/>
        </w:rPr>
        <w:t xml:space="preserve">Marianne </w:t>
      </w:r>
      <w:proofErr w:type="spellStart"/>
      <w:r w:rsidRPr="002530CB">
        <w:rPr>
          <w:rFonts w:asciiTheme="minorHAnsi" w:hAnsiTheme="minorHAnsi" w:cstheme="minorHAnsi"/>
          <w:i/>
          <w:sz w:val="22"/>
          <w:szCs w:val="22"/>
        </w:rPr>
        <w:t>Hagaseth</w:t>
      </w:r>
      <w:proofErr w:type="spellEnd"/>
      <w:r>
        <w:rPr>
          <w:rFonts w:asciiTheme="minorHAnsi" w:hAnsiTheme="minorHAnsi" w:cstheme="minorHAnsi"/>
          <w:sz w:val="22"/>
          <w:szCs w:val="22"/>
        </w:rPr>
        <w:t xml:space="preserve"> of SINTEF Ocean </w:t>
      </w:r>
      <w:r w:rsidR="000F0E87">
        <w:rPr>
          <w:rFonts w:asciiTheme="minorHAnsi" w:hAnsiTheme="minorHAnsi" w:cstheme="minorHAnsi"/>
          <w:sz w:val="22"/>
          <w:szCs w:val="22"/>
        </w:rPr>
        <w:t>A</w:t>
      </w:r>
      <w:r w:rsidR="002530CB">
        <w:rPr>
          <w:rFonts w:asciiTheme="minorHAnsi" w:hAnsiTheme="minorHAnsi" w:cstheme="minorHAnsi"/>
          <w:sz w:val="22"/>
          <w:szCs w:val="22"/>
        </w:rPr>
        <w:t>.S.</w:t>
      </w:r>
      <w:r>
        <w:rPr>
          <w:rFonts w:asciiTheme="minorHAnsi" w:hAnsiTheme="minorHAnsi" w:cstheme="minorHAnsi"/>
          <w:sz w:val="22"/>
          <w:szCs w:val="22"/>
        </w:rPr>
        <w:t xml:space="preserve"> presented the </w:t>
      </w:r>
      <w:r w:rsidR="00446A25">
        <w:rPr>
          <w:rFonts w:asciiTheme="minorHAnsi" w:hAnsiTheme="minorHAnsi" w:cstheme="minorHAnsi"/>
          <w:sz w:val="22"/>
          <w:szCs w:val="22"/>
        </w:rPr>
        <w:t>Hull-to-Hull</w:t>
      </w:r>
      <w:r>
        <w:rPr>
          <w:rFonts w:asciiTheme="minorHAnsi" w:hAnsiTheme="minorHAnsi" w:cstheme="minorHAnsi"/>
          <w:sz w:val="22"/>
          <w:szCs w:val="22"/>
        </w:rPr>
        <w:t xml:space="preserve"> project (H2H). It is based on uncertainty zones around individual ships</w:t>
      </w:r>
      <w:r w:rsidR="000F0E87">
        <w:rPr>
          <w:rFonts w:asciiTheme="minorHAnsi" w:hAnsiTheme="minorHAnsi" w:cstheme="minorHAnsi"/>
          <w:sz w:val="22"/>
          <w:szCs w:val="22"/>
        </w:rPr>
        <w:t xml:space="preserve"> – dynamic data exchange for autonomous functions</w:t>
      </w:r>
      <w:r>
        <w:rPr>
          <w:rFonts w:asciiTheme="minorHAnsi" w:hAnsiTheme="minorHAnsi" w:cstheme="minorHAnsi"/>
          <w:sz w:val="22"/>
          <w:szCs w:val="22"/>
        </w:rPr>
        <w:t xml:space="preserve">. </w:t>
      </w:r>
      <w:r w:rsidR="000F0E87">
        <w:rPr>
          <w:rFonts w:asciiTheme="minorHAnsi" w:hAnsiTheme="minorHAnsi" w:cstheme="minorHAnsi"/>
          <w:sz w:val="22"/>
          <w:szCs w:val="22"/>
        </w:rPr>
        <w:t xml:space="preserve">The overall objective of the project is to address the need of the maritime community to safely navigate in close proximity of other vessels and objects. </w:t>
      </w:r>
      <w:r>
        <w:rPr>
          <w:rFonts w:asciiTheme="minorHAnsi" w:hAnsiTheme="minorHAnsi" w:cstheme="minorHAnsi"/>
          <w:sz w:val="22"/>
          <w:szCs w:val="22"/>
        </w:rPr>
        <w:t xml:space="preserve">This has been tested in Norway and Belgium. </w:t>
      </w:r>
    </w:p>
    <w:p w14:paraId="24C4DE4C" w14:textId="7B70D095" w:rsidR="000F0E87" w:rsidRPr="00876C94" w:rsidRDefault="000F0E87" w:rsidP="00876C94">
      <w:pPr>
        <w:rPr>
          <w:rFonts w:asciiTheme="minorHAnsi" w:hAnsiTheme="minorHAnsi" w:cstheme="minorHAnsi"/>
          <w:sz w:val="22"/>
          <w:szCs w:val="22"/>
        </w:rPr>
      </w:pPr>
      <w:r>
        <w:rPr>
          <w:rFonts w:asciiTheme="minorHAnsi" w:hAnsiTheme="minorHAnsi" w:cstheme="minorHAnsi"/>
          <w:sz w:val="22"/>
          <w:szCs w:val="22"/>
        </w:rPr>
        <w:t>The project may be of interest of DQWG/S101PT as it is facing the same issues on portrayal of uncertainty.</w:t>
      </w:r>
    </w:p>
    <w:p w14:paraId="537CC08A" w14:textId="77777777" w:rsidR="00876C94" w:rsidRPr="00876C94" w:rsidRDefault="00876C94" w:rsidP="00876C94">
      <w:pPr>
        <w:rPr>
          <w:rFonts w:asciiTheme="minorHAnsi" w:hAnsiTheme="minorHAnsi" w:cstheme="minorHAnsi"/>
          <w:sz w:val="22"/>
          <w:szCs w:val="22"/>
        </w:rPr>
      </w:pPr>
    </w:p>
    <w:p w14:paraId="7439E91A" w14:textId="12E10803" w:rsidR="00CE0494" w:rsidRPr="00894D83" w:rsidRDefault="00427222" w:rsidP="00F60897">
      <w:pPr>
        <w:pStyle w:val="BodyA"/>
        <w:jc w:val="both"/>
        <w:rPr>
          <w:b/>
          <w:bCs/>
          <w:lang w:val="en-GB"/>
        </w:rPr>
      </w:pPr>
      <w:r>
        <w:rPr>
          <w:b/>
          <w:bCs/>
          <w:lang w:val="en-GB"/>
        </w:rPr>
        <w:t>10</w:t>
      </w:r>
      <w:r w:rsidR="00911AFD" w:rsidRPr="00894D83">
        <w:rPr>
          <w:b/>
          <w:bCs/>
          <w:lang w:val="en-GB"/>
        </w:rPr>
        <w:t>.</w:t>
      </w:r>
      <w:r w:rsidR="00911AFD" w:rsidRPr="00894D83">
        <w:rPr>
          <w:b/>
          <w:bCs/>
          <w:lang w:val="en-GB"/>
        </w:rPr>
        <w:tab/>
      </w:r>
      <w:r>
        <w:rPr>
          <w:b/>
          <w:bCs/>
          <w:lang w:val="en-GB"/>
        </w:rPr>
        <w:t>AOB</w:t>
      </w:r>
      <w:r w:rsidR="00F25B6A">
        <w:rPr>
          <w:b/>
          <w:bCs/>
          <w:lang w:val="en-GB"/>
        </w:rPr>
        <w:t xml:space="preserve"> and closure of meeting</w:t>
      </w:r>
    </w:p>
    <w:p w14:paraId="4F4A2E82" w14:textId="6705C64B" w:rsidR="006C711C" w:rsidRDefault="000F0E87" w:rsidP="00F60897">
      <w:pPr>
        <w:pStyle w:val="Default"/>
        <w:jc w:val="both"/>
        <w:rPr>
          <w:lang w:val="en-GB"/>
        </w:rPr>
      </w:pPr>
      <w:r>
        <w:rPr>
          <w:lang w:val="en-GB"/>
        </w:rPr>
        <w:t xml:space="preserve">Chair presented an overview of the re-survey policy of the NL in the North Sea. Due to the pandemic and other operational issues, NLHO has not been able to maintain its regular re-survey interval. Due to the dynamic seabed of the southern North Sea, NLHO has set up a mechanism to downgrade the CATZOC value in existing S-57 ENCs when a certain </w:t>
      </w:r>
      <w:r w:rsidR="00446A25">
        <w:rPr>
          <w:lang w:val="en-GB"/>
        </w:rPr>
        <w:t>period</w:t>
      </w:r>
      <w:r>
        <w:rPr>
          <w:lang w:val="en-GB"/>
        </w:rPr>
        <w:t xml:space="preserve"> has been reached</w:t>
      </w:r>
      <w:r w:rsidR="006C711C">
        <w:rPr>
          <w:lang w:val="en-GB"/>
        </w:rPr>
        <w:t xml:space="preserve"> and the area has not been re-survey</w:t>
      </w:r>
      <w:r w:rsidR="00F41346">
        <w:rPr>
          <w:lang w:val="en-GB"/>
        </w:rPr>
        <w:t>ed</w:t>
      </w:r>
      <w:r w:rsidR="006C711C">
        <w:rPr>
          <w:lang w:val="en-GB"/>
        </w:rPr>
        <w:t xml:space="preserve"> according to </w:t>
      </w:r>
      <w:r w:rsidR="002530CB">
        <w:rPr>
          <w:lang w:val="en-GB"/>
        </w:rPr>
        <w:t xml:space="preserve">its </w:t>
      </w:r>
      <w:r w:rsidR="006C711C">
        <w:rPr>
          <w:lang w:val="en-GB"/>
        </w:rPr>
        <w:t>normal schedule</w:t>
      </w:r>
      <w:r>
        <w:rPr>
          <w:lang w:val="en-GB"/>
        </w:rPr>
        <w:t>.</w:t>
      </w:r>
    </w:p>
    <w:p w14:paraId="10162FEF" w14:textId="77777777" w:rsidR="006C711C" w:rsidRDefault="006C711C" w:rsidP="00F60897">
      <w:pPr>
        <w:pStyle w:val="Default"/>
        <w:jc w:val="both"/>
        <w:rPr>
          <w:lang w:val="en-GB"/>
        </w:rPr>
      </w:pPr>
    </w:p>
    <w:p w14:paraId="2C486586" w14:textId="57EE45E8" w:rsidR="000F0E87" w:rsidRDefault="00EB18E8" w:rsidP="00F60897">
      <w:pPr>
        <w:pStyle w:val="Default"/>
        <w:jc w:val="both"/>
        <w:rPr>
          <w:lang w:val="en-GB"/>
        </w:rPr>
      </w:pPr>
      <w:r>
        <w:rPr>
          <w:lang w:val="en-GB"/>
        </w:rPr>
        <w:t xml:space="preserve">Chair presented informative paper Chart and Land Survey Vertical </w:t>
      </w:r>
      <w:proofErr w:type="spellStart"/>
      <w:r>
        <w:rPr>
          <w:lang w:val="en-GB"/>
        </w:rPr>
        <w:t>Datums</w:t>
      </w:r>
      <w:proofErr w:type="spellEnd"/>
      <w:r>
        <w:rPr>
          <w:lang w:val="en-GB"/>
        </w:rPr>
        <w:t xml:space="preserve">. It addresses the issue that when merging data from land and sea, the usage of vertical </w:t>
      </w:r>
      <w:proofErr w:type="spellStart"/>
      <w:r>
        <w:rPr>
          <w:lang w:val="en-GB"/>
        </w:rPr>
        <w:t>datums</w:t>
      </w:r>
      <w:proofErr w:type="spellEnd"/>
      <w:r>
        <w:rPr>
          <w:lang w:val="en-GB"/>
        </w:rPr>
        <w:t xml:space="preserve"> (sounding datum = vertical datum used at sea for depicting soundings/depth contours</w:t>
      </w:r>
      <w:r w:rsidR="002530CB">
        <w:rPr>
          <w:lang w:val="en-GB"/>
        </w:rPr>
        <w:t xml:space="preserve"> etc.</w:t>
      </w:r>
      <w:r>
        <w:rPr>
          <w:lang w:val="en-GB"/>
        </w:rPr>
        <w:t xml:space="preserve">) and their associated uncertainty is important. NLHO has published an integrated geoid vertical datum for land (1cm accurate) and sea (3cm accurate) </w:t>
      </w:r>
      <w:r w:rsidR="00446A25">
        <w:rPr>
          <w:lang w:val="en-GB"/>
        </w:rPr>
        <w:t>and</w:t>
      </w:r>
      <w:r>
        <w:rPr>
          <w:lang w:val="en-GB"/>
        </w:rPr>
        <w:t xml:space="preserve"> LAT (6.6 cm accurate). The current S-101 data model does not contain vertical uncertainty for vertical </w:t>
      </w:r>
      <w:proofErr w:type="spellStart"/>
      <w:r>
        <w:rPr>
          <w:lang w:val="en-GB"/>
        </w:rPr>
        <w:t>datums</w:t>
      </w:r>
      <w:proofErr w:type="spellEnd"/>
      <w:r>
        <w:rPr>
          <w:lang w:val="en-GB"/>
        </w:rPr>
        <w:t>. It is suggested that this is added to the model.</w:t>
      </w:r>
    </w:p>
    <w:p w14:paraId="6D855962" w14:textId="44FA6FE1" w:rsidR="00013D9D" w:rsidRDefault="00013D9D" w:rsidP="00F60897">
      <w:pPr>
        <w:pStyle w:val="Default"/>
        <w:jc w:val="both"/>
        <w:rPr>
          <w:lang w:val="en-GB"/>
        </w:rPr>
      </w:pPr>
      <w:r w:rsidRPr="00F41346">
        <w:rPr>
          <w:i/>
          <w:lang w:val="en-GB"/>
        </w:rPr>
        <w:t>David Grant of NIWC</w:t>
      </w:r>
      <w:r>
        <w:rPr>
          <w:lang w:val="en-GB"/>
        </w:rPr>
        <w:t xml:space="preserve"> noted </w:t>
      </w:r>
      <w:r w:rsidR="00F41346">
        <w:rPr>
          <w:lang w:val="en-GB"/>
        </w:rPr>
        <w:t>the</w:t>
      </w:r>
      <w:r>
        <w:rPr>
          <w:lang w:val="en-GB"/>
        </w:rPr>
        <w:t xml:space="preserve"> submitted paper TSM8-6.5 Vertical CRS vice Datum in Metadata (S-100 Test Strategy Meeting, 2-4 March 2021) addressing: </w:t>
      </w:r>
      <w:r w:rsidR="002530CB">
        <w:rPr>
          <w:lang w:val="en-GB"/>
        </w:rPr>
        <w:t>“</w:t>
      </w:r>
      <w:r>
        <w:rPr>
          <w:lang w:val="en-GB"/>
        </w:rPr>
        <w:t>A vertical datum only indicates the reference plane (surface of zero elevation) for measuring height or depth. The unit of measure and orientation (up or down) should also be provided to support machine-readability and autonomous navigation.</w:t>
      </w:r>
      <w:r w:rsidR="002530CB">
        <w:rPr>
          <w:lang w:val="en-GB"/>
        </w:rPr>
        <w:t>”</w:t>
      </w:r>
      <w:r w:rsidR="00E41A6F">
        <w:rPr>
          <w:lang w:val="en-GB"/>
        </w:rPr>
        <w:t xml:space="preserve"> (</w:t>
      </w:r>
      <w:r w:rsidR="00CA431C">
        <w:rPr>
          <w:b/>
          <w:lang w:val="en-GB"/>
        </w:rPr>
        <w:t>DQWG16/09</w:t>
      </w:r>
      <w:r w:rsidR="00E41A6F">
        <w:rPr>
          <w:lang w:val="en-GB"/>
        </w:rPr>
        <w:t>)</w:t>
      </w:r>
    </w:p>
    <w:p w14:paraId="3A9B576F" w14:textId="77777777" w:rsidR="000F0E87" w:rsidRDefault="000F0E87" w:rsidP="00F60897">
      <w:pPr>
        <w:pStyle w:val="Default"/>
        <w:jc w:val="both"/>
        <w:rPr>
          <w:lang w:val="en-GB"/>
        </w:rPr>
      </w:pPr>
    </w:p>
    <w:p w14:paraId="6CB086C0" w14:textId="3E03DA5C" w:rsidR="00CE0494" w:rsidRDefault="00744E4A" w:rsidP="00F60897">
      <w:pPr>
        <w:pStyle w:val="Default"/>
        <w:jc w:val="both"/>
        <w:rPr>
          <w:lang w:val="en-GB"/>
        </w:rPr>
      </w:pPr>
      <w:r w:rsidRPr="00894D83">
        <w:rPr>
          <w:lang w:val="en-GB"/>
        </w:rPr>
        <w:t>The list of decisions and actions was reviewed</w:t>
      </w:r>
      <w:r w:rsidR="00F25B6A">
        <w:rPr>
          <w:lang w:val="en-GB"/>
        </w:rPr>
        <w:t xml:space="preserve"> and updated</w:t>
      </w:r>
      <w:r w:rsidR="00FE2573" w:rsidRPr="00894D83">
        <w:rPr>
          <w:lang w:val="en-GB"/>
        </w:rPr>
        <w:t xml:space="preserve">. </w:t>
      </w:r>
      <w:r w:rsidR="00F6357A">
        <w:rPr>
          <w:lang w:val="en-GB"/>
        </w:rPr>
        <w:t>(Annex B)</w:t>
      </w:r>
    </w:p>
    <w:p w14:paraId="434C61DD" w14:textId="0735F97A" w:rsidR="00326F58" w:rsidRDefault="00326F58" w:rsidP="00F60897">
      <w:pPr>
        <w:pStyle w:val="Default"/>
        <w:jc w:val="both"/>
        <w:rPr>
          <w:lang w:val="en-GB"/>
        </w:rPr>
      </w:pPr>
    </w:p>
    <w:p w14:paraId="3CB075E4" w14:textId="196BC38A" w:rsidR="00326F58" w:rsidRDefault="00326F58" w:rsidP="00F60897">
      <w:pPr>
        <w:pStyle w:val="Default"/>
        <w:jc w:val="both"/>
        <w:rPr>
          <w:lang w:val="en-GB"/>
        </w:rPr>
      </w:pPr>
      <w:r>
        <w:rPr>
          <w:lang w:val="en-GB"/>
        </w:rPr>
        <w:t xml:space="preserve">There were no new nominees for </w:t>
      </w:r>
      <w:r w:rsidR="00BB7F76">
        <w:rPr>
          <w:lang w:val="en-GB"/>
        </w:rPr>
        <w:t>Chair or</w:t>
      </w:r>
      <w:r>
        <w:rPr>
          <w:lang w:val="en-GB"/>
        </w:rPr>
        <w:t xml:space="preserve"> Vice-Chair. The role of Vice-Chair will be vacant. IHO Members States are kindly requested to consider a candidate for the continuity of this WG.</w:t>
      </w:r>
      <w:r w:rsidR="00540D98">
        <w:rPr>
          <w:lang w:val="en-GB"/>
        </w:rPr>
        <w:t xml:space="preserve"> (</w:t>
      </w:r>
      <w:r w:rsidR="00CA431C">
        <w:rPr>
          <w:b/>
          <w:lang w:val="en-GB"/>
        </w:rPr>
        <w:t>DQWG16/10</w:t>
      </w:r>
      <w:r w:rsidR="00540D98">
        <w:rPr>
          <w:lang w:val="en-GB"/>
        </w:rPr>
        <w:t>)</w:t>
      </w:r>
    </w:p>
    <w:p w14:paraId="2D6D7F41" w14:textId="6ABFD5AD" w:rsidR="00364DCE" w:rsidRDefault="00364DCE" w:rsidP="00F60897">
      <w:pPr>
        <w:pStyle w:val="Default"/>
        <w:jc w:val="both"/>
        <w:rPr>
          <w:lang w:val="en-GB"/>
        </w:rPr>
      </w:pPr>
    </w:p>
    <w:p w14:paraId="5C753FAA" w14:textId="06139296" w:rsidR="00364DCE" w:rsidRDefault="00364DCE" w:rsidP="00F60897">
      <w:pPr>
        <w:pStyle w:val="Default"/>
        <w:jc w:val="both"/>
        <w:rPr>
          <w:lang w:val="en-GB"/>
        </w:rPr>
      </w:pPr>
      <w:r>
        <w:rPr>
          <w:lang w:val="en-GB"/>
        </w:rPr>
        <w:t>The next meeting is scheduled to be a physical meeting, 8-11 February 2022. Venue to be decided, Monaco as alternative.</w:t>
      </w:r>
    </w:p>
    <w:p w14:paraId="74AF407F" w14:textId="00165D7E" w:rsidR="00326F58" w:rsidRDefault="00326F58" w:rsidP="00F60897">
      <w:pPr>
        <w:pStyle w:val="Default"/>
        <w:jc w:val="both"/>
        <w:rPr>
          <w:lang w:val="en-GB"/>
        </w:rPr>
      </w:pPr>
    </w:p>
    <w:p w14:paraId="750D51F5" w14:textId="77777777" w:rsidR="00326F58" w:rsidRPr="00894D83" w:rsidRDefault="00326F58" w:rsidP="00F60897">
      <w:pPr>
        <w:pStyle w:val="Default"/>
        <w:jc w:val="both"/>
        <w:rPr>
          <w:lang w:val="en-GB"/>
        </w:rPr>
      </w:pPr>
    </w:p>
    <w:p w14:paraId="4B2E5AC7" w14:textId="77777777" w:rsidR="00CE0494" w:rsidRPr="00894D83" w:rsidRDefault="00CE0494" w:rsidP="00F60897">
      <w:pPr>
        <w:pStyle w:val="Default"/>
        <w:jc w:val="both"/>
        <w:rPr>
          <w:lang w:val="en-GB"/>
        </w:rPr>
      </w:pPr>
    </w:p>
    <w:p w14:paraId="2C80AA16" w14:textId="606FF24A" w:rsidR="008D77B7" w:rsidRPr="00894D83" w:rsidRDefault="00744E4A" w:rsidP="00F60897">
      <w:pPr>
        <w:pStyle w:val="Body"/>
        <w:spacing w:after="0" w:line="240" w:lineRule="auto"/>
        <w:jc w:val="both"/>
        <w:rPr>
          <w:rFonts w:ascii="Helvetica" w:hAnsi="Helvetica"/>
          <w:lang w:val="en-GB"/>
        </w:rPr>
      </w:pPr>
      <w:r w:rsidRPr="00894D83">
        <w:rPr>
          <w:rFonts w:ascii="Helvetica" w:hAnsi="Helvetica"/>
          <w:lang w:val="en-GB"/>
        </w:rPr>
        <w:t xml:space="preserve"> </w:t>
      </w:r>
    </w:p>
    <w:p w14:paraId="470258E0" w14:textId="2C9524D7" w:rsidR="003D1FB8" w:rsidRDefault="003D1FB8">
      <w:pPr>
        <w:rPr>
          <w:rFonts w:ascii="Helvetica" w:eastAsia="Calibri" w:hAnsi="Helvetica" w:cs="Calibri"/>
          <w:b/>
          <w:bCs/>
          <w:color w:val="000000"/>
          <w:sz w:val="22"/>
          <w:szCs w:val="22"/>
          <w:u w:color="000000"/>
          <w:lang w:eastAsia="nl-NL"/>
        </w:rPr>
      </w:pPr>
    </w:p>
    <w:p w14:paraId="40187054" w14:textId="77777777" w:rsidR="00CE0494" w:rsidRPr="00894D83" w:rsidRDefault="00911AFD">
      <w:pPr>
        <w:pStyle w:val="Body"/>
        <w:spacing w:after="0" w:line="240" w:lineRule="auto"/>
        <w:jc w:val="center"/>
        <w:rPr>
          <w:rFonts w:ascii="Helvetica" w:eastAsia="Helvetica" w:hAnsi="Helvetica" w:cs="Helvetica"/>
          <w:b/>
          <w:bCs/>
          <w:sz w:val="28"/>
          <w:szCs w:val="28"/>
          <w:lang w:val="en-GB"/>
        </w:rPr>
      </w:pPr>
      <w:r w:rsidRPr="00894D83">
        <w:rPr>
          <w:rFonts w:ascii="Helvetica" w:hAnsi="Helvetica"/>
          <w:b/>
          <w:bCs/>
          <w:sz w:val="28"/>
          <w:szCs w:val="28"/>
          <w:lang w:val="en-GB"/>
        </w:rPr>
        <w:t>ANNEX A – Terms of Reference</w:t>
      </w:r>
    </w:p>
    <w:p w14:paraId="049A1006" w14:textId="77777777" w:rsidR="00CE0494" w:rsidRPr="00894D83" w:rsidRDefault="00CE0494">
      <w:pPr>
        <w:pStyle w:val="BodyA"/>
        <w:rPr>
          <w:lang w:val="en-GB"/>
        </w:rPr>
      </w:pPr>
    </w:p>
    <w:p w14:paraId="256570ED" w14:textId="77777777" w:rsidR="00CE0494" w:rsidRPr="00894D83" w:rsidRDefault="00911AFD" w:rsidP="00F60897">
      <w:pPr>
        <w:pStyle w:val="BodyA"/>
        <w:jc w:val="both"/>
        <w:rPr>
          <w:lang w:val="en-GB"/>
        </w:rPr>
      </w:pPr>
      <w:r w:rsidRPr="00894D83">
        <w:rPr>
          <w:lang w:val="en-GB"/>
        </w:rPr>
        <w:t xml:space="preserve">Terms of Reference are available at: </w:t>
      </w:r>
    </w:p>
    <w:p w14:paraId="3FA9F729" w14:textId="46AD3881" w:rsidR="00CE0494" w:rsidRPr="00894D83" w:rsidRDefault="009509DF" w:rsidP="00F60897">
      <w:pPr>
        <w:pStyle w:val="BodyA"/>
        <w:jc w:val="both"/>
        <w:rPr>
          <w:lang w:val="en-GB"/>
        </w:rPr>
      </w:pPr>
      <w:hyperlink r:id="rId11" w:history="1">
        <w:r w:rsidR="008F257D" w:rsidRPr="00723ED9">
          <w:rPr>
            <w:rStyle w:val="Hyperlink"/>
            <w:lang w:val="en-GB"/>
          </w:rPr>
          <w:t>https://iho.int/en/basic-wg-documents-4</w:t>
        </w:r>
      </w:hyperlink>
      <w:r w:rsidR="008F257D">
        <w:rPr>
          <w:lang w:val="en-GB"/>
        </w:rPr>
        <w:t xml:space="preserve"> </w:t>
      </w:r>
    </w:p>
    <w:p w14:paraId="767BA92C" w14:textId="77777777" w:rsidR="00CE0494" w:rsidRPr="00894D83" w:rsidRDefault="00CE0494">
      <w:pPr>
        <w:pStyle w:val="Body"/>
        <w:spacing w:after="0" w:line="240" w:lineRule="auto"/>
        <w:rPr>
          <w:rFonts w:ascii="Helvetica" w:eastAsia="Helvetica" w:hAnsi="Helvetica" w:cs="Helvetica"/>
          <w:lang w:val="en-GB"/>
        </w:rPr>
      </w:pPr>
    </w:p>
    <w:p w14:paraId="72D84837" w14:textId="77777777" w:rsidR="00416330" w:rsidRDefault="00416330">
      <w:pPr>
        <w:rPr>
          <w:rFonts w:ascii="Helvetica" w:hAnsi="Helvetica" w:cs="Arial Unicode MS"/>
          <w:b/>
          <w:bCs/>
          <w:color w:val="000000"/>
          <w:sz w:val="28"/>
          <w:szCs w:val="28"/>
          <w:u w:color="000000"/>
          <w:lang w:eastAsia="nl-NL"/>
        </w:rPr>
      </w:pPr>
      <w:r>
        <w:rPr>
          <w:b/>
          <w:bCs/>
          <w:sz w:val="28"/>
          <w:szCs w:val="28"/>
        </w:rPr>
        <w:br w:type="page"/>
      </w:r>
    </w:p>
    <w:p w14:paraId="0115EF8E" w14:textId="7FBF8EDA" w:rsidR="00CE0494" w:rsidRPr="00894D83" w:rsidRDefault="00911AFD">
      <w:pPr>
        <w:pStyle w:val="BodyA"/>
        <w:jc w:val="center"/>
        <w:rPr>
          <w:b/>
          <w:bCs/>
          <w:sz w:val="28"/>
          <w:szCs w:val="28"/>
          <w:lang w:val="en-GB"/>
        </w:rPr>
      </w:pPr>
      <w:r w:rsidRPr="00894D83">
        <w:rPr>
          <w:b/>
          <w:bCs/>
          <w:sz w:val="28"/>
          <w:szCs w:val="28"/>
          <w:lang w:val="en-GB"/>
        </w:rPr>
        <w:lastRenderedPageBreak/>
        <w:t>ANNEX B – List of Decision and Actions</w:t>
      </w:r>
    </w:p>
    <w:p w14:paraId="5CC85F55" w14:textId="74B64D88" w:rsidR="00CE0494" w:rsidRPr="00894D83" w:rsidRDefault="00911AFD">
      <w:pPr>
        <w:pStyle w:val="BodyA"/>
        <w:rPr>
          <w:lang w:val="en-GB"/>
        </w:rPr>
      </w:pPr>
      <w:r w:rsidRPr="00894D83">
        <w:rPr>
          <w:lang w:val="en-GB"/>
        </w:rPr>
        <w:t xml:space="preserve">LIST OF DECISIONS &amp; ACTIONS ARISING FROM </w:t>
      </w:r>
      <w:r w:rsidR="00CA5AFA" w:rsidRPr="00894D83">
        <w:rPr>
          <w:lang w:val="en-GB"/>
        </w:rPr>
        <w:t>DQWG</w:t>
      </w:r>
      <w:r w:rsidR="001F6326">
        <w:rPr>
          <w:lang w:val="en-GB"/>
        </w:rPr>
        <w:t>-</w:t>
      </w:r>
      <w:r w:rsidR="00CA5AFA" w:rsidRPr="00894D83">
        <w:rPr>
          <w:lang w:val="en-GB"/>
        </w:rPr>
        <w:t>1</w:t>
      </w:r>
      <w:r w:rsidR="00B3737B">
        <w:rPr>
          <w:lang w:val="en-GB"/>
        </w:rPr>
        <w:t>6</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ook w:val="04A0" w:firstRow="1" w:lastRow="0" w:firstColumn="1" w:lastColumn="0" w:noHBand="0" w:noVBand="1"/>
      </w:tblPr>
      <w:tblGrid>
        <w:gridCol w:w="894"/>
        <w:gridCol w:w="2080"/>
        <w:gridCol w:w="3768"/>
        <w:gridCol w:w="1446"/>
        <w:gridCol w:w="1438"/>
      </w:tblGrid>
      <w:tr w:rsidR="000A368C" w:rsidRPr="00894D83" w14:paraId="62BFD404" w14:textId="77777777" w:rsidTr="000A368C">
        <w:trPr>
          <w:trHeight w:val="733"/>
          <w:tblHeader/>
        </w:trPr>
        <w:tc>
          <w:tcPr>
            <w:tcW w:w="0" w:type="auto"/>
            <w:tcBorders>
              <w:top w:val="single" w:sz="2" w:space="0" w:color="000000"/>
              <w:left w:val="single" w:sz="2" w:space="0" w:color="000000"/>
              <w:bottom w:val="nil"/>
              <w:right w:val="single" w:sz="2" w:space="0" w:color="000000"/>
            </w:tcBorders>
            <w:shd w:val="clear" w:color="auto" w:fill="BDC0BF"/>
            <w:tcMar>
              <w:top w:w="80" w:type="dxa"/>
              <w:left w:w="80" w:type="dxa"/>
              <w:bottom w:w="80" w:type="dxa"/>
              <w:right w:w="80" w:type="dxa"/>
            </w:tcMar>
          </w:tcPr>
          <w:p w14:paraId="0DFE1DFE" w14:textId="77777777" w:rsidR="00CE0494" w:rsidRPr="00894D83" w:rsidRDefault="00911AFD">
            <w:pPr>
              <w:pStyle w:val="TableStyle1A"/>
              <w:spacing w:after="0" w:line="240" w:lineRule="auto"/>
              <w:rPr>
                <w:lang w:val="en-GB"/>
              </w:rPr>
            </w:pPr>
            <w:r w:rsidRPr="00894D83">
              <w:rPr>
                <w:lang w:val="en-GB"/>
              </w:rPr>
              <w:t xml:space="preserve">Agenda </w:t>
            </w:r>
          </w:p>
          <w:p w14:paraId="68D15224" w14:textId="77777777" w:rsidR="00CE0494" w:rsidRPr="00894D83" w:rsidRDefault="00911AFD">
            <w:pPr>
              <w:pStyle w:val="TableStyle1A"/>
              <w:spacing w:after="0" w:line="240" w:lineRule="auto"/>
              <w:rPr>
                <w:lang w:val="en-GB"/>
              </w:rPr>
            </w:pPr>
            <w:r w:rsidRPr="00894D83">
              <w:rPr>
                <w:lang w:val="en-GB"/>
              </w:rPr>
              <w:t>item</w:t>
            </w:r>
          </w:p>
        </w:tc>
        <w:tc>
          <w:tcPr>
            <w:tcW w:w="208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41492A1C" w14:textId="77777777" w:rsidR="00CE0494" w:rsidRPr="00894D83" w:rsidRDefault="00911AFD">
            <w:pPr>
              <w:pStyle w:val="TableStyle1A"/>
              <w:spacing w:after="0" w:line="240" w:lineRule="auto"/>
              <w:rPr>
                <w:lang w:val="en-GB"/>
              </w:rPr>
            </w:pPr>
            <w:r w:rsidRPr="00894D83">
              <w:rPr>
                <w:lang w:val="en-GB"/>
              </w:rPr>
              <w:t>Subject</w:t>
            </w:r>
          </w:p>
        </w:tc>
        <w:tc>
          <w:tcPr>
            <w:tcW w:w="376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2EE157C1" w14:textId="77777777" w:rsidR="00CE0494" w:rsidRPr="00894D83" w:rsidRDefault="00911AFD">
            <w:pPr>
              <w:pStyle w:val="TableStyle1A"/>
              <w:spacing w:after="0" w:line="240" w:lineRule="auto"/>
              <w:rPr>
                <w:lang w:val="en-GB"/>
              </w:rPr>
            </w:pPr>
            <w:r w:rsidRPr="00894D83">
              <w:rPr>
                <w:lang w:val="en-GB"/>
              </w:rPr>
              <w:t>Actions (in bold, action by)</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15F049F4" w14:textId="77777777" w:rsidR="00CE0494" w:rsidRPr="00894D83" w:rsidRDefault="00911AFD">
            <w:pPr>
              <w:pStyle w:val="TableStyle1A"/>
              <w:spacing w:after="0" w:line="240" w:lineRule="auto"/>
              <w:rPr>
                <w:lang w:val="en-GB"/>
              </w:rPr>
            </w:pPr>
            <w:r w:rsidRPr="00894D83">
              <w:rPr>
                <w:lang w:val="en-GB"/>
              </w:rPr>
              <w:t>Target Date/Event</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3E51CA04" w14:textId="00AEB3F0" w:rsidR="00CE0494" w:rsidRPr="00894D83" w:rsidRDefault="00911AFD" w:rsidP="00D95B98">
            <w:pPr>
              <w:pStyle w:val="TableStyle1A"/>
              <w:spacing w:after="0" w:line="240" w:lineRule="auto"/>
              <w:rPr>
                <w:lang w:val="en-GB"/>
              </w:rPr>
            </w:pPr>
            <w:r w:rsidRPr="00894D83">
              <w:rPr>
                <w:lang w:val="en-GB"/>
              </w:rPr>
              <w:t>Status (</w:t>
            </w:r>
            <w:r w:rsidR="00C214E5">
              <w:rPr>
                <w:lang w:val="en-GB"/>
              </w:rPr>
              <w:t>16</w:t>
            </w:r>
            <w:r w:rsidR="00D95B98">
              <w:rPr>
                <w:lang w:val="en-GB"/>
              </w:rPr>
              <w:t xml:space="preserve"> Feb 2021</w:t>
            </w:r>
            <w:r w:rsidRPr="00894D83">
              <w:rPr>
                <w:lang w:val="en-GB"/>
              </w:rPr>
              <w:t>)</w:t>
            </w:r>
          </w:p>
        </w:tc>
      </w:tr>
      <w:tr w:rsidR="000A368C" w:rsidRPr="00894D83" w14:paraId="56A45016" w14:textId="77777777" w:rsidTr="000A368C">
        <w:tblPrEx>
          <w:shd w:val="clear" w:color="auto" w:fill="CEDDEB"/>
        </w:tblPrEx>
        <w:trPr>
          <w:trHeight w:val="983"/>
        </w:trPr>
        <w:tc>
          <w:tcPr>
            <w:tcW w:w="0" w:type="auto"/>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60B02A" w14:textId="190AD6AB" w:rsidR="00F213ED" w:rsidRPr="00894D83" w:rsidRDefault="00F213ED" w:rsidP="00457D46">
            <w:pPr>
              <w:rPr>
                <w:rFonts w:asciiTheme="minorHAnsi" w:hAnsiTheme="minorHAnsi" w:cstheme="minorHAnsi"/>
                <w:sz w:val="18"/>
                <w:szCs w:val="18"/>
              </w:rPr>
            </w:pPr>
            <w:r>
              <w:rPr>
                <w:rFonts w:asciiTheme="minorHAnsi" w:hAnsiTheme="minorHAnsi" w:cstheme="minorHAnsi"/>
                <w:sz w:val="18"/>
                <w:szCs w:val="18"/>
              </w:rPr>
              <w:t>1</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52EFEF" w14:textId="271658B6" w:rsidR="00F213ED" w:rsidRPr="00894D83" w:rsidRDefault="00F213ED" w:rsidP="00457D46">
            <w:pPr>
              <w:pStyle w:val="TableStyle1A"/>
              <w:spacing w:after="0" w:line="240" w:lineRule="auto"/>
              <w:rPr>
                <w:b w:val="0"/>
                <w:bCs w:val="0"/>
                <w:sz w:val="18"/>
                <w:szCs w:val="18"/>
                <w:lang w:val="en-GB"/>
              </w:rPr>
            </w:pPr>
            <w:r w:rsidRPr="00894D83">
              <w:rPr>
                <w:b w:val="0"/>
                <w:bCs w:val="0"/>
                <w:sz w:val="18"/>
                <w:szCs w:val="18"/>
                <w:lang w:val="en-GB"/>
              </w:rPr>
              <w:t>DQWG webpage</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CB71E7" w14:textId="29C03569" w:rsidR="00F213ED" w:rsidRPr="00894D83" w:rsidRDefault="005C6208" w:rsidP="00F249B8">
            <w:pPr>
              <w:pStyle w:val="TableStyle1A"/>
              <w:spacing w:after="0" w:line="240" w:lineRule="auto"/>
              <w:rPr>
                <w:b w:val="0"/>
                <w:sz w:val="18"/>
                <w:szCs w:val="18"/>
                <w:lang w:val="en-GB"/>
              </w:rPr>
            </w:pPr>
            <w:r>
              <w:rPr>
                <w:b w:val="0"/>
                <w:sz w:val="18"/>
                <w:szCs w:val="18"/>
                <w:lang w:val="en-GB"/>
              </w:rPr>
              <w:t xml:space="preserve">Update webpage for Reference Documents and Miscellaneous (DQWG16/01 </w:t>
            </w:r>
            <w:r w:rsidRPr="005C6208">
              <w:rPr>
                <w:sz w:val="18"/>
                <w:szCs w:val="18"/>
                <w:lang w:val="en-GB"/>
              </w:rPr>
              <w:t xml:space="preserve">IHO </w:t>
            </w:r>
            <w:proofErr w:type="spellStart"/>
            <w:r w:rsidRPr="005C6208">
              <w:rPr>
                <w:sz w:val="18"/>
                <w:szCs w:val="18"/>
                <w:lang w:val="en-GB"/>
              </w:rPr>
              <w:t>Secr</w:t>
            </w:r>
            <w:proofErr w:type="spellEnd"/>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DD68BC" w14:textId="350A0A59" w:rsidR="00F213ED" w:rsidRPr="00894D83" w:rsidRDefault="005C6208" w:rsidP="00564869">
            <w:pPr>
              <w:pStyle w:val="TableStyle1A"/>
              <w:spacing w:after="0" w:line="240" w:lineRule="auto"/>
              <w:jc w:val="center"/>
              <w:rPr>
                <w:b w:val="0"/>
                <w:bCs w:val="0"/>
                <w:sz w:val="18"/>
                <w:szCs w:val="18"/>
                <w:lang w:val="en-GB"/>
              </w:rPr>
            </w:pPr>
            <w:r>
              <w:rPr>
                <w:b w:val="0"/>
                <w:bCs w:val="0"/>
                <w:sz w:val="18"/>
                <w:szCs w:val="18"/>
                <w:lang w:val="en-GB"/>
              </w:rPr>
              <w:t>Feb 2021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07C884" w14:textId="46E42DAB" w:rsidR="00F213ED" w:rsidRPr="00894D83" w:rsidRDefault="005C6208" w:rsidP="00564869">
            <w:pPr>
              <w:pStyle w:val="TableStyle1A"/>
              <w:spacing w:after="0" w:line="240" w:lineRule="auto"/>
              <w:jc w:val="center"/>
              <w:rPr>
                <w:b w:val="0"/>
                <w:bCs w:val="0"/>
                <w:sz w:val="18"/>
                <w:szCs w:val="18"/>
                <w:lang w:val="en-GB"/>
              </w:rPr>
            </w:pPr>
            <w:r>
              <w:rPr>
                <w:b w:val="0"/>
                <w:bCs w:val="0"/>
                <w:sz w:val="18"/>
                <w:szCs w:val="18"/>
                <w:lang w:val="en-GB"/>
              </w:rPr>
              <w:t>Completed</w:t>
            </w:r>
          </w:p>
        </w:tc>
      </w:tr>
      <w:tr w:rsidR="000A368C" w:rsidRPr="00894D83" w14:paraId="01AB3BB2"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630218" w14:textId="05898730" w:rsidR="000A368C" w:rsidRDefault="000A368C"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541CF9" w14:textId="26B0B689" w:rsidR="000A368C" w:rsidRPr="00894D83" w:rsidRDefault="001B50B0" w:rsidP="00457D46">
            <w:pPr>
              <w:pStyle w:val="TableStyle1A"/>
              <w:spacing w:after="0" w:line="240" w:lineRule="auto"/>
              <w:rPr>
                <w:b w:val="0"/>
                <w:bCs w:val="0"/>
                <w:sz w:val="18"/>
                <w:szCs w:val="18"/>
                <w:lang w:val="en-GB"/>
              </w:rPr>
            </w:pPr>
            <w:r>
              <w:rPr>
                <w:b w:val="0"/>
                <w:bCs w:val="0"/>
                <w:sz w:val="18"/>
                <w:szCs w:val="18"/>
                <w:lang w:val="en-GB"/>
              </w:rPr>
              <w:t>DQWG15 items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E85686" w14:textId="46599A03" w:rsidR="000A368C" w:rsidRPr="00894D83" w:rsidRDefault="000A368C" w:rsidP="00A13714">
            <w:pPr>
              <w:pStyle w:val="TableStyle1A"/>
              <w:spacing w:after="0" w:line="240" w:lineRule="auto"/>
              <w:rPr>
                <w:b w:val="0"/>
                <w:sz w:val="18"/>
                <w:szCs w:val="18"/>
                <w:lang w:val="en-GB"/>
              </w:rPr>
            </w:pPr>
            <w:r w:rsidRPr="000A368C">
              <w:rPr>
                <w:b w:val="0"/>
                <w:sz w:val="18"/>
                <w:szCs w:val="18"/>
                <w:lang w:val="en-GB"/>
              </w:rPr>
              <w:t xml:space="preserve">Check the model components across S-1xx for </w:t>
            </w:r>
            <w:proofErr w:type="spellStart"/>
            <w:r w:rsidRPr="000A368C">
              <w:rPr>
                <w:b w:val="0"/>
                <w:sz w:val="18"/>
                <w:szCs w:val="18"/>
                <w:lang w:val="en-GB"/>
              </w:rPr>
              <w:t>timeUncertainty</w:t>
            </w:r>
            <w:proofErr w:type="spellEnd"/>
            <w:r w:rsidRPr="000A368C">
              <w:rPr>
                <w:b w:val="0"/>
                <w:sz w:val="18"/>
                <w:szCs w:val="18"/>
                <w:lang w:val="en-GB"/>
              </w:rPr>
              <w:t xml:space="preserve"> as introduced by TWCWG.</w:t>
            </w:r>
            <w:r>
              <w:rPr>
                <w:b w:val="0"/>
                <w:sz w:val="18"/>
                <w:szCs w:val="18"/>
                <w:lang w:val="en-GB"/>
              </w:rPr>
              <w:t xml:space="preserve"> (DQWG15/04 </w:t>
            </w:r>
            <w:r w:rsidRPr="000A368C">
              <w:rPr>
                <w:sz w:val="18"/>
                <w:szCs w:val="18"/>
                <w:lang w:val="en-GB"/>
              </w:rPr>
              <w:t>Chair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4C12E6" w14:textId="52B927C9" w:rsidR="000A368C" w:rsidRPr="00894D83" w:rsidRDefault="000A368C" w:rsidP="00564869">
            <w:pPr>
              <w:pStyle w:val="TableStyle1A"/>
              <w:spacing w:after="0" w:line="240" w:lineRule="auto"/>
              <w:jc w:val="center"/>
              <w:rPr>
                <w:b w:val="0"/>
                <w:sz w:val="18"/>
                <w:szCs w:val="18"/>
                <w:lang w:val="en-GB"/>
              </w:rPr>
            </w:pPr>
            <w:r>
              <w:rPr>
                <w:b w:val="0"/>
                <w:sz w:val="18"/>
                <w:szCs w:val="18"/>
                <w:lang w:val="en-GB"/>
              </w:rPr>
              <w:t>Review S-104, S-111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7DA838" w14:textId="377DC1A0" w:rsidR="000A368C" w:rsidRPr="00894D83" w:rsidRDefault="000A368C" w:rsidP="00564869">
            <w:pPr>
              <w:pStyle w:val="TableStyle1A"/>
              <w:spacing w:after="0" w:line="240" w:lineRule="auto"/>
              <w:jc w:val="center"/>
              <w:rPr>
                <w:b w:val="0"/>
                <w:sz w:val="18"/>
                <w:szCs w:val="18"/>
                <w:lang w:val="en-GB"/>
              </w:rPr>
            </w:pPr>
            <w:r>
              <w:rPr>
                <w:b w:val="0"/>
                <w:sz w:val="18"/>
                <w:szCs w:val="18"/>
                <w:lang w:val="en-GB"/>
              </w:rPr>
              <w:t>Planned</w:t>
            </w:r>
          </w:p>
        </w:tc>
      </w:tr>
      <w:tr w:rsidR="000A368C" w:rsidRPr="00894D83" w14:paraId="588A1D03"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D990FB" w14:textId="70F09A56" w:rsidR="00612AC5" w:rsidRPr="00894D83" w:rsidRDefault="00B512BC"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9BB3FD" w14:textId="7BE8599F" w:rsidR="00612AC5" w:rsidRPr="00894D83" w:rsidRDefault="00517352" w:rsidP="00457D46">
            <w:pPr>
              <w:pStyle w:val="TableStyle1A"/>
              <w:spacing w:after="0" w:line="240" w:lineRule="auto"/>
              <w:rPr>
                <w:b w:val="0"/>
                <w:bCs w:val="0"/>
                <w:sz w:val="18"/>
                <w:szCs w:val="18"/>
                <w:lang w:val="en-GB"/>
              </w:rPr>
            </w:pPr>
            <w:r>
              <w:rPr>
                <w:b w:val="0"/>
                <w:bCs w:val="0"/>
                <w:sz w:val="18"/>
                <w:szCs w:val="18"/>
                <w:lang w:val="en-GB"/>
              </w:rPr>
              <w:t>DQWG15 item</w:t>
            </w:r>
            <w:r w:rsidR="001B50B0">
              <w:rPr>
                <w:b w:val="0"/>
                <w:bCs w:val="0"/>
                <w:sz w:val="18"/>
                <w:szCs w:val="18"/>
                <w:lang w:val="en-GB"/>
              </w:rPr>
              <w:t>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54FAB4" w14:textId="4799BCA7" w:rsidR="00612AC5" w:rsidRPr="00894D83" w:rsidRDefault="00A13714" w:rsidP="00A13714">
            <w:pPr>
              <w:pStyle w:val="TableStyle1A"/>
              <w:spacing w:after="0" w:line="240" w:lineRule="auto"/>
              <w:rPr>
                <w:b w:val="0"/>
                <w:sz w:val="18"/>
                <w:szCs w:val="18"/>
                <w:lang w:val="en-GB"/>
              </w:rPr>
            </w:pPr>
            <w:r w:rsidRPr="00894D83">
              <w:rPr>
                <w:b w:val="0"/>
                <w:sz w:val="18"/>
                <w:szCs w:val="18"/>
                <w:lang w:val="en-GB"/>
              </w:rPr>
              <w:t>Develop software to translate Feature Catalogue into excel format</w:t>
            </w:r>
            <w:r w:rsidR="00564869" w:rsidRPr="00894D83">
              <w:rPr>
                <w:b w:val="0"/>
                <w:sz w:val="18"/>
                <w:szCs w:val="18"/>
                <w:lang w:val="en-GB"/>
              </w:rPr>
              <w:t>. (</w:t>
            </w:r>
            <w:r w:rsidR="001B50B0">
              <w:rPr>
                <w:b w:val="0"/>
                <w:sz w:val="18"/>
                <w:szCs w:val="18"/>
                <w:lang w:val="en-GB"/>
              </w:rPr>
              <w:t xml:space="preserve">DQWG15/08 </w:t>
            </w:r>
            <w:r w:rsidR="001B50B0" w:rsidRPr="001B50B0">
              <w:rPr>
                <w:sz w:val="18"/>
                <w:szCs w:val="18"/>
                <w:lang w:val="en-GB"/>
              </w:rPr>
              <w:t xml:space="preserve">US </w:t>
            </w:r>
            <w:r w:rsidR="00B512BC">
              <w:rPr>
                <w:sz w:val="18"/>
                <w:szCs w:val="18"/>
                <w:lang w:val="en-GB"/>
              </w:rPr>
              <w:t>NOAA/NGA</w:t>
            </w:r>
            <w:r w:rsidR="00564869"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22A6BB" w14:textId="25F37C62" w:rsidR="00612AC5" w:rsidRPr="00894D83" w:rsidRDefault="00632A4B" w:rsidP="00564869">
            <w:pPr>
              <w:pStyle w:val="TableStyle1A"/>
              <w:spacing w:after="0" w:line="240" w:lineRule="auto"/>
              <w:jc w:val="center"/>
              <w:rPr>
                <w:b w:val="0"/>
                <w:sz w:val="18"/>
                <w:szCs w:val="18"/>
                <w:lang w:val="en-GB"/>
              </w:rPr>
            </w:pPr>
            <w:r>
              <w:rPr>
                <w:b w:val="0"/>
                <w:sz w:val="18"/>
                <w:szCs w:val="18"/>
                <w:lang w:val="en-GB"/>
              </w:rPr>
              <w:t>12</w:t>
            </w:r>
            <w:r w:rsidR="00A13714" w:rsidRPr="00894D83">
              <w:rPr>
                <w:b w:val="0"/>
                <w:sz w:val="18"/>
                <w:szCs w:val="18"/>
                <w:lang w:val="en-GB"/>
              </w:rPr>
              <w:t xml:space="preserve"> May</w:t>
            </w:r>
            <w:r w:rsidR="00B512BC">
              <w:rPr>
                <w:b w:val="0"/>
                <w:sz w:val="18"/>
                <w:szCs w:val="18"/>
                <w:lang w:val="en-GB"/>
              </w:rPr>
              <w:t xml:space="preserve"> 2021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631785" w14:textId="27F6DE4C" w:rsidR="00612AC5" w:rsidRPr="00894D83" w:rsidRDefault="00632A4B" w:rsidP="00564869">
            <w:pPr>
              <w:pStyle w:val="TableStyle1A"/>
              <w:spacing w:after="0" w:line="240" w:lineRule="auto"/>
              <w:jc w:val="center"/>
              <w:rPr>
                <w:b w:val="0"/>
                <w:sz w:val="18"/>
                <w:szCs w:val="18"/>
                <w:lang w:val="en-GB"/>
              </w:rPr>
            </w:pPr>
            <w:r>
              <w:rPr>
                <w:b w:val="0"/>
                <w:sz w:val="18"/>
                <w:szCs w:val="18"/>
                <w:lang w:val="en-GB"/>
              </w:rPr>
              <w:t>Completed</w:t>
            </w:r>
          </w:p>
        </w:tc>
      </w:tr>
      <w:tr w:rsidR="000A368C" w:rsidRPr="00894D83" w14:paraId="45036A7D"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87D1CF" w14:textId="150502CE" w:rsidR="00F000FB" w:rsidRPr="00894D83" w:rsidRDefault="001B50B0"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88C440" w14:textId="2171E3E6" w:rsidR="00F000FB" w:rsidRPr="00894D83" w:rsidRDefault="001B50B0" w:rsidP="00457D46">
            <w:pPr>
              <w:pStyle w:val="TableStyle1A"/>
              <w:spacing w:after="0" w:line="240" w:lineRule="auto"/>
              <w:rPr>
                <w:b w:val="0"/>
                <w:bCs w:val="0"/>
                <w:sz w:val="18"/>
                <w:szCs w:val="18"/>
                <w:lang w:val="en-GB"/>
              </w:rPr>
            </w:pPr>
            <w:r>
              <w:rPr>
                <w:b w:val="0"/>
                <w:bCs w:val="0"/>
                <w:sz w:val="18"/>
                <w:szCs w:val="18"/>
                <w:lang w:val="en-GB"/>
              </w:rPr>
              <w:t>DQWG15 items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DD7AC1" w14:textId="7C8F076E" w:rsidR="00F000FB" w:rsidRPr="00894D83" w:rsidRDefault="00474A70" w:rsidP="00474A70">
            <w:pPr>
              <w:pStyle w:val="TableStyle1A"/>
              <w:spacing w:after="0" w:line="240" w:lineRule="auto"/>
              <w:rPr>
                <w:b w:val="0"/>
                <w:sz w:val="18"/>
                <w:szCs w:val="18"/>
                <w:lang w:val="en-GB"/>
              </w:rPr>
            </w:pPr>
            <w:r w:rsidRPr="00894D83">
              <w:rPr>
                <w:b w:val="0"/>
                <w:sz w:val="18"/>
                <w:szCs w:val="18"/>
                <w:lang w:val="en-GB"/>
              </w:rPr>
              <w:t>Update S-100 part 4c with ISO-19157</w:t>
            </w:r>
            <w:r w:rsidR="003017C4" w:rsidRPr="00894D83">
              <w:rPr>
                <w:b w:val="0"/>
                <w:sz w:val="18"/>
                <w:szCs w:val="18"/>
                <w:lang w:val="en-GB"/>
              </w:rPr>
              <w:t>.</w:t>
            </w:r>
            <w:r w:rsidR="00F000FB" w:rsidRPr="00894D83">
              <w:rPr>
                <w:b w:val="0"/>
                <w:sz w:val="18"/>
                <w:szCs w:val="18"/>
                <w:lang w:val="en-GB"/>
              </w:rPr>
              <w:t xml:space="preserve"> (</w:t>
            </w:r>
            <w:r w:rsidR="001B50B0">
              <w:rPr>
                <w:b w:val="0"/>
                <w:sz w:val="18"/>
                <w:szCs w:val="18"/>
                <w:lang w:val="en-GB"/>
              </w:rPr>
              <w:t>DQWG</w:t>
            </w:r>
            <w:r w:rsidRPr="001B50B0">
              <w:rPr>
                <w:b w:val="0"/>
                <w:sz w:val="18"/>
                <w:szCs w:val="18"/>
                <w:lang w:val="en-GB"/>
              </w:rPr>
              <w:t>15/09</w:t>
            </w:r>
            <w:r w:rsidRPr="00894D83">
              <w:rPr>
                <w:sz w:val="18"/>
                <w:szCs w:val="18"/>
                <w:lang w:val="en-GB"/>
              </w:rPr>
              <w:t xml:space="preserve"> - Chair</w:t>
            </w:r>
            <w:r w:rsidR="00F000FB"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BB1E19" w14:textId="7256BF3D" w:rsidR="00F000FB" w:rsidRPr="00894D83" w:rsidRDefault="001B50B0" w:rsidP="00474A70">
            <w:pPr>
              <w:pStyle w:val="TableStyle1A"/>
              <w:spacing w:after="0" w:line="240" w:lineRule="auto"/>
              <w:jc w:val="center"/>
              <w:rPr>
                <w:b w:val="0"/>
                <w:sz w:val="18"/>
                <w:szCs w:val="18"/>
                <w:lang w:val="en-GB"/>
              </w:rPr>
            </w:pPr>
            <w:r>
              <w:rPr>
                <w:b w:val="0"/>
                <w:sz w:val="18"/>
                <w:szCs w:val="18"/>
                <w:lang w:val="en-GB"/>
              </w:rPr>
              <w:t>TBD</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7E72B6" w14:textId="77777777" w:rsidR="00F000FB" w:rsidRPr="00894D83" w:rsidRDefault="00F000FB" w:rsidP="00564869">
            <w:pPr>
              <w:pStyle w:val="TableStyle1A"/>
              <w:spacing w:after="0" w:line="240" w:lineRule="auto"/>
              <w:jc w:val="center"/>
              <w:rPr>
                <w:b w:val="0"/>
                <w:sz w:val="18"/>
                <w:szCs w:val="18"/>
                <w:lang w:val="en-GB"/>
              </w:rPr>
            </w:pPr>
            <w:r w:rsidRPr="00894D83">
              <w:rPr>
                <w:b w:val="0"/>
                <w:sz w:val="18"/>
                <w:szCs w:val="18"/>
                <w:lang w:val="en-GB"/>
              </w:rPr>
              <w:t>Planned</w:t>
            </w:r>
          </w:p>
        </w:tc>
      </w:tr>
      <w:tr w:rsidR="000A368C" w:rsidRPr="00894D83" w14:paraId="7D1935B0" w14:textId="77777777" w:rsidTr="00C214E5">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D622A8" w14:textId="42E1213A" w:rsidR="00FE06C1" w:rsidRPr="00894D83" w:rsidRDefault="001B50B0"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FC5854" w14:textId="3361F301" w:rsidR="00FE06C1" w:rsidRPr="00894D83" w:rsidRDefault="001B50B0" w:rsidP="00E92A97">
            <w:pPr>
              <w:pStyle w:val="TableStyle1A"/>
              <w:spacing w:after="0" w:line="240" w:lineRule="auto"/>
              <w:rPr>
                <w:b w:val="0"/>
                <w:bCs w:val="0"/>
                <w:sz w:val="18"/>
                <w:szCs w:val="18"/>
                <w:lang w:val="en-GB"/>
              </w:rPr>
            </w:pPr>
            <w:r>
              <w:rPr>
                <w:b w:val="0"/>
                <w:bCs w:val="0"/>
                <w:sz w:val="18"/>
                <w:szCs w:val="18"/>
                <w:lang w:val="en-GB"/>
              </w:rPr>
              <w:t>DQWG15 item</w:t>
            </w:r>
            <w:r w:rsidR="00AA12B2">
              <w:rPr>
                <w:b w:val="0"/>
                <w:bCs w:val="0"/>
                <w:sz w:val="18"/>
                <w:szCs w:val="18"/>
                <w:lang w:val="en-GB"/>
              </w:rPr>
              <w:t>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D56B6E" w14:textId="4AA0B55E" w:rsidR="00FE06C1" w:rsidRPr="00894D83" w:rsidRDefault="00F249B8" w:rsidP="00FE06C1">
            <w:pPr>
              <w:pStyle w:val="TableStyle1A"/>
              <w:spacing w:after="0" w:line="240" w:lineRule="auto"/>
              <w:rPr>
                <w:b w:val="0"/>
                <w:sz w:val="18"/>
                <w:szCs w:val="18"/>
                <w:lang w:val="en-GB"/>
              </w:rPr>
            </w:pPr>
            <w:r w:rsidRPr="00894D83">
              <w:rPr>
                <w:b w:val="0"/>
                <w:sz w:val="18"/>
                <w:szCs w:val="18"/>
                <w:lang w:val="en-GB"/>
              </w:rPr>
              <w:t>Monitor and report inconsistencies between S-67 and INT-1 section V (</w:t>
            </w:r>
            <w:r w:rsidR="007A3E19">
              <w:rPr>
                <w:b w:val="0"/>
                <w:sz w:val="18"/>
                <w:szCs w:val="18"/>
                <w:lang w:val="en-GB"/>
              </w:rPr>
              <w:t>DQWG</w:t>
            </w:r>
            <w:r w:rsidR="004A52D5" w:rsidRPr="007A3E19">
              <w:rPr>
                <w:b w:val="0"/>
                <w:sz w:val="18"/>
                <w:szCs w:val="18"/>
                <w:lang w:val="en-GB"/>
              </w:rPr>
              <w:t>15/14</w:t>
            </w:r>
            <w:r w:rsidRPr="00894D83">
              <w:rPr>
                <w:sz w:val="18"/>
                <w:szCs w:val="18"/>
                <w:lang w:val="en-GB"/>
              </w:rPr>
              <w:t xml:space="preserve"> – UK</w:t>
            </w:r>
            <w:r w:rsidR="00B65A5A">
              <w:rPr>
                <w:sz w:val="18"/>
                <w:szCs w:val="18"/>
                <w:lang w:val="en-GB"/>
              </w:rPr>
              <w:t>/</w:t>
            </w:r>
            <w:r w:rsidR="006414E6" w:rsidRPr="00894D83">
              <w:rPr>
                <w:sz w:val="18"/>
                <w:szCs w:val="18"/>
                <w:lang w:val="en-GB"/>
              </w:rPr>
              <w:t>Chair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87176D" w14:textId="1ADB3F8A" w:rsidR="00FE06C1" w:rsidRPr="00894D83" w:rsidRDefault="001B50B0" w:rsidP="00564869">
            <w:pPr>
              <w:pStyle w:val="TableStyle1A"/>
              <w:spacing w:after="0" w:line="240" w:lineRule="auto"/>
              <w:jc w:val="center"/>
              <w:rPr>
                <w:b w:val="0"/>
                <w:sz w:val="18"/>
                <w:szCs w:val="18"/>
                <w:lang w:val="en-GB"/>
              </w:rPr>
            </w:pPr>
            <w:r>
              <w:rPr>
                <w:b w:val="0"/>
                <w:sz w:val="18"/>
                <w:szCs w:val="18"/>
                <w:lang w:val="en-GB"/>
              </w:rPr>
              <w:t>None</w:t>
            </w:r>
          </w:p>
        </w:tc>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2E9AA0D7" w14:textId="6B75C84E" w:rsidR="00FE06C1" w:rsidRPr="00894D83" w:rsidRDefault="001B50B0" w:rsidP="00564869">
            <w:pPr>
              <w:pStyle w:val="TableStyle1A"/>
              <w:spacing w:after="0" w:line="240" w:lineRule="auto"/>
              <w:jc w:val="center"/>
              <w:rPr>
                <w:b w:val="0"/>
                <w:sz w:val="18"/>
                <w:szCs w:val="18"/>
                <w:lang w:val="en-GB"/>
              </w:rPr>
            </w:pPr>
            <w:r>
              <w:rPr>
                <w:b w:val="0"/>
                <w:sz w:val="18"/>
                <w:szCs w:val="18"/>
                <w:lang w:val="en-GB"/>
              </w:rPr>
              <w:t>Permanent</w:t>
            </w:r>
          </w:p>
        </w:tc>
      </w:tr>
      <w:tr w:rsidR="00AA12B2" w:rsidRPr="00894D83" w14:paraId="7C3F3A9D" w14:textId="77777777" w:rsidTr="00C214E5">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9AA25D" w14:textId="799C5FEF" w:rsidR="00AA12B2" w:rsidRDefault="00AA12B2"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3856D" w14:textId="22DF9193" w:rsidR="00AA12B2" w:rsidRDefault="00AA12B2" w:rsidP="00E92A97">
            <w:pPr>
              <w:pStyle w:val="TableStyle1A"/>
              <w:spacing w:after="0" w:line="240" w:lineRule="auto"/>
              <w:rPr>
                <w:b w:val="0"/>
                <w:bCs w:val="0"/>
                <w:sz w:val="18"/>
                <w:szCs w:val="18"/>
                <w:lang w:val="en-GB"/>
              </w:rPr>
            </w:pPr>
            <w:r>
              <w:rPr>
                <w:b w:val="0"/>
                <w:bCs w:val="0"/>
                <w:sz w:val="18"/>
                <w:szCs w:val="18"/>
                <w:lang w:val="en-GB"/>
              </w:rPr>
              <w:t>S-101PT report</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3296EB" w14:textId="1CB93947" w:rsidR="00AA12B2" w:rsidRPr="00894D83" w:rsidRDefault="00AA12B2" w:rsidP="00FE06C1">
            <w:pPr>
              <w:pStyle w:val="TableStyle1A"/>
              <w:spacing w:after="0" w:line="240" w:lineRule="auto"/>
              <w:rPr>
                <w:b w:val="0"/>
                <w:sz w:val="18"/>
                <w:szCs w:val="18"/>
                <w:lang w:val="en-GB"/>
              </w:rPr>
            </w:pPr>
            <w:r w:rsidRPr="00AA12B2">
              <w:rPr>
                <w:b w:val="0"/>
                <w:sz w:val="18"/>
                <w:szCs w:val="18"/>
                <w:lang w:val="en-GB"/>
              </w:rPr>
              <w:t>Timeframe between S-101PT and DQWG to be harmonized</w:t>
            </w:r>
            <w:r>
              <w:rPr>
                <w:b w:val="0"/>
                <w:sz w:val="18"/>
                <w:szCs w:val="18"/>
                <w:lang w:val="en-GB"/>
              </w:rPr>
              <w:t xml:space="preserve"> (DQWG16/02 – </w:t>
            </w:r>
            <w:r w:rsidRPr="00F6357A">
              <w:rPr>
                <w:sz w:val="18"/>
                <w:szCs w:val="18"/>
                <w:lang w:val="en-GB"/>
              </w:rPr>
              <w:t>Chair/S101PT Chair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D47390" w14:textId="0E208DB6" w:rsidR="00AA12B2" w:rsidRDefault="00632A4B" w:rsidP="00564869">
            <w:pPr>
              <w:pStyle w:val="TableStyle1A"/>
              <w:spacing w:after="0" w:line="240" w:lineRule="auto"/>
              <w:jc w:val="center"/>
              <w:rPr>
                <w:b w:val="0"/>
                <w:sz w:val="18"/>
                <w:szCs w:val="18"/>
                <w:lang w:val="en-GB"/>
              </w:rPr>
            </w:pPr>
            <w:r>
              <w:rPr>
                <w:b w:val="0"/>
                <w:sz w:val="18"/>
                <w:szCs w:val="18"/>
                <w:lang w:val="en-GB"/>
              </w:rPr>
              <w:t>HSSC13</w:t>
            </w:r>
          </w:p>
        </w:tc>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27622C03" w14:textId="4A4549A3" w:rsidR="00AA12B2" w:rsidRDefault="00AA12B2" w:rsidP="00564869">
            <w:pPr>
              <w:pStyle w:val="TableStyle1A"/>
              <w:spacing w:after="0" w:line="240" w:lineRule="auto"/>
              <w:jc w:val="center"/>
              <w:rPr>
                <w:b w:val="0"/>
                <w:sz w:val="18"/>
                <w:szCs w:val="18"/>
                <w:lang w:val="en-GB"/>
              </w:rPr>
            </w:pPr>
            <w:r>
              <w:rPr>
                <w:b w:val="0"/>
                <w:sz w:val="18"/>
                <w:szCs w:val="18"/>
                <w:lang w:val="en-GB"/>
              </w:rPr>
              <w:t>Permanent</w:t>
            </w:r>
          </w:p>
        </w:tc>
      </w:tr>
      <w:tr w:rsidR="001D3D85" w:rsidRPr="00894D83" w14:paraId="6519B119" w14:textId="77777777" w:rsidTr="00686AC0">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A8A65E" w14:textId="4EA63FFE" w:rsidR="001D3D85" w:rsidRDefault="001D3D85" w:rsidP="00457D46">
            <w:pPr>
              <w:rPr>
                <w:rFonts w:asciiTheme="minorHAnsi" w:hAnsiTheme="minorHAnsi" w:cstheme="minorHAnsi"/>
                <w:sz w:val="18"/>
                <w:szCs w:val="18"/>
              </w:rPr>
            </w:pPr>
            <w:r>
              <w:rPr>
                <w:rFonts w:asciiTheme="minorHAnsi" w:hAnsiTheme="minorHAnsi" w:cstheme="minorHAnsi"/>
                <w:sz w:val="18"/>
                <w:szCs w:val="18"/>
              </w:rPr>
              <w:t>2</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03092B" w14:textId="5B89E754" w:rsidR="001D3D85" w:rsidRDefault="001D3D85" w:rsidP="00E92A97">
            <w:pPr>
              <w:pStyle w:val="TableStyle1A"/>
              <w:spacing w:after="0" w:line="240" w:lineRule="auto"/>
              <w:rPr>
                <w:b w:val="0"/>
                <w:bCs w:val="0"/>
                <w:sz w:val="18"/>
                <w:szCs w:val="18"/>
                <w:lang w:val="en-GB"/>
              </w:rPr>
            </w:pPr>
            <w:r>
              <w:rPr>
                <w:b w:val="0"/>
                <w:bCs w:val="0"/>
                <w:sz w:val="18"/>
                <w:szCs w:val="18"/>
                <w:lang w:val="en-GB"/>
              </w:rPr>
              <w:t>CSBWG</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835FC3" w14:textId="7C176784" w:rsidR="001D3D85" w:rsidRPr="00AA12B2" w:rsidRDefault="001D3D85" w:rsidP="00FE06C1">
            <w:pPr>
              <w:pStyle w:val="TableStyle1A"/>
              <w:spacing w:after="0" w:line="240" w:lineRule="auto"/>
              <w:rPr>
                <w:b w:val="0"/>
                <w:sz w:val="18"/>
                <w:szCs w:val="18"/>
                <w:lang w:val="en-GB"/>
              </w:rPr>
            </w:pPr>
            <w:r>
              <w:rPr>
                <w:b w:val="0"/>
                <w:sz w:val="18"/>
                <w:szCs w:val="18"/>
                <w:lang w:val="en-GB"/>
              </w:rPr>
              <w:t xml:space="preserve">Support the CSBWG with a white paper for HO’s (ref HSSC13/15). (DQWG16/03 – </w:t>
            </w:r>
            <w:r w:rsidRPr="001D3D85">
              <w:rPr>
                <w:sz w:val="18"/>
                <w:szCs w:val="18"/>
                <w:lang w:val="en-GB"/>
              </w:rPr>
              <w:t>Chair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FD649B" w14:textId="1C8BBEBC" w:rsidR="001D3D85" w:rsidRDefault="00686AC0" w:rsidP="00564869">
            <w:pPr>
              <w:pStyle w:val="TableStyle1A"/>
              <w:spacing w:after="0" w:line="240" w:lineRule="auto"/>
              <w:jc w:val="center"/>
              <w:rPr>
                <w:b w:val="0"/>
                <w:sz w:val="18"/>
                <w:szCs w:val="18"/>
                <w:lang w:val="en-GB"/>
              </w:rPr>
            </w:pPr>
            <w:r>
              <w:rPr>
                <w:b w:val="0"/>
                <w:sz w:val="18"/>
                <w:szCs w:val="18"/>
                <w:lang w:val="en-GB"/>
              </w:rPr>
              <w:t>DQWG17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093A99" w14:textId="4823AEDA" w:rsidR="001D3D85" w:rsidRDefault="00686AC0" w:rsidP="00686AC0">
            <w:pPr>
              <w:pStyle w:val="TableStyle1A"/>
              <w:shd w:val="clear" w:color="auto" w:fill="FFFFFF" w:themeFill="background1"/>
              <w:spacing w:after="0" w:line="240" w:lineRule="auto"/>
              <w:jc w:val="center"/>
              <w:rPr>
                <w:b w:val="0"/>
                <w:sz w:val="18"/>
                <w:szCs w:val="18"/>
                <w:lang w:val="en-GB"/>
              </w:rPr>
            </w:pPr>
            <w:r>
              <w:rPr>
                <w:b w:val="0"/>
                <w:sz w:val="18"/>
                <w:szCs w:val="18"/>
                <w:lang w:val="en-GB"/>
              </w:rPr>
              <w:t>Planned</w:t>
            </w:r>
          </w:p>
        </w:tc>
      </w:tr>
      <w:tr w:rsidR="006A6DDB" w:rsidRPr="00894D83" w14:paraId="41DF13CE"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D515CA" w14:textId="7A38855C" w:rsidR="006A6DDB" w:rsidRDefault="006A6DDB" w:rsidP="00457D46">
            <w:pPr>
              <w:rPr>
                <w:rFonts w:asciiTheme="minorHAnsi" w:hAnsiTheme="minorHAnsi" w:cstheme="minorHAnsi"/>
                <w:sz w:val="18"/>
                <w:szCs w:val="18"/>
              </w:rPr>
            </w:pPr>
            <w:r>
              <w:rPr>
                <w:rFonts w:asciiTheme="minorHAnsi" w:hAnsiTheme="minorHAnsi" w:cstheme="minorHAnsi"/>
                <w:sz w:val="18"/>
                <w:szCs w:val="18"/>
              </w:rPr>
              <w:t>4</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B1BF52" w14:textId="0AC3B946" w:rsidR="006A6DDB" w:rsidRDefault="006A6DDB" w:rsidP="00E92A97">
            <w:pPr>
              <w:pStyle w:val="TableStyle1A"/>
              <w:spacing w:after="0" w:line="240" w:lineRule="auto"/>
              <w:rPr>
                <w:b w:val="0"/>
                <w:bCs w:val="0"/>
                <w:sz w:val="18"/>
                <w:szCs w:val="18"/>
                <w:lang w:val="en-GB"/>
              </w:rPr>
            </w:pPr>
            <w:r>
              <w:rPr>
                <w:b w:val="0"/>
                <w:bCs w:val="0"/>
                <w:sz w:val="18"/>
                <w:szCs w:val="18"/>
                <w:lang w:val="en-GB"/>
              </w:rPr>
              <w:t>Review S-1xx PS for DQ elements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059DEF" w14:textId="348250C4" w:rsidR="006A6DDB" w:rsidRPr="00AA12B2" w:rsidRDefault="00F6357A" w:rsidP="00504807">
            <w:pPr>
              <w:pStyle w:val="TableStyle1A"/>
              <w:spacing w:after="0" w:line="240" w:lineRule="auto"/>
              <w:rPr>
                <w:b w:val="0"/>
                <w:sz w:val="18"/>
                <w:szCs w:val="18"/>
                <w:lang w:val="en-GB"/>
              </w:rPr>
            </w:pPr>
            <w:proofErr w:type="gramStart"/>
            <w:r>
              <w:rPr>
                <w:b w:val="0"/>
                <w:sz w:val="18"/>
                <w:szCs w:val="18"/>
                <w:lang w:val="en-GB"/>
              </w:rPr>
              <w:t>subWG</w:t>
            </w:r>
            <w:proofErr w:type="gramEnd"/>
            <w:r w:rsidR="006A6DDB">
              <w:rPr>
                <w:b w:val="0"/>
                <w:sz w:val="18"/>
                <w:szCs w:val="18"/>
                <w:lang w:val="en-GB"/>
              </w:rPr>
              <w:t xml:space="preserve"> to review published S-1xx PS for DQ recommendations</w:t>
            </w:r>
            <w:r>
              <w:rPr>
                <w:b w:val="0"/>
                <w:sz w:val="18"/>
                <w:szCs w:val="18"/>
                <w:lang w:val="en-GB"/>
              </w:rPr>
              <w:t>. (DQWG16/0</w:t>
            </w:r>
            <w:r w:rsidR="00504807">
              <w:rPr>
                <w:b w:val="0"/>
                <w:sz w:val="18"/>
                <w:szCs w:val="18"/>
                <w:lang w:val="en-GB"/>
              </w:rPr>
              <w:t>4</w:t>
            </w:r>
            <w:r>
              <w:rPr>
                <w:b w:val="0"/>
                <w:sz w:val="18"/>
                <w:szCs w:val="18"/>
                <w:lang w:val="en-GB"/>
              </w:rPr>
              <w:t xml:space="preserve">, </w:t>
            </w:r>
            <w:r>
              <w:rPr>
                <w:sz w:val="18"/>
                <w:szCs w:val="18"/>
                <w:lang w:val="en-GB"/>
              </w:rPr>
              <w:t>NL/SE/UNH</w:t>
            </w:r>
            <w:r w:rsidR="00C1418B">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8897F0" w14:textId="19FD1488" w:rsidR="006A6DDB" w:rsidRDefault="006A6DDB" w:rsidP="00564869">
            <w:pPr>
              <w:pStyle w:val="TableStyle1A"/>
              <w:spacing w:after="0" w:line="240" w:lineRule="auto"/>
              <w:jc w:val="center"/>
              <w:rPr>
                <w:b w:val="0"/>
                <w:sz w:val="18"/>
                <w:szCs w:val="18"/>
                <w:lang w:val="en-GB"/>
              </w:rPr>
            </w:pPr>
            <w:r>
              <w:rPr>
                <w:b w:val="0"/>
                <w:sz w:val="18"/>
                <w:szCs w:val="18"/>
                <w:lang w:val="en-GB"/>
              </w:rPr>
              <w:t>DQWG17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39C249" w14:textId="291AE7DC" w:rsidR="006A6DDB" w:rsidRDefault="006A6DDB" w:rsidP="00564869">
            <w:pPr>
              <w:pStyle w:val="TableStyle1A"/>
              <w:spacing w:after="0" w:line="240" w:lineRule="auto"/>
              <w:jc w:val="center"/>
              <w:rPr>
                <w:b w:val="0"/>
                <w:sz w:val="18"/>
                <w:szCs w:val="18"/>
                <w:lang w:val="en-GB"/>
              </w:rPr>
            </w:pPr>
            <w:r>
              <w:rPr>
                <w:b w:val="0"/>
                <w:sz w:val="18"/>
                <w:szCs w:val="18"/>
                <w:lang w:val="en-GB"/>
              </w:rPr>
              <w:t>Planned</w:t>
            </w:r>
          </w:p>
        </w:tc>
      </w:tr>
      <w:tr w:rsidR="001C13F0" w:rsidRPr="00894D83" w14:paraId="0E1750D6"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E85A06" w14:textId="6A7FEAD6" w:rsidR="001C13F0" w:rsidRDefault="001C13F0" w:rsidP="00457D46">
            <w:pPr>
              <w:rPr>
                <w:rFonts w:asciiTheme="minorHAnsi" w:hAnsiTheme="minorHAnsi" w:cstheme="minorHAnsi"/>
                <w:sz w:val="18"/>
                <w:szCs w:val="18"/>
              </w:rPr>
            </w:pPr>
            <w:r>
              <w:rPr>
                <w:rFonts w:asciiTheme="minorHAnsi" w:hAnsiTheme="minorHAnsi" w:cstheme="minorHAnsi"/>
                <w:sz w:val="18"/>
                <w:szCs w:val="18"/>
              </w:rPr>
              <w:t>6</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D28D72" w14:textId="778B793D" w:rsidR="001C13F0" w:rsidRDefault="001C13F0" w:rsidP="00E92A97">
            <w:pPr>
              <w:pStyle w:val="TableStyle1A"/>
              <w:spacing w:after="0" w:line="240" w:lineRule="auto"/>
              <w:rPr>
                <w:b w:val="0"/>
                <w:bCs w:val="0"/>
                <w:sz w:val="18"/>
                <w:szCs w:val="18"/>
                <w:lang w:val="en-GB"/>
              </w:rPr>
            </w:pPr>
            <w:r>
              <w:rPr>
                <w:b w:val="0"/>
                <w:bCs w:val="0"/>
                <w:sz w:val="18"/>
                <w:szCs w:val="18"/>
                <w:lang w:val="en-GB"/>
              </w:rPr>
              <w:t>Review S-1xx Feature Catalogues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890C27" w14:textId="08D9289E" w:rsidR="001C13F0" w:rsidRDefault="001C13F0" w:rsidP="00504807">
            <w:pPr>
              <w:pStyle w:val="TableStyle1A"/>
              <w:spacing w:after="0" w:line="240" w:lineRule="auto"/>
              <w:rPr>
                <w:b w:val="0"/>
                <w:sz w:val="18"/>
                <w:szCs w:val="18"/>
                <w:lang w:val="en-GB"/>
              </w:rPr>
            </w:pPr>
            <w:r>
              <w:rPr>
                <w:b w:val="0"/>
                <w:sz w:val="18"/>
                <w:szCs w:val="18"/>
                <w:lang w:val="en-GB"/>
              </w:rPr>
              <w:t>Review of S-1xx Feature Catalogues against S-101 Feature Catalogue Ed.1.1.0</w:t>
            </w:r>
            <w:r w:rsidR="00F6357A">
              <w:rPr>
                <w:b w:val="0"/>
                <w:sz w:val="18"/>
                <w:szCs w:val="18"/>
                <w:lang w:val="en-GB"/>
              </w:rPr>
              <w:t xml:space="preserve"> (DQWG16/0</w:t>
            </w:r>
            <w:r w:rsidR="00504807">
              <w:rPr>
                <w:b w:val="0"/>
                <w:sz w:val="18"/>
                <w:szCs w:val="18"/>
                <w:lang w:val="en-GB"/>
              </w:rPr>
              <w:t>5</w:t>
            </w:r>
            <w:r w:rsidR="00F6357A">
              <w:rPr>
                <w:b w:val="0"/>
                <w:sz w:val="18"/>
                <w:szCs w:val="18"/>
                <w:lang w:val="en-GB"/>
              </w:rPr>
              <w:t xml:space="preserve">, </w:t>
            </w:r>
            <w:r w:rsidR="00F6357A" w:rsidRPr="00F6357A">
              <w:rPr>
                <w:sz w:val="18"/>
                <w:szCs w:val="18"/>
                <w:lang w:val="en-GB"/>
              </w:rPr>
              <w:t>TBD</w:t>
            </w:r>
            <w:r w:rsidR="00C1418B">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A427C9" w14:textId="1D080BBD" w:rsidR="001C13F0" w:rsidRDefault="001C13F0" w:rsidP="00564869">
            <w:pPr>
              <w:pStyle w:val="TableStyle1A"/>
              <w:spacing w:after="0" w:line="240" w:lineRule="auto"/>
              <w:jc w:val="center"/>
              <w:rPr>
                <w:b w:val="0"/>
                <w:sz w:val="18"/>
                <w:szCs w:val="18"/>
                <w:lang w:val="en-GB"/>
              </w:rPr>
            </w:pPr>
            <w:r>
              <w:rPr>
                <w:b w:val="0"/>
                <w:sz w:val="18"/>
                <w:szCs w:val="18"/>
                <w:lang w:val="en-GB"/>
              </w:rPr>
              <w:t>S-101 Ed.1.1.0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9707EA" w14:textId="527CE44C" w:rsidR="001C13F0" w:rsidRDefault="001C13F0" w:rsidP="00564869">
            <w:pPr>
              <w:pStyle w:val="TableStyle1A"/>
              <w:spacing w:after="0" w:line="240" w:lineRule="auto"/>
              <w:jc w:val="center"/>
              <w:rPr>
                <w:b w:val="0"/>
                <w:sz w:val="18"/>
                <w:szCs w:val="18"/>
                <w:lang w:val="en-GB"/>
              </w:rPr>
            </w:pPr>
            <w:r>
              <w:rPr>
                <w:b w:val="0"/>
                <w:sz w:val="18"/>
                <w:szCs w:val="18"/>
                <w:lang w:val="en-GB"/>
              </w:rPr>
              <w:t>Planned</w:t>
            </w:r>
          </w:p>
        </w:tc>
      </w:tr>
      <w:tr w:rsidR="00C1418B" w:rsidRPr="00894D83" w14:paraId="565433FD"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603C79" w14:textId="4CC0C8D5" w:rsidR="00C1418B" w:rsidRDefault="00C1418B" w:rsidP="00457D46">
            <w:pPr>
              <w:rPr>
                <w:rFonts w:asciiTheme="minorHAnsi" w:hAnsiTheme="minorHAnsi" w:cstheme="minorHAnsi"/>
                <w:sz w:val="18"/>
                <w:szCs w:val="18"/>
              </w:rPr>
            </w:pPr>
            <w:r>
              <w:rPr>
                <w:rFonts w:asciiTheme="minorHAnsi" w:hAnsiTheme="minorHAnsi" w:cstheme="minorHAnsi"/>
                <w:sz w:val="18"/>
                <w:szCs w:val="18"/>
              </w:rPr>
              <w:t>6</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FCD2BD" w14:textId="13E96B8F" w:rsidR="00C1418B" w:rsidRDefault="00C1418B" w:rsidP="00E92A97">
            <w:pPr>
              <w:pStyle w:val="TableStyle1A"/>
              <w:spacing w:after="0" w:line="240" w:lineRule="auto"/>
              <w:rPr>
                <w:b w:val="0"/>
                <w:bCs w:val="0"/>
                <w:sz w:val="18"/>
                <w:szCs w:val="18"/>
                <w:lang w:val="en-GB"/>
              </w:rPr>
            </w:pPr>
            <w:r>
              <w:rPr>
                <w:b w:val="0"/>
                <w:bCs w:val="0"/>
                <w:sz w:val="18"/>
                <w:szCs w:val="18"/>
                <w:lang w:val="en-GB"/>
              </w:rPr>
              <w:t>Guidance from survey to CATZOC</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2D5BE5" w14:textId="5AD76B47" w:rsidR="00C1418B" w:rsidRDefault="00C1418B" w:rsidP="00504807">
            <w:pPr>
              <w:pStyle w:val="TableStyle1A"/>
              <w:spacing w:after="0" w:line="240" w:lineRule="auto"/>
              <w:rPr>
                <w:b w:val="0"/>
                <w:sz w:val="18"/>
                <w:szCs w:val="18"/>
                <w:lang w:val="en-GB"/>
              </w:rPr>
            </w:pPr>
            <w:r>
              <w:rPr>
                <w:b w:val="0"/>
                <w:sz w:val="18"/>
                <w:szCs w:val="18"/>
                <w:lang w:val="en-GB"/>
              </w:rPr>
              <w:t>Draft a guidance document from survey to CATZOC with general recommendations and best practices. (</w:t>
            </w:r>
            <w:r w:rsidR="00CE03E0">
              <w:rPr>
                <w:b w:val="0"/>
                <w:sz w:val="18"/>
                <w:szCs w:val="18"/>
                <w:lang w:val="en-GB"/>
              </w:rPr>
              <w:t>DQWG16/0</w:t>
            </w:r>
            <w:r w:rsidR="00504807">
              <w:rPr>
                <w:b w:val="0"/>
                <w:sz w:val="18"/>
                <w:szCs w:val="18"/>
                <w:lang w:val="en-GB"/>
              </w:rPr>
              <w:t>6</w:t>
            </w:r>
            <w:r w:rsidR="00F6357A">
              <w:rPr>
                <w:b w:val="0"/>
                <w:sz w:val="18"/>
                <w:szCs w:val="18"/>
                <w:lang w:val="en-GB"/>
              </w:rPr>
              <w:t>,</w:t>
            </w:r>
            <w:r w:rsidRPr="00CE03E0">
              <w:rPr>
                <w:sz w:val="18"/>
                <w:szCs w:val="18"/>
                <w:lang w:val="en-GB"/>
              </w:rPr>
              <w:t>CA, DK, FR, NL, UK, US, CSMART, UNH</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2B6C15" w14:textId="4435C8CC" w:rsidR="00C1418B" w:rsidRDefault="00C1418B" w:rsidP="00564869">
            <w:pPr>
              <w:pStyle w:val="TableStyle1A"/>
              <w:spacing w:after="0" w:line="240" w:lineRule="auto"/>
              <w:jc w:val="center"/>
              <w:rPr>
                <w:b w:val="0"/>
                <w:sz w:val="18"/>
                <w:szCs w:val="18"/>
                <w:lang w:val="en-GB"/>
              </w:rPr>
            </w:pPr>
            <w:r>
              <w:rPr>
                <w:b w:val="0"/>
                <w:sz w:val="18"/>
                <w:szCs w:val="18"/>
                <w:lang w:val="en-GB"/>
              </w:rPr>
              <w:t>DQWG17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1DE4043" w14:textId="77FB6B26" w:rsidR="00C1418B" w:rsidRDefault="00C1418B" w:rsidP="00564869">
            <w:pPr>
              <w:pStyle w:val="TableStyle1A"/>
              <w:spacing w:after="0" w:line="240" w:lineRule="auto"/>
              <w:jc w:val="center"/>
              <w:rPr>
                <w:b w:val="0"/>
                <w:sz w:val="18"/>
                <w:szCs w:val="18"/>
                <w:lang w:val="en-GB"/>
              </w:rPr>
            </w:pPr>
            <w:r>
              <w:rPr>
                <w:b w:val="0"/>
                <w:sz w:val="18"/>
                <w:szCs w:val="18"/>
                <w:lang w:val="en-GB"/>
              </w:rPr>
              <w:t>Planned</w:t>
            </w:r>
          </w:p>
        </w:tc>
      </w:tr>
      <w:tr w:rsidR="00521510" w:rsidRPr="00894D83" w14:paraId="0871B757"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A9D712" w14:textId="6838034C" w:rsidR="00521510" w:rsidRDefault="00521510" w:rsidP="00457D46">
            <w:pPr>
              <w:rPr>
                <w:rFonts w:asciiTheme="minorHAnsi" w:hAnsiTheme="minorHAnsi" w:cstheme="minorHAnsi"/>
                <w:sz w:val="18"/>
                <w:szCs w:val="18"/>
              </w:rPr>
            </w:pPr>
            <w:r>
              <w:rPr>
                <w:rFonts w:asciiTheme="minorHAnsi" w:hAnsiTheme="minorHAnsi" w:cstheme="minorHAnsi"/>
                <w:sz w:val="18"/>
                <w:szCs w:val="18"/>
              </w:rPr>
              <w:t>6</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ACB16C" w14:textId="3FF7F9CD" w:rsidR="00521510" w:rsidRDefault="00521510" w:rsidP="00E92A97">
            <w:pPr>
              <w:pStyle w:val="TableStyle1A"/>
              <w:spacing w:after="0" w:line="240" w:lineRule="auto"/>
              <w:rPr>
                <w:b w:val="0"/>
                <w:bCs w:val="0"/>
                <w:sz w:val="18"/>
                <w:szCs w:val="18"/>
                <w:lang w:val="en-GB"/>
              </w:rPr>
            </w:pPr>
            <w:r>
              <w:rPr>
                <w:b w:val="0"/>
                <w:bCs w:val="0"/>
                <w:sz w:val="18"/>
                <w:szCs w:val="18"/>
                <w:lang w:val="en-GB"/>
              </w:rPr>
              <w:t>Investigate CATZOC/Usage Bands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1F3496" w14:textId="603BA4DC" w:rsidR="00521510" w:rsidRDefault="00521510" w:rsidP="00504807">
            <w:pPr>
              <w:pStyle w:val="TableStyle1A"/>
              <w:spacing w:after="0" w:line="240" w:lineRule="auto"/>
              <w:rPr>
                <w:b w:val="0"/>
                <w:sz w:val="18"/>
                <w:szCs w:val="18"/>
                <w:lang w:val="en-GB"/>
              </w:rPr>
            </w:pPr>
            <w:r>
              <w:rPr>
                <w:b w:val="0"/>
                <w:sz w:val="18"/>
                <w:szCs w:val="18"/>
                <w:lang w:val="en-GB"/>
              </w:rPr>
              <w:t>Investigate how CATZOC is related to Usage Bands (</w:t>
            </w:r>
            <w:r w:rsidR="00F6357A">
              <w:rPr>
                <w:b w:val="0"/>
                <w:sz w:val="18"/>
                <w:szCs w:val="18"/>
                <w:lang w:val="en-GB"/>
              </w:rPr>
              <w:t>DQWG16/0</w:t>
            </w:r>
            <w:r w:rsidR="00504807">
              <w:rPr>
                <w:b w:val="0"/>
                <w:sz w:val="18"/>
                <w:szCs w:val="18"/>
                <w:lang w:val="en-GB"/>
              </w:rPr>
              <w:t>7</w:t>
            </w:r>
            <w:r w:rsidR="00F6357A">
              <w:rPr>
                <w:b w:val="0"/>
                <w:sz w:val="18"/>
                <w:szCs w:val="18"/>
                <w:lang w:val="en-GB"/>
              </w:rPr>
              <w:t>,</w:t>
            </w:r>
            <w:r w:rsidR="00E41A6F">
              <w:rPr>
                <w:b w:val="0"/>
                <w:sz w:val="18"/>
                <w:szCs w:val="18"/>
                <w:lang w:val="en-GB"/>
              </w:rPr>
              <w:t xml:space="preserve"> </w:t>
            </w:r>
            <w:r w:rsidRPr="00363871">
              <w:rPr>
                <w:sz w:val="18"/>
                <w:szCs w:val="18"/>
                <w:lang w:val="en-GB"/>
              </w:rPr>
              <w:t>PRIMAR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310262" w14:textId="78C56A63" w:rsidR="00521510" w:rsidRDefault="00521510" w:rsidP="00564869">
            <w:pPr>
              <w:pStyle w:val="TableStyle1A"/>
              <w:spacing w:after="0" w:line="240" w:lineRule="auto"/>
              <w:jc w:val="center"/>
              <w:rPr>
                <w:b w:val="0"/>
                <w:sz w:val="18"/>
                <w:szCs w:val="18"/>
                <w:lang w:val="en-GB"/>
              </w:rPr>
            </w:pPr>
            <w:r>
              <w:rPr>
                <w:b w:val="0"/>
                <w:sz w:val="18"/>
                <w:szCs w:val="18"/>
                <w:lang w:val="en-GB"/>
              </w:rPr>
              <w:t>DQWG17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3543AB" w14:textId="16864465" w:rsidR="00521510" w:rsidRDefault="00521510" w:rsidP="00564869">
            <w:pPr>
              <w:pStyle w:val="TableStyle1A"/>
              <w:spacing w:after="0" w:line="240" w:lineRule="auto"/>
              <w:jc w:val="center"/>
              <w:rPr>
                <w:b w:val="0"/>
                <w:sz w:val="18"/>
                <w:szCs w:val="18"/>
                <w:lang w:val="en-GB"/>
              </w:rPr>
            </w:pPr>
            <w:r>
              <w:rPr>
                <w:b w:val="0"/>
                <w:sz w:val="18"/>
                <w:szCs w:val="18"/>
                <w:lang w:val="en-GB"/>
              </w:rPr>
              <w:t>Planned</w:t>
            </w:r>
          </w:p>
        </w:tc>
      </w:tr>
      <w:tr w:rsidR="00013CDB" w:rsidRPr="00894D83" w14:paraId="288AD070"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A1BA10" w14:textId="57833D18" w:rsidR="00013CDB" w:rsidRDefault="00E41A6F" w:rsidP="00457D46">
            <w:pPr>
              <w:rPr>
                <w:rFonts w:asciiTheme="minorHAnsi" w:hAnsiTheme="minorHAnsi" w:cstheme="minorHAnsi"/>
                <w:sz w:val="18"/>
                <w:szCs w:val="18"/>
              </w:rPr>
            </w:pPr>
            <w:r>
              <w:rPr>
                <w:rFonts w:asciiTheme="minorHAnsi" w:hAnsiTheme="minorHAnsi" w:cstheme="minorHAnsi"/>
                <w:sz w:val="18"/>
                <w:szCs w:val="18"/>
              </w:rPr>
              <w:t>7</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6BB9FA" w14:textId="2DB24216" w:rsidR="00013CDB" w:rsidRDefault="00E41A6F" w:rsidP="00E92A97">
            <w:pPr>
              <w:pStyle w:val="TableStyle1A"/>
              <w:spacing w:after="0" w:line="240" w:lineRule="auto"/>
              <w:rPr>
                <w:b w:val="0"/>
                <w:bCs w:val="0"/>
                <w:sz w:val="18"/>
                <w:szCs w:val="18"/>
                <w:lang w:val="en-GB"/>
              </w:rPr>
            </w:pPr>
            <w:r>
              <w:rPr>
                <w:b w:val="0"/>
                <w:bCs w:val="0"/>
                <w:sz w:val="18"/>
                <w:szCs w:val="18"/>
                <w:lang w:val="en-GB"/>
              </w:rPr>
              <w:t>Translation of S-67</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CA6E34" w14:textId="4D848878" w:rsidR="00013CDB" w:rsidRDefault="00E41A6F" w:rsidP="00504807">
            <w:pPr>
              <w:pStyle w:val="TableStyle1A"/>
              <w:spacing w:after="0" w:line="240" w:lineRule="auto"/>
              <w:rPr>
                <w:b w:val="0"/>
                <w:sz w:val="18"/>
                <w:szCs w:val="18"/>
                <w:lang w:val="en-GB"/>
              </w:rPr>
            </w:pPr>
            <w:r>
              <w:rPr>
                <w:b w:val="0"/>
                <w:sz w:val="18"/>
                <w:szCs w:val="18"/>
                <w:lang w:val="en-GB"/>
              </w:rPr>
              <w:t xml:space="preserve">Translation into </w:t>
            </w:r>
            <w:r w:rsidR="00DC7836">
              <w:rPr>
                <w:b w:val="0"/>
                <w:sz w:val="18"/>
                <w:szCs w:val="18"/>
                <w:lang w:val="en-GB"/>
              </w:rPr>
              <w:t xml:space="preserve">French, </w:t>
            </w:r>
            <w:r>
              <w:rPr>
                <w:b w:val="0"/>
                <w:sz w:val="18"/>
                <w:szCs w:val="18"/>
                <w:lang w:val="en-GB"/>
              </w:rPr>
              <w:t>Chinese (DQWG16/0</w:t>
            </w:r>
            <w:r w:rsidR="00504807">
              <w:rPr>
                <w:b w:val="0"/>
                <w:sz w:val="18"/>
                <w:szCs w:val="18"/>
                <w:lang w:val="en-GB"/>
              </w:rPr>
              <w:t>8</w:t>
            </w:r>
            <w:r>
              <w:rPr>
                <w:b w:val="0"/>
                <w:sz w:val="18"/>
                <w:szCs w:val="18"/>
                <w:lang w:val="en-GB"/>
              </w:rPr>
              <w:t xml:space="preserve">, </w:t>
            </w:r>
            <w:r w:rsidR="00641069" w:rsidRPr="00641069">
              <w:rPr>
                <w:sz w:val="18"/>
                <w:szCs w:val="18"/>
                <w:lang w:val="en-GB"/>
              </w:rPr>
              <w:t>France</w:t>
            </w:r>
            <w:r w:rsidR="00641069">
              <w:rPr>
                <w:b w:val="0"/>
                <w:sz w:val="18"/>
                <w:szCs w:val="18"/>
                <w:lang w:val="en-GB"/>
              </w:rPr>
              <w:t xml:space="preserve">, </w:t>
            </w:r>
            <w:r w:rsidRPr="00E41A6F">
              <w:rPr>
                <w:sz w:val="18"/>
                <w:szCs w:val="18"/>
                <w:lang w:val="en-GB"/>
              </w:rPr>
              <w:t>China</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F2BE8C" w14:textId="5997395A" w:rsidR="00013CDB" w:rsidRDefault="000868E1" w:rsidP="00564869">
            <w:pPr>
              <w:pStyle w:val="TableStyle1A"/>
              <w:spacing w:after="0" w:line="240" w:lineRule="auto"/>
              <w:jc w:val="center"/>
              <w:rPr>
                <w:b w:val="0"/>
                <w:sz w:val="18"/>
                <w:szCs w:val="18"/>
                <w:lang w:val="en-GB"/>
              </w:rPr>
            </w:pPr>
            <w:r>
              <w:rPr>
                <w:b w:val="0"/>
                <w:sz w:val="18"/>
                <w:szCs w:val="18"/>
                <w:lang w:val="en-GB"/>
              </w:rPr>
              <w:t>HSSC13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4CBC9" w14:textId="3839C7DF" w:rsidR="00013CDB" w:rsidRDefault="000868E1" w:rsidP="00564869">
            <w:pPr>
              <w:pStyle w:val="TableStyle1A"/>
              <w:spacing w:after="0" w:line="240" w:lineRule="auto"/>
              <w:jc w:val="center"/>
              <w:rPr>
                <w:b w:val="0"/>
                <w:sz w:val="18"/>
                <w:szCs w:val="18"/>
                <w:lang w:val="en-GB"/>
              </w:rPr>
            </w:pPr>
            <w:r>
              <w:rPr>
                <w:b w:val="0"/>
                <w:sz w:val="18"/>
                <w:szCs w:val="18"/>
                <w:lang w:val="en-GB"/>
              </w:rPr>
              <w:t>Work in Progress</w:t>
            </w:r>
          </w:p>
        </w:tc>
      </w:tr>
      <w:tr w:rsidR="00E41A6F" w:rsidRPr="00894D83" w14:paraId="76F5CEC4" w14:textId="77777777" w:rsidTr="000A368C">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B6F327" w14:textId="3C5A600F" w:rsidR="00E41A6F" w:rsidRDefault="000868E1" w:rsidP="00457D46">
            <w:pPr>
              <w:rPr>
                <w:rFonts w:asciiTheme="minorHAnsi" w:hAnsiTheme="minorHAnsi" w:cstheme="minorHAnsi"/>
                <w:sz w:val="18"/>
                <w:szCs w:val="18"/>
              </w:rPr>
            </w:pPr>
            <w:r>
              <w:rPr>
                <w:rFonts w:asciiTheme="minorHAnsi" w:hAnsiTheme="minorHAnsi" w:cstheme="minorHAnsi"/>
                <w:sz w:val="18"/>
                <w:szCs w:val="18"/>
              </w:rPr>
              <w:t>10</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9AE5FA" w14:textId="529FF971" w:rsidR="00E41A6F" w:rsidRDefault="00E41A6F" w:rsidP="00E92A97">
            <w:pPr>
              <w:pStyle w:val="TableStyle1A"/>
              <w:spacing w:after="0" w:line="240" w:lineRule="auto"/>
              <w:rPr>
                <w:b w:val="0"/>
                <w:bCs w:val="0"/>
                <w:sz w:val="18"/>
                <w:szCs w:val="18"/>
                <w:lang w:val="en-GB"/>
              </w:rPr>
            </w:pPr>
            <w:r>
              <w:rPr>
                <w:b w:val="0"/>
                <w:bCs w:val="0"/>
                <w:sz w:val="18"/>
                <w:szCs w:val="18"/>
                <w:lang w:val="en-GB"/>
              </w:rPr>
              <w:t xml:space="preserve">Vertical </w:t>
            </w:r>
            <w:proofErr w:type="spellStart"/>
            <w:r>
              <w:rPr>
                <w:b w:val="0"/>
                <w:bCs w:val="0"/>
                <w:sz w:val="18"/>
                <w:szCs w:val="18"/>
                <w:lang w:val="en-GB"/>
              </w:rPr>
              <w:t>Datums</w:t>
            </w:r>
            <w:proofErr w:type="spellEnd"/>
            <w:r>
              <w:rPr>
                <w:b w:val="0"/>
                <w:bCs w:val="0"/>
                <w:sz w:val="18"/>
                <w:szCs w:val="18"/>
                <w:lang w:val="en-GB"/>
              </w:rPr>
              <w:t>/CRS</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757FC0" w14:textId="0CA64A01" w:rsidR="00E41A6F" w:rsidRDefault="00E41A6F" w:rsidP="00504807">
            <w:pPr>
              <w:pStyle w:val="TableStyle1A"/>
              <w:spacing w:after="0" w:line="240" w:lineRule="auto"/>
              <w:rPr>
                <w:b w:val="0"/>
                <w:sz w:val="18"/>
                <w:szCs w:val="18"/>
                <w:lang w:val="en-GB"/>
              </w:rPr>
            </w:pPr>
            <w:r>
              <w:rPr>
                <w:b w:val="0"/>
                <w:sz w:val="18"/>
                <w:szCs w:val="18"/>
                <w:lang w:val="en-GB"/>
              </w:rPr>
              <w:t>Monitor outcome of TSM8-6.5 (DQWG16/0</w:t>
            </w:r>
            <w:r w:rsidR="00504807">
              <w:rPr>
                <w:b w:val="0"/>
                <w:sz w:val="18"/>
                <w:szCs w:val="18"/>
                <w:lang w:val="en-GB"/>
              </w:rPr>
              <w:t>9</w:t>
            </w:r>
            <w:r>
              <w:rPr>
                <w:b w:val="0"/>
                <w:sz w:val="18"/>
                <w:szCs w:val="18"/>
                <w:lang w:val="en-GB"/>
              </w:rPr>
              <w:t xml:space="preserve">, </w:t>
            </w:r>
            <w:r w:rsidRPr="00E41A6F">
              <w:rPr>
                <w:sz w:val="18"/>
                <w:szCs w:val="18"/>
                <w:lang w:val="en-GB"/>
              </w:rPr>
              <w:t>NIWC/Chair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B2B55C" w14:textId="09987FEA" w:rsidR="00E41A6F" w:rsidRDefault="000868E1" w:rsidP="00564869">
            <w:pPr>
              <w:pStyle w:val="TableStyle1A"/>
              <w:spacing w:after="0" w:line="240" w:lineRule="auto"/>
              <w:jc w:val="center"/>
              <w:rPr>
                <w:b w:val="0"/>
                <w:sz w:val="18"/>
                <w:szCs w:val="18"/>
                <w:lang w:val="en-GB"/>
              </w:rPr>
            </w:pPr>
            <w:r>
              <w:rPr>
                <w:b w:val="0"/>
                <w:sz w:val="18"/>
                <w:szCs w:val="18"/>
                <w:lang w:val="en-GB"/>
              </w:rPr>
              <w:t>DQWG17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E4935A" w14:textId="4BE5CEEC" w:rsidR="00E41A6F" w:rsidRDefault="000868E1" w:rsidP="00564869">
            <w:pPr>
              <w:pStyle w:val="TableStyle1A"/>
              <w:spacing w:after="0" w:line="240" w:lineRule="auto"/>
              <w:jc w:val="center"/>
              <w:rPr>
                <w:b w:val="0"/>
                <w:sz w:val="18"/>
                <w:szCs w:val="18"/>
                <w:lang w:val="en-GB"/>
              </w:rPr>
            </w:pPr>
            <w:r>
              <w:rPr>
                <w:b w:val="0"/>
                <w:sz w:val="18"/>
                <w:szCs w:val="18"/>
                <w:lang w:val="en-GB"/>
              </w:rPr>
              <w:t>Planned</w:t>
            </w:r>
          </w:p>
        </w:tc>
      </w:tr>
      <w:tr w:rsidR="000868E1" w:rsidRPr="00894D83" w14:paraId="51F7E329" w14:textId="77777777" w:rsidTr="00641069">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C15456" w14:textId="05638899" w:rsidR="000868E1" w:rsidRDefault="000868E1" w:rsidP="00457D46">
            <w:pPr>
              <w:rPr>
                <w:rFonts w:asciiTheme="minorHAnsi" w:hAnsiTheme="minorHAnsi" w:cstheme="minorHAnsi"/>
                <w:sz w:val="18"/>
                <w:szCs w:val="18"/>
              </w:rPr>
            </w:pPr>
            <w:r>
              <w:rPr>
                <w:rFonts w:asciiTheme="minorHAnsi" w:hAnsiTheme="minorHAnsi" w:cstheme="minorHAnsi"/>
                <w:sz w:val="18"/>
                <w:szCs w:val="18"/>
              </w:rPr>
              <w:t>11</w:t>
            </w:r>
          </w:p>
        </w:tc>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CD26C7" w14:textId="48A25AD9" w:rsidR="000868E1" w:rsidRDefault="000868E1" w:rsidP="00E92A97">
            <w:pPr>
              <w:pStyle w:val="TableStyle1A"/>
              <w:spacing w:after="0" w:line="240" w:lineRule="auto"/>
              <w:rPr>
                <w:b w:val="0"/>
                <w:bCs w:val="0"/>
                <w:sz w:val="18"/>
                <w:szCs w:val="18"/>
                <w:lang w:val="en-GB"/>
              </w:rPr>
            </w:pPr>
            <w:r>
              <w:rPr>
                <w:b w:val="0"/>
                <w:bCs w:val="0"/>
                <w:sz w:val="18"/>
                <w:szCs w:val="18"/>
                <w:lang w:val="en-GB"/>
              </w:rPr>
              <w:t>Vice Chair vacancy</w:t>
            </w:r>
          </w:p>
        </w:tc>
        <w:tc>
          <w:tcPr>
            <w:tcW w:w="3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55A1B1" w14:textId="29626130" w:rsidR="000868E1" w:rsidRDefault="000868E1" w:rsidP="00EA0E54">
            <w:pPr>
              <w:pStyle w:val="TableStyle1A"/>
              <w:spacing w:after="0" w:line="240" w:lineRule="auto"/>
              <w:rPr>
                <w:b w:val="0"/>
                <w:sz w:val="18"/>
                <w:szCs w:val="18"/>
                <w:lang w:val="en-GB"/>
              </w:rPr>
            </w:pPr>
            <w:r>
              <w:rPr>
                <w:b w:val="0"/>
                <w:sz w:val="18"/>
                <w:szCs w:val="18"/>
                <w:lang w:val="en-GB"/>
              </w:rPr>
              <w:t xml:space="preserve">IHO Member States are requested to propose candidate </w:t>
            </w:r>
            <w:r w:rsidR="00EA0E54">
              <w:rPr>
                <w:b w:val="0"/>
                <w:sz w:val="18"/>
                <w:szCs w:val="18"/>
                <w:lang w:val="en-GB"/>
              </w:rPr>
              <w:t>to ensure</w:t>
            </w:r>
            <w:r w:rsidR="00504807">
              <w:rPr>
                <w:b w:val="0"/>
                <w:sz w:val="18"/>
                <w:szCs w:val="18"/>
                <w:lang w:val="en-GB"/>
              </w:rPr>
              <w:t xml:space="preserve"> continuity of the WG (DQWG16/10</w:t>
            </w:r>
            <w:r w:rsidRPr="000868E1">
              <w:rPr>
                <w:sz w:val="18"/>
                <w:szCs w:val="18"/>
                <w:lang w:val="en-GB"/>
              </w:rPr>
              <w:t>, IHO MS</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28F7D0" w14:textId="5AD79F83" w:rsidR="000868E1" w:rsidRDefault="000868E1" w:rsidP="00564869">
            <w:pPr>
              <w:pStyle w:val="TableStyle1A"/>
              <w:spacing w:after="0" w:line="240" w:lineRule="auto"/>
              <w:jc w:val="center"/>
              <w:rPr>
                <w:b w:val="0"/>
                <w:sz w:val="18"/>
                <w:szCs w:val="18"/>
                <w:lang w:val="en-GB"/>
              </w:rPr>
            </w:pPr>
            <w:r>
              <w:rPr>
                <w:b w:val="0"/>
                <w:sz w:val="18"/>
                <w:szCs w:val="18"/>
                <w:lang w:val="en-GB"/>
              </w:rPr>
              <w:t>HSSC13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B7D1C9" w14:textId="786B0C21" w:rsidR="000868E1" w:rsidRDefault="00641069" w:rsidP="00564869">
            <w:pPr>
              <w:pStyle w:val="TableStyle1A"/>
              <w:spacing w:after="0" w:line="240" w:lineRule="auto"/>
              <w:jc w:val="center"/>
              <w:rPr>
                <w:b w:val="0"/>
                <w:sz w:val="18"/>
                <w:szCs w:val="18"/>
                <w:lang w:val="en-GB"/>
              </w:rPr>
            </w:pPr>
            <w:r>
              <w:rPr>
                <w:b w:val="0"/>
                <w:sz w:val="18"/>
                <w:szCs w:val="18"/>
                <w:lang w:val="en-GB"/>
              </w:rPr>
              <w:t>Completed</w:t>
            </w:r>
          </w:p>
        </w:tc>
      </w:tr>
    </w:tbl>
    <w:p w14:paraId="477ABA6A" w14:textId="77777777" w:rsidR="00CE0494" w:rsidRPr="00894D83" w:rsidRDefault="00CE0494" w:rsidP="00A87BE7">
      <w:pPr>
        <w:pStyle w:val="BodyA"/>
        <w:widowControl w:val="0"/>
        <w:spacing w:line="240" w:lineRule="auto"/>
        <w:rPr>
          <w:lang w:val="en-GB"/>
        </w:rPr>
      </w:pPr>
    </w:p>
    <w:p w14:paraId="4A4E3F83" w14:textId="77777777" w:rsidR="00CE0494" w:rsidRPr="00894D83" w:rsidRDefault="00CE0494" w:rsidP="00A87BE7">
      <w:pPr>
        <w:pStyle w:val="BodyA"/>
        <w:jc w:val="center"/>
        <w:rPr>
          <w:b/>
          <w:bCs/>
          <w:sz w:val="28"/>
          <w:szCs w:val="28"/>
          <w:lang w:val="en-GB"/>
        </w:rPr>
      </w:pPr>
    </w:p>
    <w:p w14:paraId="2B4832FC" w14:textId="5D53B529" w:rsidR="00CE0494" w:rsidRPr="00894D83" w:rsidRDefault="00CE0494" w:rsidP="00416330">
      <w:pPr>
        <w:rPr>
          <w:b/>
          <w:bCs/>
          <w:sz w:val="28"/>
          <w:szCs w:val="28"/>
        </w:rPr>
      </w:pPr>
    </w:p>
    <w:p w14:paraId="6418DF66" w14:textId="77777777" w:rsidR="00CE0494" w:rsidRPr="00894D83" w:rsidRDefault="00CE0494" w:rsidP="00A87BE7">
      <w:pPr>
        <w:pStyle w:val="Body"/>
        <w:spacing w:after="0" w:line="240" w:lineRule="auto"/>
        <w:rPr>
          <w:rFonts w:ascii="Helvetica" w:eastAsia="Helvetica" w:hAnsi="Helvetica" w:cs="Helvetica"/>
          <w:b/>
          <w:bCs/>
          <w:sz w:val="28"/>
          <w:szCs w:val="28"/>
          <w:lang w:val="en-GB"/>
        </w:rPr>
      </w:pPr>
    </w:p>
    <w:p w14:paraId="293F4331" w14:textId="77777777" w:rsidR="00CE0494" w:rsidRPr="00894D83" w:rsidRDefault="00911AFD" w:rsidP="00A87BE7">
      <w:pPr>
        <w:pStyle w:val="BodyA"/>
        <w:jc w:val="center"/>
        <w:rPr>
          <w:b/>
          <w:bCs/>
          <w:sz w:val="28"/>
          <w:szCs w:val="28"/>
          <w:lang w:val="en-GB"/>
        </w:rPr>
      </w:pPr>
      <w:r w:rsidRPr="00894D83">
        <w:rPr>
          <w:b/>
          <w:bCs/>
          <w:sz w:val="28"/>
          <w:szCs w:val="28"/>
          <w:lang w:val="en-GB"/>
        </w:rPr>
        <w:t>ANNEX C – DQWG Work Plan</w:t>
      </w:r>
    </w:p>
    <w:p w14:paraId="03CA19EE" w14:textId="59D0F54B" w:rsidR="00CE0494" w:rsidRPr="00D547FA" w:rsidRDefault="00EA365F" w:rsidP="00A87BE7">
      <w:pPr>
        <w:pStyle w:val="BodyA"/>
        <w:rPr>
          <w:b/>
          <w:lang w:val="en-GB"/>
        </w:rPr>
      </w:pPr>
      <w:r>
        <w:rPr>
          <w:b/>
          <w:lang w:val="en-GB"/>
        </w:rPr>
        <w:t>DQWG WORK PLAN 2021-2022</w:t>
      </w:r>
    </w:p>
    <w:p w14:paraId="7B51605A" w14:textId="52B0F956" w:rsidR="00CE0494" w:rsidRPr="00497D64" w:rsidRDefault="00497D64" w:rsidP="00A87BE7">
      <w:pPr>
        <w:pStyle w:val="BodyA"/>
        <w:rPr>
          <w:rFonts w:ascii="Arial Narrow" w:hAnsi="Arial Narrow"/>
          <w:b/>
          <w:lang w:val="en-GB"/>
        </w:rPr>
      </w:pPr>
      <w:r w:rsidRPr="00497D64">
        <w:rPr>
          <w:rFonts w:ascii="Arial Narrow" w:hAnsi="Arial Narrow"/>
          <w:b/>
          <w:lang w:val="en-GB"/>
        </w:rPr>
        <w:t>Tasks</w:t>
      </w:r>
    </w:p>
    <w:p w14:paraId="5B8757C4" w14:textId="02EE1715"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Develop and maintain a data quality checklist for product specification developers;</w:t>
      </w:r>
    </w:p>
    <w:p w14:paraId="02F83B01" w14:textId="7332ACD6"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Periodically review S-100 based product specifications to ensure the data quality aspects have been taken into consideration if deemed necessary;</w:t>
      </w:r>
    </w:p>
    <w:p w14:paraId="7A1D7879" w14:textId="1E9A2D6E"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Monitor periodically developments of ISO and other international standards regarding data quality information, and advise accordingly;</w:t>
      </w:r>
    </w:p>
    <w:p w14:paraId="1BCD8B5D" w14:textId="4624EF55"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Provide guidance on data quality aspects to hydrographic offices, in particular to ensure harmonized implementation;</w:t>
      </w:r>
    </w:p>
    <w:p w14:paraId="11FE5F02" w14:textId="3A592C3A" w:rsidR="00497D64" w:rsidRDefault="00DD6C27" w:rsidP="00497D64">
      <w:pPr>
        <w:pStyle w:val="BodyA"/>
        <w:numPr>
          <w:ilvl w:val="0"/>
          <w:numId w:val="4"/>
        </w:numPr>
        <w:spacing w:after="0"/>
        <w:ind w:left="714" w:hanging="357"/>
        <w:rPr>
          <w:rFonts w:ascii="Arial Narrow" w:hAnsi="Arial Narrow"/>
          <w:lang w:val="en-GB"/>
        </w:rPr>
      </w:pPr>
      <w:r>
        <w:rPr>
          <w:rFonts w:ascii="Arial Narrow" w:hAnsi="Arial Narrow"/>
          <w:lang w:val="en-GB"/>
        </w:rPr>
        <w:t>Pro</w:t>
      </w:r>
      <w:r w:rsidR="00497D64">
        <w:rPr>
          <w:rFonts w:ascii="Arial Narrow" w:hAnsi="Arial Narrow"/>
          <w:lang w:val="en-GB"/>
        </w:rPr>
        <w:t>v</w:t>
      </w:r>
      <w:r>
        <w:rPr>
          <w:rFonts w:ascii="Arial Narrow" w:hAnsi="Arial Narrow"/>
          <w:lang w:val="en-GB"/>
        </w:rPr>
        <w:t>i</w:t>
      </w:r>
      <w:r w:rsidR="00497D64">
        <w:rPr>
          <w:rFonts w:ascii="Arial Narrow" w:hAnsi="Arial Narrow"/>
          <w:lang w:val="en-GB"/>
        </w:rPr>
        <w:t>de data quality educational material for the use of mariners;</w:t>
      </w:r>
    </w:p>
    <w:p w14:paraId="31A53C11" w14:textId="1BF5D172"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Review appropriate methodology for the display of quality information to product specification developers;</w:t>
      </w:r>
    </w:p>
    <w:p w14:paraId="4070C9AC" w14:textId="4814DDCD"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Propose new data quality topics for consideration by HSSC.</w:t>
      </w:r>
    </w:p>
    <w:p w14:paraId="03A3F0A7" w14:textId="77777777" w:rsidR="00427222" w:rsidRDefault="00427222" w:rsidP="00427222">
      <w:pPr>
        <w:rPr>
          <w:rFonts w:ascii="Arial Narrow" w:hAnsi="Arial Narrow"/>
          <w:b/>
        </w:rPr>
      </w:pPr>
    </w:p>
    <w:p w14:paraId="6C58D63D" w14:textId="5E97E11D" w:rsidR="00497D64" w:rsidRPr="00007DE7" w:rsidRDefault="00007DE7" w:rsidP="00427222">
      <w:pPr>
        <w:rPr>
          <w:rFonts w:ascii="Arial Narrow" w:hAnsi="Arial Narrow"/>
          <w:b/>
        </w:rPr>
      </w:pPr>
      <w:r w:rsidRPr="00007DE7">
        <w:rPr>
          <w:rFonts w:ascii="Arial Narrow" w:hAnsi="Arial Narrow"/>
          <w:b/>
        </w:rPr>
        <w:t>Work Items</w:t>
      </w:r>
    </w:p>
    <w:p w14:paraId="71E3C2B3" w14:textId="77777777" w:rsidR="00007DE7" w:rsidRDefault="00007DE7" w:rsidP="00497D64">
      <w:pPr>
        <w:pStyle w:val="BodyA"/>
        <w:spacing w:after="0"/>
        <w:rPr>
          <w:rFonts w:ascii="Arial Narrow" w:hAnsi="Arial Narrow"/>
          <w:lang w:val="en-GB"/>
        </w:rPr>
      </w:pPr>
    </w:p>
    <w:tbl>
      <w:tblPr>
        <w:tblStyle w:val="TableGrid"/>
        <w:tblW w:w="0" w:type="auto"/>
        <w:tblLook w:val="04A0" w:firstRow="1" w:lastRow="0" w:firstColumn="1" w:lastColumn="0" w:noHBand="0" w:noVBand="1"/>
      </w:tblPr>
      <w:tblGrid>
        <w:gridCol w:w="501"/>
        <w:gridCol w:w="2665"/>
        <w:gridCol w:w="774"/>
        <w:gridCol w:w="946"/>
        <w:gridCol w:w="508"/>
        <w:gridCol w:w="508"/>
        <w:gridCol w:w="1022"/>
        <w:gridCol w:w="669"/>
        <w:gridCol w:w="1060"/>
        <w:gridCol w:w="969"/>
      </w:tblGrid>
      <w:tr w:rsidR="00F2290D" w14:paraId="5D67AF53" w14:textId="77777777" w:rsidTr="003461CF">
        <w:tc>
          <w:tcPr>
            <w:tcW w:w="0" w:type="auto"/>
            <w:shd w:val="clear" w:color="auto" w:fill="D9D9D9" w:themeFill="background1" w:themeFillShade="D9"/>
          </w:tcPr>
          <w:p w14:paraId="14DD0D75" w14:textId="3726B098"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Task</w:t>
            </w:r>
          </w:p>
        </w:tc>
        <w:tc>
          <w:tcPr>
            <w:tcW w:w="0" w:type="auto"/>
            <w:shd w:val="clear" w:color="auto" w:fill="D9D9D9" w:themeFill="background1" w:themeFillShade="D9"/>
          </w:tcPr>
          <w:p w14:paraId="7F59EF48" w14:textId="437C295E"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Work Item</w:t>
            </w:r>
          </w:p>
        </w:tc>
        <w:tc>
          <w:tcPr>
            <w:tcW w:w="0" w:type="auto"/>
            <w:shd w:val="clear" w:color="auto" w:fill="D9D9D9" w:themeFill="background1" w:themeFillShade="D9"/>
          </w:tcPr>
          <w:p w14:paraId="0198A34E" w14:textId="77777777"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Priority</w:t>
            </w:r>
          </w:p>
          <w:p w14:paraId="5C1475FB" w14:textId="77777777"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H=High</w:t>
            </w:r>
          </w:p>
          <w:p w14:paraId="4B2621ED" w14:textId="77777777"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M= Medium</w:t>
            </w:r>
          </w:p>
          <w:p w14:paraId="383D9CAF" w14:textId="0CE0EDE0"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L=Low</w:t>
            </w:r>
          </w:p>
        </w:tc>
        <w:tc>
          <w:tcPr>
            <w:tcW w:w="0" w:type="auto"/>
            <w:shd w:val="clear" w:color="auto" w:fill="D9D9D9" w:themeFill="background1" w:themeFillShade="D9"/>
          </w:tcPr>
          <w:p w14:paraId="2EB0C569" w14:textId="64886071"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Milestones</w:t>
            </w:r>
          </w:p>
        </w:tc>
        <w:tc>
          <w:tcPr>
            <w:tcW w:w="0" w:type="auto"/>
            <w:shd w:val="clear" w:color="auto" w:fill="D9D9D9" w:themeFill="background1" w:themeFillShade="D9"/>
          </w:tcPr>
          <w:p w14:paraId="4D6A6CAC"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Start</w:t>
            </w:r>
          </w:p>
          <w:p w14:paraId="4E920CD5" w14:textId="53B66561"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Date</w:t>
            </w:r>
          </w:p>
        </w:tc>
        <w:tc>
          <w:tcPr>
            <w:tcW w:w="0" w:type="auto"/>
            <w:shd w:val="clear" w:color="auto" w:fill="D9D9D9" w:themeFill="background1" w:themeFillShade="D9"/>
          </w:tcPr>
          <w:p w14:paraId="23E281E3" w14:textId="77777777" w:rsidR="00151CD2"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End</w:t>
            </w:r>
          </w:p>
          <w:p w14:paraId="5403305A" w14:textId="09F4D282" w:rsidR="00151CD2"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Date</w:t>
            </w:r>
          </w:p>
        </w:tc>
        <w:tc>
          <w:tcPr>
            <w:tcW w:w="0" w:type="auto"/>
            <w:shd w:val="clear" w:color="auto" w:fill="D9D9D9" w:themeFill="background1" w:themeFillShade="D9"/>
          </w:tcPr>
          <w:p w14:paraId="41BD8658"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Status</w:t>
            </w:r>
          </w:p>
          <w:p w14:paraId="6FF40FE8" w14:textId="77777777"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P=planned</w:t>
            </w:r>
          </w:p>
          <w:p w14:paraId="38548624" w14:textId="77777777"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O=Ongoing</w:t>
            </w:r>
          </w:p>
          <w:p w14:paraId="1962D8E5" w14:textId="5125B684"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C=Completed</w:t>
            </w:r>
          </w:p>
        </w:tc>
        <w:tc>
          <w:tcPr>
            <w:tcW w:w="0" w:type="auto"/>
            <w:shd w:val="clear" w:color="auto" w:fill="D9D9D9" w:themeFill="background1" w:themeFillShade="D9"/>
          </w:tcPr>
          <w:p w14:paraId="38493432"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Contact</w:t>
            </w:r>
          </w:p>
          <w:p w14:paraId="002787C3" w14:textId="710C95EC"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Person</w:t>
            </w:r>
          </w:p>
        </w:tc>
        <w:tc>
          <w:tcPr>
            <w:tcW w:w="0" w:type="auto"/>
            <w:shd w:val="clear" w:color="auto" w:fill="D9D9D9" w:themeFill="background1" w:themeFillShade="D9"/>
          </w:tcPr>
          <w:p w14:paraId="39AFBA70"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Affected Pubs/</w:t>
            </w:r>
          </w:p>
          <w:p w14:paraId="078FEAA8" w14:textId="68BA4E10"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Standards</w:t>
            </w:r>
          </w:p>
        </w:tc>
        <w:tc>
          <w:tcPr>
            <w:tcW w:w="0" w:type="auto"/>
            <w:shd w:val="clear" w:color="auto" w:fill="D9D9D9" w:themeFill="background1" w:themeFillShade="D9"/>
          </w:tcPr>
          <w:p w14:paraId="3729E5F5" w14:textId="70ABC85F"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Remarks</w:t>
            </w:r>
          </w:p>
        </w:tc>
      </w:tr>
      <w:tr w:rsidR="00A13499" w14:paraId="139C658C" w14:textId="77777777" w:rsidTr="009E1146">
        <w:tc>
          <w:tcPr>
            <w:tcW w:w="0" w:type="auto"/>
            <w:vAlign w:val="center"/>
          </w:tcPr>
          <w:p w14:paraId="07E9D1F7" w14:textId="709834F9" w:rsidR="00497D64"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B.2</w:t>
            </w:r>
          </w:p>
        </w:tc>
        <w:tc>
          <w:tcPr>
            <w:tcW w:w="0" w:type="auto"/>
            <w:vAlign w:val="center"/>
          </w:tcPr>
          <w:p w14:paraId="3028A9AD" w14:textId="65CD0BE7"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Development of a minimum standard for Data Validation in S-1xx based products</w:t>
            </w:r>
            <w:r w:rsidR="00C829DA">
              <w:rPr>
                <w:rFonts w:ascii="Arial Narrow" w:hAnsi="Arial Narrow"/>
                <w:sz w:val="16"/>
                <w:szCs w:val="16"/>
                <w:lang w:val="en-GB"/>
              </w:rPr>
              <w:t>.</w:t>
            </w:r>
          </w:p>
        </w:tc>
        <w:tc>
          <w:tcPr>
            <w:tcW w:w="0" w:type="auto"/>
            <w:vAlign w:val="center"/>
          </w:tcPr>
          <w:p w14:paraId="23022D7D" w14:textId="4DBD6772" w:rsidR="00497D64" w:rsidRPr="00151CD2" w:rsidRDefault="00DD6C27"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M</w:t>
            </w:r>
          </w:p>
        </w:tc>
        <w:tc>
          <w:tcPr>
            <w:tcW w:w="0" w:type="auto"/>
            <w:vAlign w:val="center"/>
          </w:tcPr>
          <w:p w14:paraId="2597CD82" w14:textId="76B1EAF0"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Ed.2.0.0</w:t>
            </w:r>
          </w:p>
        </w:tc>
        <w:tc>
          <w:tcPr>
            <w:tcW w:w="0" w:type="auto"/>
            <w:vAlign w:val="center"/>
          </w:tcPr>
          <w:p w14:paraId="4BB3B770" w14:textId="2EC09461"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2018</w:t>
            </w:r>
          </w:p>
        </w:tc>
        <w:tc>
          <w:tcPr>
            <w:tcW w:w="0" w:type="auto"/>
            <w:vAlign w:val="center"/>
          </w:tcPr>
          <w:p w14:paraId="48911AE7" w14:textId="3B88BBF1" w:rsidR="00497D64" w:rsidRPr="00151CD2" w:rsidRDefault="00DD6C27"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2024</w:t>
            </w:r>
          </w:p>
        </w:tc>
        <w:tc>
          <w:tcPr>
            <w:tcW w:w="0" w:type="auto"/>
            <w:vAlign w:val="center"/>
          </w:tcPr>
          <w:p w14:paraId="01C1FA3F" w14:textId="61557643" w:rsidR="00497D64" w:rsidRPr="00151CD2" w:rsidRDefault="00DD6C27"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09A9ECB3" w14:textId="1FB2D03C"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56EA5024" w14:textId="02973CAF"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S-1xx</w:t>
            </w:r>
          </w:p>
        </w:tc>
        <w:tc>
          <w:tcPr>
            <w:tcW w:w="0" w:type="auto"/>
            <w:vAlign w:val="center"/>
          </w:tcPr>
          <w:p w14:paraId="76115FFD" w14:textId="5F2F395D" w:rsidR="00497D64" w:rsidRPr="00151CD2"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r w:rsidR="002A2784" w14:paraId="1AEFB873" w14:textId="77777777" w:rsidTr="009E1146">
        <w:tc>
          <w:tcPr>
            <w:tcW w:w="0" w:type="auto"/>
            <w:vAlign w:val="center"/>
          </w:tcPr>
          <w:p w14:paraId="763FB94E" w14:textId="6C8AA026" w:rsidR="002A2784" w:rsidRDefault="002A2784"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B.3</w:t>
            </w:r>
          </w:p>
        </w:tc>
        <w:tc>
          <w:tcPr>
            <w:tcW w:w="0" w:type="auto"/>
            <w:vAlign w:val="center"/>
          </w:tcPr>
          <w:p w14:paraId="05B4E5FE" w14:textId="0CA69BFF" w:rsidR="002A2784" w:rsidRDefault="002A2784"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Review S-1xx based PS (Ed.1.0.0 or higher)</w:t>
            </w:r>
          </w:p>
        </w:tc>
        <w:tc>
          <w:tcPr>
            <w:tcW w:w="0" w:type="auto"/>
            <w:vAlign w:val="center"/>
          </w:tcPr>
          <w:p w14:paraId="07E7F01B" w14:textId="7E65C92E" w:rsidR="002A2784" w:rsidRDefault="002A2784"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67F30370" w14:textId="615349BF"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DQWG17</w:t>
            </w:r>
          </w:p>
        </w:tc>
        <w:tc>
          <w:tcPr>
            <w:tcW w:w="0" w:type="auto"/>
            <w:vAlign w:val="center"/>
          </w:tcPr>
          <w:p w14:paraId="70D7D266" w14:textId="20456CA5"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22AF96C8" w14:textId="205EEA7B"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453836B8" w14:textId="62EB8FF9"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1898164D" w14:textId="07E44DA2"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1D9C3934" w14:textId="11B5F561" w:rsidR="002A2784" w:rsidRDefault="002A2784"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S-1xx</w:t>
            </w:r>
          </w:p>
        </w:tc>
        <w:tc>
          <w:tcPr>
            <w:tcW w:w="0" w:type="auto"/>
            <w:vAlign w:val="center"/>
          </w:tcPr>
          <w:p w14:paraId="0D4B4055" w14:textId="37756F7F" w:rsidR="002A2784" w:rsidRPr="00151CD2"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r w:rsidR="0043617F" w14:paraId="728E7F4A" w14:textId="77777777" w:rsidTr="009E1146">
        <w:tc>
          <w:tcPr>
            <w:tcW w:w="0" w:type="auto"/>
            <w:vAlign w:val="center"/>
          </w:tcPr>
          <w:p w14:paraId="5DB4E692" w14:textId="4B3C0AC0" w:rsidR="0043617F" w:rsidRDefault="0043617F"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B.4</w:t>
            </w:r>
          </w:p>
        </w:tc>
        <w:tc>
          <w:tcPr>
            <w:tcW w:w="0" w:type="auto"/>
            <w:vAlign w:val="center"/>
          </w:tcPr>
          <w:p w14:paraId="7FFE49A0" w14:textId="4F209400" w:rsidR="0043617F" w:rsidRDefault="0043617F"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Review S-1xx Feature Catalogues</w:t>
            </w:r>
          </w:p>
        </w:tc>
        <w:tc>
          <w:tcPr>
            <w:tcW w:w="0" w:type="auto"/>
            <w:vAlign w:val="center"/>
          </w:tcPr>
          <w:p w14:paraId="595B701E" w14:textId="6F3918D9" w:rsidR="0043617F" w:rsidRDefault="0043617F"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M</w:t>
            </w:r>
          </w:p>
        </w:tc>
        <w:tc>
          <w:tcPr>
            <w:tcW w:w="0" w:type="auto"/>
            <w:vAlign w:val="center"/>
          </w:tcPr>
          <w:p w14:paraId="23E90571" w14:textId="5414A3B4"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Ed.1.1.0</w:t>
            </w:r>
          </w:p>
        </w:tc>
        <w:tc>
          <w:tcPr>
            <w:tcW w:w="0" w:type="auto"/>
            <w:vAlign w:val="center"/>
          </w:tcPr>
          <w:p w14:paraId="3D829206" w14:textId="3B41EF33"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5528BF14" w14:textId="2D82280B"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2023</w:t>
            </w:r>
          </w:p>
        </w:tc>
        <w:tc>
          <w:tcPr>
            <w:tcW w:w="0" w:type="auto"/>
            <w:vAlign w:val="center"/>
          </w:tcPr>
          <w:p w14:paraId="1737465F" w14:textId="6AC26EBF"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3E9377C3" w14:textId="3C57F13E"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3A665818" w14:textId="1FF39ADE" w:rsidR="0043617F" w:rsidRDefault="0043617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S-1xx</w:t>
            </w:r>
          </w:p>
        </w:tc>
        <w:tc>
          <w:tcPr>
            <w:tcW w:w="0" w:type="auto"/>
            <w:vAlign w:val="center"/>
          </w:tcPr>
          <w:p w14:paraId="034E6BE9" w14:textId="6DD54386" w:rsidR="0043617F" w:rsidRPr="00151CD2"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r w:rsidR="00A13499" w14:paraId="30AF148A" w14:textId="77777777" w:rsidTr="009E1146">
        <w:tc>
          <w:tcPr>
            <w:tcW w:w="0" w:type="auto"/>
            <w:vAlign w:val="center"/>
          </w:tcPr>
          <w:p w14:paraId="71F0706B" w14:textId="59B6A9D3" w:rsidR="00497D64" w:rsidRPr="00151CD2" w:rsidRDefault="00990015"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C.1</w:t>
            </w:r>
          </w:p>
        </w:tc>
        <w:tc>
          <w:tcPr>
            <w:tcW w:w="0" w:type="auto"/>
            <w:vAlign w:val="center"/>
          </w:tcPr>
          <w:p w14:paraId="30159A6E" w14:textId="60597AF3" w:rsidR="00497D64" w:rsidRPr="00151CD2" w:rsidRDefault="00990015"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Review S-100 Section 4C</w:t>
            </w:r>
            <w:r w:rsidR="00C829DA">
              <w:rPr>
                <w:rFonts w:ascii="Arial Narrow" w:hAnsi="Arial Narrow"/>
                <w:sz w:val="16"/>
                <w:szCs w:val="16"/>
                <w:lang w:val="en-GB"/>
              </w:rPr>
              <w:t>.</w:t>
            </w:r>
          </w:p>
        </w:tc>
        <w:tc>
          <w:tcPr>
            <w:tcW w:w="0" w:type="auto"/>
            <w:vAlign w:val="center"/>
          </w:tcPr>
          <w:p w14:paraId="47D2349E" w14:textId="140478E5" w:rsidR="00497D64" w:rsidRPr="00151CD2" w:rsidRDefault="00E23221"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L</w:t>
            </w:r>
          </w:p>
        </w:tc>
        <w:tc>
          <w:tcPr>
            <w:tcW w:w="0" w:type="auto"/>
            <w:vAlign w:val="center"/>
          </w:tcPr>
          <w:p w14:paraId="66397640" w14:textId="6CBE5574" w:rsidR="00497D64" w:rsidRPr="00151CD2" w:rsidRDefault="00DD6C27"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S-100 Ed 5.0.0</w:t>
            </w:r>
          </w:p>
        </w:tc>
        <w:tc>
          <w:tcPr>
            <w:tcW w:w="0" w:type="auto"/>
            <w:vAlign w:val="center"/>
          </w:tcPr>
          <w:p w14:paraId="457A61D2" w14:textId="3683E7DB"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030796B3" w14:textId="7867B3E2"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2024</w:t>
            </w:r>
          </w:p>
        </w:tc>
        <w:tc>
          <w:tcPr>
            <w:tcW w:w="0" w:type="auto"/>
            <w:vAlign w:val="center"/>
          </w:tcPr>
          <w:p w14:paraId="552D0999" w14:textId="23E8CF80"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3BD611BE" w14:textId="2C94BD2B"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1E738ABB" w14:textId="318CBB00"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S-100</w:t>
            </w:r>
          </w:p>
        </w:tc>
        <w:tc>
          <w:tcPr>
            <w:tcW w:w="0" w:type="auto"/>
            <w:vAlign w:val="center"/>
          </w:tcPr>
          <w:p w14:paraId="519DE034" w14:textId="358D767C"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DQWG15-04.4B</w:t>
            </w:r>
          </w:p>
        </w:tc>
      </w:tr>
      <w:tr w:rsidR="00A13499" w14:paraId="6C797952" w14:textId="77777777" w:rsidTr="009E1146">
        <w:tc>
          <w:tcPr>
            <w:tcW w:w="0" w:type="auto"/>
            <w:vAlign w:val="center"/>
          </w:tcPr>
          <w:p w14:paraId="47B3D051" w14:textId="0062A227"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D.2</w:t>
            </w:r>
          </w:p>
        </w:tc>
        <w:tc>
          <w:tcPr>
            <w:tcW w:w="0" w:type="auto"/>
            <w:vAlign w:val="center"/>
          </w:tcPr>
          <w:p w14:paraId="584B99A0" w14:textId="6A0ADDD4" w:rsidR="00497D64" w:rsidRPr="00151CD2" w:rsidRDefault="009E1146"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Provide guidance documentation how to populate CATZOC values</w:t>
            </w:r>
            <w:r w:rsidR="00C829DA">
              <w:rPr>
                <w:rFonts w:ascii="Arial Narrow" w:hAnsi="Arial Narrow"/>
                <w:sz w:val="16"/>
                <w:szCs w:val="16"/>
                <w:lang w:val="en-GB"/>
              </w:rPr>
              <w:t>.</w:t>
            </w:r>
          </w:p>
        </w:tc>
        <w:tc>
          <w:tcPr>
            <w:tcW w:w="0" w:type="auto"/>
            <w:vAlign w:val="center"/>
          </w:tcPr>
          <w:p w14:paraId="67518609" w14:textId="6DB67F5A"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3D8FEB39" w14:textId="1379C7A9" w:rsidR="00497D64" w:rsidRPr="00151CD2" w:rsidRDefault="0046060E"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DQWG17</w:t>
            </w:r>
          </w:p>
        </w:tc>
        <w:tc>
          <w:tcPr>
            <w:tcW w:w="0" w:type="auto"/>
            <w:vAlign w:val="center"/>
          </w:tcPr>
          <w:p w14:paraId="553FCF62" w14:textId="56B6FD32"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0C03CF1A" w14:textId="196BF215"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092CCC86" w14:textId="1758017C"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16AEED60" w14:textId="06D54847" w:rsidR="00497D64" w:rsidRPr="00151CD2" w:rsidRDefault="00E23221"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4FD5344C" w14:textId="520F5648"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DCEG</w:t>
            </w:r>
          </w:p>
        </w:tc>
        <w:tc>
          <w:tcPr>
            <w:tcW w:w="0" w:type="auto"/>
            <w:vAlign w:val="center"/>
          </w:tcPr>
          <w:p w14:paraId="414418D5" w14:textId="32B666DC" w:rsidR="00497D64" w:rsidRPr="00151CD2" w:rsidRDefault="007E141C" w:rsidP="003461C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r w:rsidR="007E141C" w14:paraId="3732DAC3" w14:textId="77777777" w:rsidTr="009E1146">
        <w:tc>
          <w:tcPr>
            <w:tcW w:w="0" w:type="auto"/>
            <w:vAlign w:val="center"/>
          </w:tcPr>
          <w:p w14:paraId="48FF4EB7" w14:textId="2FB35D8E" w:rsidR="007E141C" w:rsidRDefault="007E141C"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G.1</w:t>
            </w:r>
          </w:p>
        </w:tc>
        <w:tc>
          <w:tcPr>
            <w:tcW w:w="0" w:type="auto"/>
            <w:vAlign w:val="center"/>
          </w:tcPr>
          <w:p w14:paraId="057BA278" w14:textId="6DC17B32" w:rsidR="007E141C" w:rsidRDefault="007E141C"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Monitor development of autonomous shipping by the industry</w:t>
            </w:r>
          </w:p>
        </w:tc>
        <w:tc>
          <w:tcPr>
            <w:tcW w:w="0" w:type="auto"/>
            <w:vAlign w:val="center"/>
          </w:tcPr>
          <w:p w14:paraId="73147CDA" w14:textId="39F9B4A8" w:rsidR="007E141C" w:rsidRDefault="007E141C"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M</w:t>
            </w:r>
          </w:p>
        </w:tc>
        <w:tc>
          <w:tcPr>
            <w:tcW w:w="0" w:type="auto"/>
            <w:vAlign w:val="center"/>
          </w:tcPr>
          <w:p w14:paraId="7406BE4A" w14:textId="5CF1AFE3"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DQWG17</w:t>
            </w:r>
          </w:p>
        </w:tc>
        <w:tc>
          <w:tcPr>
            <w:tcW w:w="0" w:type="auto"/>
            <w:vAlign w:val="center"/>
          </w:tcPr>
          <w:p w14:paraId="41BF09E7" w14:textId="1B9848A1"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2020</w:t>
            </w:r>
          </w:p>
        </w:tc>
        <w:tc>
          <w:tcPr>
            <w:tcW w:w="0" w:type="auto"/>
            <w:vAlign w:val="center"/>
          </w:tcPr>
          <w:p w14:paraId="58EBC7D8" w14:textId="76618D45"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685E9D02" w14:textId="4C7480A4"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10BA3304" w14:textId="02184E11"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Chair</w:t>
            </w:r>
          </w:p>
        </w:tc>
        <w:tc>
          <w:tcPr>
            <w:tcW w:w="0" w:type="auto"/>
            <w:vAlign w:val="center"/>
          </w:tcPr>
          <w:p w14:paraId="5243D966" w14:textId="6EB77720" w:rsidR="007E141C" w:rsidRDefault="007E141C"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S-102, S-104</w:t>
            </w:r>
          </w:p>
        </w:tc>
        <w:tc>
          <w:tcPr>
            <w:tcW w:w="0" w:type="auto"/>
            <w:vAlign w:val="center"/>
          </w:tcPr>
          <w:p w14:paraId="0FF7F9B2" w14:textId="12E65202" w:rsidR="007E141C" w:rsidRPr="00151CD2" w:rsidRDefault="007E141C" w:rsidP="003461C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bl>
    <w:p w14:paraId="3B768CC3" w14:textId="77777777" w:rsidR="00497D64" w:rsidRPr="00497D64" w:rsidRDefault="00497D64" w:rsidP="00497D64">
      <w:pPr>
        <w:pStyle w:val="BodyA"/>
        <w:spacing w:after="0"/>
        <w:rPr>
          <w:rFonts w:ascii="Arial Narrow" w:hAnsi="Arial Narrow"/>
          <w:lang w:val="en-GB"/>
        </w:rPr>
      </w:pPr>
    </w:p>
    <w:sectPr w:rsidR="00497D64" w:rsidRPr="00497D64">
      <w:headerReference w:type="default" r:id="rId12"/>
      <w:footerReference w:type="defaul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5FD6" w14:textId="77777777" w:rsidR="009509DF" w:rsidRDefault="009509DF">
      <w:r>
        <w:separator/>
      </w:r>
    </w:p>
  </w:endnote>
  <w:endnote w:type="continuationSeparator" w:id="0">
    <w:p w14:paraId="4F753E0E" w14:textId="77777777" w:rsidR="009509DF" w:rsidRDefault="0095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184A" w14:textId="77777777" w:rsidR="00BC22DB" w:rsidRDefault="00BC22DB">
    <w:pPr>
      <w:pStyle w:val="Footer"/>
      <w:pBdr>
        <w:bottom w:val="single" w:sz="6" w:space="0" w:color="000000"/>
      </w:pBdr>
    </w:pPr>
  </w:p>
  <w:p w14:paraId="0D03A787" w14:textId="77777777" w:rsidR="00BC22DB" w:rsidRDefault="00BC22DB">
    <w:pPr>
      <w:pStyle w:val="Footer"/>
    </w:pPr>
  </w:p>
  <w:p w14:paraId="603E94F2" w14:textId="08833861" w:rsidR="00BC22DB" w:rsidRDefault="00BC22DB">
    <w:pPr>
      <w:pStyle w:val="Footer"/>
    </w:pPr>
    <w:r>
      <w:t>FINAL Minutes</w:t>
    </w:r>
    <w:r>
      <w:tab/>
    </w:r>
    <w:r>
      <w:fldChar w:fldCharType="begin"/>
    </w:r>
    <w:r>
      <w:instrText xml:space="preserve"> PAGE </w:instrText>
    </w:r>
    <w:r>
      <w:fldChar w:fldCharType="separate"/>
    </w:r>
    <w:r w:rsidR="00DF217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8B02" w14:textId="77777777" w:rsidR="009509DF" w:rsidRDefault="009509DF">
      <w:r>
        <w:separator/>
      </w:r>
    </w:p>
  </w:footnote>
  <w:footnote w:type="continuationSeparator" w:id="0">
    <w:p w14:paraId="0B413D18" w14:textId="77777777" w:rsidR="009509DF" w:rsidRDefault="009509DF">
      <w:r>
        <w:continuationSeparator/>
      </w:r>
    </w:p>
  </w:footnote>
  <w:footnote w:id="1">
    <w:p w14:paraId="1DF6729E" w14:textId="724B7006" w:rsidR="00BC22DB" w:rsidRPr="003534AE" w:rsidRDefault="00BC22DB">
      <w:pPr>
        <w:pStyle w:val="FootnoteText"/>
        <w:rPr>
          <w:lang w:val="en-US"/>
        </w:rPr>
      </w:pPr>
      <w:r>
        <w:rPr>
          <w:rStyle w:val="FootnoteReference"/>
        </w:rPr>
        <w:footnoteRef/>
      </w:r>
      <w:r>
        <w:t xml:space="preserve"> </w:t>
      </w:r>
      <w:r w:rsidRPr="003534AE">
        <w:rPr>
          <w:rFonts w:asciiTheme="minorHAnsi" w:hAnsiTheme="minorHAnsi" w:cstheme="minorHAnsi"/>
          <w:sz w:val="16"/>
          <w:szCs w:val="18"/>
          <w:lang w:val="en-US"/>
        </w:rPr>
        <w:t>Chair of the S-101 Project Team</w:t>
      </w:r>
    </w:p>
  </w:footnote>
  <w:footnote w:id="2">
    <w:p w14:paraId="00910DE7" w14:textId="568E09FF" w:rsidR="00BC22DB" w:rsidRPr="003534AE" w:rsidRDefault="00BC22DB">
      <w:pPr>
        <w:pStyle w:val="FootnoteText"/>
        <w:rPr>
          <w:lang w:val="en-US"/>
        </w:rPr>
      </w:pPr>
      <w:r>
        <w:rPr>
          <w:rStyle w:val="FootnoteReference"/>
        </w:rPr>
        <w:footnoteRef/>
      </w:r>
      <w:r>
        <w:t xml:space="preserve"> </w:t>
      </w:r>
      <w:r w:rsidRPr="003534AE">
        <w:rPr>
          <w:rFonts w:asciiTheme="minorHAnsi" w:hAnsiTheme="minorHAnsi" w:cstheme="minorHAnsi"/>
          <w:sz w:val="16"/>
          <w:lang w:val="en-US"/>
        </w:rPr>
        <w:t>Inland ENC Harmonization Group</w:t>
      </w:r>
    </w:p>
  </w:footnote>
  <w:footnote w:id="3">
    <w:p w14:paraId="35A08A29" w14:textId="087BB058" w:rsidR="00BC22DB" w:rsidRPr="003534AE" w:rsidRDefault="00BC22DB">
      <w:pPr>
        <w:pStyle w:val="FootnoteText"/>
        <w:rPr>
          <w:lang w:val="en-US"/>
        </w:rPr>
      </w:pPr>
      <w:r>
        <w:rPr>
          <w:rStyle w:val="FootnoteReference"/>
        </w:rPr>
        <w:footnoteRef/>
      </w:r>
      <w:r>
        <w:t xml:space="preserve"> </w:t>
      </w:r>
      <w:r w:rsidRPr="003534AE">
        <w:rPr>
          <w:rFonts w:asciiTheme="minorHAnsi" w:hAnsiTheme="minorHAnsi" w:cstheme="minorHAnsi"/>
          <w:sz w:val="16"/>
          <w:lang w:val="en-US"/>
        </w:rPr>
        <w:t>US Naval Information War Center</w:t>
      </w:r>
    </w:p>
  </w:footnote>
  <w:footnote w:id="4">
    <w:p w14:paraId="4496FF78" w14:textId="127E6C7B" w:rsidR="00BC22DB" w:rsidRPr="003534AE" w:rsidRDefault="00BC22DB">
      <w:pPr>
        <w:pStyle w:val="FootnoteText"/>
        <w:rPr>
          <w:rFonts w:asciiTheme="minorHAnsi" w:hAnsiTheme="minorHAnsi" w:cstheme="minorHAnsi"/>
          <w:sz w:val="16"/>
          <w:lang w:val="en-US"/>
        </w:rPr>
      </w:pPr>
      <w:r>
        <w:rPr>
          <w:rStyle w:val="FootnoteReference"/>
        </w:rPr>
        <w:footnoteRef/>
      </w:r>
      <w:r>
        <w:t xml:space="preserve"> </w:t>
      </w:r>
      <w:r>
        <w:rPr>
          <w:rFonts w:asciiTheme="minorHAnsi" w:hAnsiTheme="minorHAnsi" w:cstheme="minorHAnsi"/>
          <w:sz w:val="16"/>
          <w:lang w:val="en-US"/>
        </w:rPr>
        <w:t>Carnival’s Center for Simulator Maritime Training</w:t>
      </w:r>
    </w:p>
  </w:footnote>
  <w:footnote w:id="5">
    <w:p w14:paraId="65660496" w14:textId="78F62E56" w:rsidR="00BC22DB" w:rsidRPr="00E67DA6" w:rsidRDefault="00BC22DB">
      <w:pPr>
        <w:pStyle w:val="FootnoteText"/>
        <w:rPr>
          <w:lang w:val="en-US"/>
        </w:rPr>
      </w:pPr>
      <w:r>
        <w:rPr>
          <w:rStyle w:val="FootnoteReference"/>
        </w:rPr>
        <w:footnoteRef/>
      </w:r>
      <w:r>
        <w:t xml:space="preserve"> </w:t>
      </w:r>
      <w:r w:rsidRPr="00E67DA6">
        <w:rPr>
          <w:rFonts w:asciiTheme="minorHAnsi" w:hAnsiTheme="minorHAnsi" w:cstheme="minorHAnsi"/>
          <w:sz w:val="16"/>
          <w:lang w:val="en-US"/>
        </w:rPr>
        <w:t>Crowdsourced Bathymetry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F1E3" w14:textId="77777777" w:rsidR="00BC22DB" w:rsidRDefault="00BC22DB">
    <w:pPr>
      <w:pStyle w:val="Header"/>
    </w:pPr>
  </w:p>
  <w:p w14:paraId="38864F48" w14:textId="77777777" w:rsidR="00BC22DB" w:rsidRDefault="00BC22DB">
    <w:pPr>
      <w:pStyle w:val="Header"/>
    </w:pPr>
  </w:p>
  <w:p w14:paraId="139C5161" w14:textId="77777777" w:rsidR="00BC22DB" w:rsidRDefault="00BC22DB">
    <w:pPr>
      <w:pStyle w:val="Header"/>
    </w:pPr>
    <w:r w:rsidRPr="00453CDF">
      <w:rPr>
        <w:rFonts w:ascii="Arial" w:hAnsi="Arial" w:cs="Arial"/>
        <w:noProof/>
        <w:lang w:eastAsia="en-US"/>
      </w:rPr>
      <w:drawing>
        <wp:anchor distT="0" distB="0" distL="114300" distR="114300" simplePos="0" relativeHeight="251659264" behindDoc="0" locked="0" layoutInCell="1" allowOverlap="1" wp14:anchorId="1AC606D5" wp14:editId="3A00D5D9">
          <wp:simplePos x="0" y="0"/>
          <wp:positionH relativeFrom="margin">
            <wp:align>center</wp:align>
          </wp:positionH>
          <wp:positionV relativeFrom="page">
            <wp:posOffset>101930</wp:posOffset>
          </wp:positionV>
          <wp:extent cx="57492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91F"/>
    <w:multiLevelType w:val="hybridMultilevel"/>
    <w:tmpl w:val="C5E2F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8336C"/>
    <w:multiLevelType w:val="hybridMultilevel"/>
    <w:tmpl w:val="E814EEA8"/>
    <w:styleLink w:val="Bullets"/>
    <w:lvl w:ilvl="0" w:tplc="69A8EE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206D6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6D4B1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8A227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50885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BB88F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B86394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002A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EBECBB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377624"/>
    <w:multiLevelType w:val="hybridMultilevel"/>
    <w:tmpl w:val="E814EEA8"/>
    <w:numStyleLink w:val="Bullets"/>
  </w:abstractNum>
  <w:abstractNum w:abstractNumId="3" w15:restartNumberingAfterBreak="0">
    <w:nsid w:val="394F51C7"/>
    <w:multiLevelType w:val="hybridMultilevel"/>
    <w:tmpl w:val="15907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992836"/>
    <w:multiLevelType w:val="hybridMultilevel"/>
    <w:tmpl w:val="C8249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0617D7"/>
    <w:multiLevelType w:val="hybridMultilevel"/>
    <w:tmpl w:val="ABF8BC4E"/>
    <w:lvl w:ilvl="0" w:tplc="0413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00133"/>
    <w:multiLevelType w:val="hybridMultilevel"/>
    <w:tmpl w:val="7E504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22425E"/>
    <w:multiLevelType w:val="hybridMultilevel"/>
    <w:tmpl w:val="842E4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94"/>
    <w:rsid w:val="000007DE"/>
    <w:rsid w:val="00007DE7"/>
    <w:rsid w:val="00013CDB"/>
    <w:rsid w:val="00013D9D"/>
    <w:rsid w:val="000152FA"/>
    <w:rsid w:val="000168E6"/>
    <w:rsid w:val="00054A58"/>
    <w:rsid w:val="000868E1"/>
    <w:rsid w:val="000A0D7F"/>
    <w:rsid w:val="000A368C"/>
    <w:rsid w:val="000D7B39"/>
    <w:rsid w:val="000E7DD5"/>
    <w:rsid w:val="000F0E87"/>
    <w:rsid w:val="001403FD"/>
    <w:rsid w:val="001417E0"/>
    <w:rsid w:val="0014529F"/>
    <w:rsid w:val="00151CD2"/>
    <w:rsid w:val="00166C11"/>
    <w:rsid w:val="00186198"/>
    <w:rsid w:val="00195962"/>
    <w:rsid w:val="001976F9"/>
    <w:rsid w:val="001B0232"/>
    <w:rsid w:val="001B50B0"/>
    <w:rsid w:val="001C13F0"/>
    <w:rsid w:val="001C68F5"/>
    <w:rsid w:val="001D3D85"/>
    <w:rsid w:val="001E724F"/>
    <w:rsid w:val="001F116B"/>
    <w:rsid w:val="001F2CB3"/>
    <w:rsid w:val="001F35E1"/>
    <w:rsid w:val="001F6326"/>
    <w:rsid w:val="00204069"/>
    <w:rsid w:val="0022488B"/>
    <w:rsid w:val="00236762"/>
    <w:rsid w:val="00251E42"/>
    <w:rsid w:val="002530CB"/>
    <w:rsid w:val="00263E56"/>
    <w:rsid w:val="002832C2"/>
    <w:rsid w:val="0028348A"/>
    <w:rsid w:val="00285249"/>
    <w:rsid w:val="00285AD1"/>
    <w:rsid w:val="002A2784"/>
    <w:rsid w:val="002A2F48"/>
    <w:rsid w:val="002B183E"/>
    <w:rsid w:val="002B62C4"/>
    <w:rsid w:val="002B7C9F"/>
    <w:rsid w:val="002C0394"/>
    <w:rsid w:val="002C3F3D"/>
    <w:rsid w:val="002D58F7"/>
    <w:rsid w:val="003017C4"/>
    <w:rsid w:val="0031631E"/>
    <w:rsid w:val="00326F58"/>
    <w:rsid w:val="003461CF"/>
    <w:rsid w:val="003534AE"/>
    <w:rsid w:val="0035372E"/>
    <w:rsid w:val="00363871"/>
    <w:rsid w:val="00364DCE"/>
    <w:rsid w:val="0038498D"/>
    <w:rsid w:val="0038625F"/>
    <w:rsid w:val="00390746"/>
    <w:rsid w:val="00396B3E"/>
    <w:rsid w:val="003A5EC5"/>
    <w:rsid w:val="003C6B70"/>
    <w:rsid w:val="003D1FB8"/>
    <w:rsid w:val="003D27B6"/>
    <w:rsid w:val="003D321F"/>
    <w:rsid w:val="003E0252"/>
    <w:rsid w:val="003E1C98"/>
    <w:rsid w:val="003E5424"/>
    <w:rsid w:val="003F29EF"/>
    <w:rsid w:val="004152DA"/>
    <w:rsid w:val="00415AB4"/>
    <w:rsid w:val="00416330"/>
    <w:rsid w:val="00423992"/>
    <w:rsid w:val="00426DFF"/>
    <w:rsid w:val="00427222"/>
    <w:rsid w:val="0043539B"/>
    <w:rsid w:val="0043617F"/>
    <w:rsid w:val="00443449"/>
    <w:rsid w:val="00446A25"/>
    <w:rsid w:val="00457D46"/>
    <w:rsid w:val="0046060E"/>
    <w:rsid w:val="00474A70"/>
    <w:rsid w:val="0048252B"/>
    <w:rsid w:val="0048657E"/>
    <w:rsid w:val="0049513E"/>
    <w:rsid w:val="00497D64"/>
    <w:rsid w:val="004A1FDF"/>
    <w:rsid w:val="004A52D5"/>
    <w:rsid w:val="004C0DBA"/>
    <w:rsid w:val="004C124E"/>
    <w:rsid w:val="004C3FE7"/>
    <w:rsid w:val="004C5194"/>
    <w:rsid w:val="00503277"/>
    <w:rsid w:val="00504807"/>
    <w:rsid w:val="005171F3"/>
    <w:rsid w:val="00517352"/>
    <w:rsid w:val="00521510"/>
    <w:rsid w:val="00540D98"/>
    <w:rsid w:val="00564869"/>
    <w:rsid w:val="00565A77"/>
    <w:rsid w:val="005874B5"/>
    <w:rsid w:val="00596296"/>
    <w:rsid w:val="005A295C"/>
    <w:rsid w:val="005A5467"/>
    <w:rsid w:val="005B659C"/>
    <w:rsid w:val="005C22BD"/>
    <w:rsid w:val="005C6208"/>
    <w:rsid w:val="005D3B35"/>
    <w:rsid w:val="005D622A"/>
    <w:rsid w:val="005E7684"/>
    <w:rsid w:val="00612AC5"/>
    <w:rsid w:val="00617ECA"/>
    <w:rsid w:val="00627ACD"/>
    <w:rsid w:val="00630281"/>
    <w:rsid w:val="00632A4B"/>
    <w:rsid w:val="00641069"/>
    <w:rsid w:val="006414E6"/>
    <w:rsid w:val="006430DB"/>
    <w:rsid w:val="006550A3"/>
    <w:rsid w:val="0065728C"/>
    <w:rsid w:val="00686AC0"/>
    <w:rsid w:val="0068779F"/>
    <w:rsid w:val="006A5D3A"/>
    <w:rsid w:val="006A6DDB"/>
    <w:rsid w:val="006B1F5E"/>
    <w:rsid w:val="006C1203"/>
    <w:rsid w:val="006C711C"/>
    <w:rsid w:val="006D035F"/>
    <w:rsid w:val="006F1A85"/>
    <w:rsid w:val="006F263B"/>
    <w:rsid w:val="007018BA"/>
    <w:rsid w:val="0070413D"/>
    <w:rsid w:val="00713059"/>
    <w:rsid w:val="00714F99"/>
    <w:rsid w:val="007248F3"/>
    <w:rsid w:val="007437EE"/>
    <w:rsid w:val="00744E4A"/>
    <w:rsid w:val="007502CC"/>
    <w:rsid w:val="00766130"/>
    <w:rsid w:val="00766F77"/>
    <w:rsid w:val="00786071"/>
    <w:rsid w:val="0078761E"/>
    <w:rsid w:val="007A3E19"/>
    <w:rsid w:val="007A776D"/>
    <w:rsid w:val="007B06DD"/>
    <w:rsid w:val="007C7A95"/>
    <w:rsid w:val="007D0CCF"/>
    <w:rsid w:val="007D3DC2"/>
    <w:rsid w:val="007E141C"/>
    <w:rsid w:val="007E7513"/>
    <w:rsid w:val="007F3527"/>
    <w:rsid w:val="00802246"/>
    <w:rsid w:val="0080789E"/>
    <w:rsid w:val="00861345"/>
    <w:rsid w:val="00866CBF"/>
    <w:rsid w:val="00873EE2"/>
    <w:rsid w:val="00876C94"/>
    <w:rsid w:val="00877160"/>
    <w:rsid w:val="0088611C"/>
    <w:rsid w:val="00892E37"/>
    <w:rsid w:val="00894D83"/>
    <w:rsid w:val="008B076B"/>
    <w:rsid w:val="008B5394"/>
    <w:rsid w:val="008C0BBC"/>
    <w:rsid w:val="008D13AC"/>
    <w:rsid w:val="008D77B7"/>
    <w:rsid w:val="008F257D"/>
    <w:rsid w:val="009066CE"/>
    <w:rsid w:val="00911AFD"/>
    <w:rsid w:val="0091532B"/>
    <w:rsid w:val="00926D00"/>
    <w:rsid w:val="009509DF"/>
    <w:rsid w:val="00961AC7"/>
    <w:rsid w:val="00964393"/>
    <w:rsid w:val="00964977"/>
    <w:rsid w:val="00967751"/>
    <w:rsid w:val="0097482B"/>
    <w:rsid w:val="00990015"/>
    <w:rsid w:val="009C2BCE"/>
    <w:rsid w:val="009C4372"/>
    <w:rsid w:val="009E1146"/>
    <w:rsid w:val="009E7B6D"/>
    <w:rsid w:val="00A13499"/>
    <w:rsid w:val="00A13714"/>
    <w:rsid w:val="00A25AE9"/>
    <w:rsid w:val="00A31A8C"/>
    <w:rsid w:val="00A33547"/>
    <w:rsid w:val="00A35D5C"/>
    <w:rsid w:val="00A55B4F"/>
    <w:rsid w:val="00A563BC"/>
    <w:rsid w:val="00A5724D"/>
    <w:rsid w:val="00A63124"/>
    <w:rsid w:val="00A75620"/>
    <w:rsid w:val="00A80549"/>
    <w:rsid w:val="00A87BE7"/>
    <w:rsid w:val="00A92778"/>
    <w:rsid w:val="00AA12B2"/>
    <w:rsid w:val="00AA6302"/>
    <w:rsid w:val="00AB3339"/>
    <w:rsid w:val="00AC0B13"/>
    <w:rsid w:val="00AC66BE"/>
    <w:rsid w:val="00AC7C8B"/>
    <w:rsid w:val="00AE5F1E"/>
    <w:rsid w:val="00AF2B63"/>
    <w:rsid w:val="00B23DE5"/>
    <w:rsid w:val="00B3737B"/>
    <w:rsid w:val="00B447EE"/>
    <w:rsid w:val="00B512BC"/>
    <w:rsid w:val="00B529A6"/>
    <w:rsid w:val="00B64EE4"/>
    <w:rsid w:val="00B65A5A"/>
    <w:rsid w:val="00B74633"/>
    <w:rsid w:val="00B74763"/>
    <w:rsid w:val="00B778D3"/>
    <w:rsid w:val="00B8346F"/>
    <w:rsid w:val="00B9418F"/>
    <w:rsid w:val="00B9577B"/>
    <w:rsid w:val="00BA00AD"/>
    <w:rsid w:val="00BA5DB5"/>
    <w:rsid w:val="00BB4752"/>
    <w:rsid w:val="00BB4C79"/>
    <w:rsid w:val="00BB7F76"/>
    <w:rsid w:val="00BC22DB"/>
    <w:rsid w:val="00BE4BB0"/>
    <w:rsid w:val="00BF0CED"/>
    <w:rsid w:val="00BF7994"/>
    <w:rsid w:val="00C1418B"/>
    <w:rsid w:val="00C16000"/>
    <w:rsid w:val="00C214E5"/>
    <w:rsid w:val="00C327CB"/>
    <w:rsid w:val="00C43453"/>
    <w:rsid w:val="00C50F18"/>
    <w:rsid w:val="00C629D0"/>
    <w:rsid w:val="00C66D13"/>
    <w:rsid w:val="00C72ABF"/>
    <w:rsid w:val="00C829DA"/>
    <w:rsid w:val="00C924A2"/>
    <w:rsid w:val="00CA2530"/>
    <w:rsid w:val="00CA431C"/>
    <w:rsid w:val="00CA5AFA"/>
    <w:rsid w:val="00CB68DA"/>
    <w:rsid w:val="00CE01F1"/>
    <w:rsid w:val="00CE03E0"/>
    <w:rsid w:val="00CE0494"/>
    <w:rsid w:val="00CF14D5"/>
    <w:rsid w:val="00D00A20"/>
    <w:rsid w:val="00D271AA"/>
    <w:rsid w:val="00D31571"/>
    <w:rsid w:val="00D43726"/>
    <w:rsid w:val="00D547FA"/>
    <w:rsid w:val="00D63C91"/>
    <w:rsid w:val="00D81277"/>
    <w:rsid w:val="00D86141"/>
    <w:rsid w:val="00D9455D"/>
    <w:rsid w:val="00D95B98"/>
    <w:rsid w:val="00DC5015"/>
    <w:rsid w:val="00DC7836"/>
    <w:rsid w:val="00DD41B8"/>
    <w:rsid w:val="00DD6C27"/>
    <w:rsid w:val="00DE31B5"/>
    <w:rsid w:val="00DE3F8C"/>
    <w:rsid w:val="00DE7364"/>
    <w:rsid w:val="00DF217B"/>
    <w:rsid w:val="00DF5610"/>
    <w:rsid w:val="00DF5BB3"/>
    <w:rsid w:val="00E0032A"/>
    <w:rsid w:val="00E206C3"/>
    <w:rsid w:val="00E23221"/>
    <w:rsid w:val="00E41A6F"/>
    <w:rsid w:val="00E41E6C"/>
    <w:rsid w:val="00E447CE"/>
    <w:rsid w:val="00E44F04"/>
    <w:rsid w:val="00E52E3B"/>
    <w:rsid w:val="00E6776F"/>
    <w:rsid w:val="00E67DA6"/>
    <w:rsid w:val="00E7297E"/>
    <w:rsid w:val="00E7798E"/>
    <w:rsid w:val="00E92A97"/>
    <w:rsid w:val="00EA0E54"/>
    <w:rsid w:val="00EA365F"/>
    <w:rsid w:val="00EB18E8"/>
    <w:rsid w:val="00EC32D7"/>
    <w:rsid w:val="00ED0573"/>
    <w:rsid w:val="00EE2BC8"/>
    <w:rsid w:val="00EF250A"/>
    <w:rsid w:val="00EF32F0"/>
    <w:rsid w:val="00F000FB"/>
    <w:rsid w:val="00F067EF"/>
    <w:rsid w:val="00F213ED"/>
    <w:rsid w:val="00F2290D"/>
    <w:rsid w:val="00F249B8"/>
    <w:rsid w:val="00F25B6A"/>
    <w:rsid w:val="00F25D4C"/>
    <w:rsid w:val="00F41346"/>
    <w:rsid w:val="00F4176C"/>
    <w:rsid w:val="00F60897"/>
    <w:rsid w:val="00F6357A"/>
    <w:rsid w:val="00F70DB2"/>
    <w:rsid w:val="00F76D8E"/>
    <w:rsid w:val="00FA4903"/>
    <w:rsid w:val="00FC1A2F"/>
    <w:rsid w:val="00FC6CB0"/>
    <w:rsid w:val="00FD0A64"/>
    <w:rsid w:val="00FD1C84"/>
    <w:rsid w:val="00FD4A88"/>
    <w:rsid w:val="00FE06C1"/>
    <w:rsid w:val="00FE10F5"/>
    <w:rsid w:val="00FE2573"/>
    <w:rsid w:val="00FE43F9"/>
    <w:rsid w:val="00FF0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46F4"/>
  <w15:docId w15:val="{0F98676D-B3A4-4FD2-B7C2-F6D222E1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36"/>
        <w:tab w:val="right" w:pos="9072"/>
      </w:tabs>
    </w:pPr>
    <w:rPr>
      <w:rFonts w:ascii="Calibri" w:eastAsia="Calibri" w:hAnsi="Calibri" w:cs="Calibri"/>
      <w:color w:val="000000"/>
      <w:sz w:val="22"/>
      <w:szCs w:val="22"/>
      <w:u w:color="000000"/>
      <w:lang w:val="en-US"/>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70C0"/>
      <w:u w:val="none" w:color="0070C0"/>
    </w:rPr>
  </w:style>
  <w:style w:type="paragraph" w:customStyle="1" w:styleId="TableStyle1A">
    <w:name w:val="Table Style 1 A"/>
    <w:pPr>
      <w:spacing w:after="200" w:line="276" w:lineRule="auto"/>
    </w:pPr>
    <w:rPr>
      <w:rFonts w:ascii="Helvetica" w:hAnsi="Helvetica" w:cs="Arial Unicode MS"/>
      <w:b/>
      <w:bCs/>
      <w:color w:val="000000"/>
      <w:u w:color="000000"/>
    </w:rPr>
  </w:style>
  <w:style w:type="paragraph" w:styleId="BalloonText">
    <w:name w:val="Balloon Text"/>
    <w:basedOn w:val="Normal"/>
    <w:link w:val="BalloonTextChar"/>
    <w:uiPriority w:val="99"/>
    <w:semiHidden/>
    <w:unhideWhenUsed/>
    <w:rsid w:val="0091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FD"/>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E7297E"/>
    <w:rPr>
      <w:sz w:val="20"/>
      <w:szCs w:val="20"/>
    </w:rPr>
  </w:style>
  <w:style w:type="character" w:customStyle="1" w:styleId="FootnoteTextChar">
    <w:name w:val="Footnote Text Char"/>
    <w:basedOn w:val="DefaultParagraphFont"/>
    <w:link w:val="FootnoteText"/>
    <w:uiPriority w:val="99"/>
    <w:semiHidden/>
    <w:rsid w:val="00E7297E"/>
    <w:rPr>
      <w:lang w:val="en-US" w:eastAsia="en-US"/>
    </w:rPr>
  </w:style>
  <w:style w:type="character" w:styleId="FootnoteReference">
    <w:name w:val="footnote reference"/>
    <w:basedOn w:val="DefaultParagraphFont"/>
    <w:uiPriority w:val="99"/>
    <w:semiHidden/>
    <w:unhideWhenUsed/>
    <w:rsid w:val="00E7297E"/>
    <w:rPr>
      <w:vertAlign w:val="superscript"/>
    </w:rPr>
  </w:style>
  <w:style w:type="character" w:customStyle="1" w:styleId="HeaderChar">
    <w:name w:val="Header Char"/>
    <w:basedOn w:val="DefaultParagraphFont"/>
    <w:link w:val="Header"/>
    <w:uiPriority w:val="99"/>
    <w:rsid w:val="00E447CE"/>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3E5424"/>
    <w:rPr>
      <w:sz w:val="16"/>
      <w:szCs w:val="16"/>
    </w:rPr>
  </w:style>
  <w:style w:type="paragraph" w:styleId="CommentText">
    <w:name w:val="annotation text"/>
    <w:basedOn w:val="Normal"/>
    <w:link w:val="CommentTextChar"/>
    <w:uiPriority w:val="99"/>
    <w:semiHidden/>
    <w:unhideWhenUsed/>
    <w:rsid w:val="003E5424"/>
    <w:rPr>
      <w:sz w:val="20"/>
      <w:szCs w:val="20"/>
    </w:rPr>
  </w:style>
  <w:style w:type="character" w:customStyle="1" w:styleId="CommentTextChar">
    <w:name w:val="Comment Text Char"/>
    <w:basedOn w:val="DefaultParagraphFont"/>
    <w:link w:val="CommentText"/>
    <w:uiPriority w:val="99"/>
    <w:semiHidden/>
    <w:rsid w:val="003E5424"/>
    <w:rPr>
      <w:lang w:val="en-US" w:eastAsia="en-US"/>
    </w:rPr>
  </w:style>
  <w:style w:type="paragraph" w:styleId="CommentSubject">
    <w:name w:val="annotation subject"/>
    <w:basedOn w:val="CommentText"/>
    <w:next w:val="CommentText"/>
    <w:link w:val="CommentSubjectChar"/>
    <w:uiPriority w:val="99"/>
    <w:semiHidden/>
    <w:unhideWhenUsed/>
    <w:rsid w:val="003E5424"/>
    <w:rPr>
      <w:b/>
      <w:bCs/>
    </w:rPr>
  </w:style>
  <w:style w:type="character" w:customStyle="1" w:styleId="CommentSubjectChar">
    <w:name w:val="Comment Subject Char"/>
    <w:basedOn w:val="CommentTextChar"/>
    <w:link w:val="CommentSubject"/>
    <w:uiPriority w:val="99"/>
    <w:semiHidden/>
    <w:rsid w:val="003E5424"/>
    <w:rPr>
      <w:b/>
      <w:bCs/>
      <w:lang w:val="en-US" w:eastAsia="en-US"/>
    </w:rPr>
  </w:style>
  <w:style w:type="table" w:styleId="TableGrid">
    <w:name w:val="Table Grid"/>
    <w:basedOn w:val="TableNormal"/>
    <w:uiPriority w:val="39"/>
    <w:rsid w:val="0049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en/basic-wg-documents-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ho.int/en/standards-and-specifications" TargetMode="External"/><Relationship Id="rId4" Type="http://schemas.openxmlformats.org/officeDocument/2006/relationships/settings" Target="settings.xml"/><Relationship Id="rId9" Type="http://schemas.openxmlformats.org/officeDocument/2006/relationships/hyperlink" Target="https://iho.int/en/miscellane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6174-4860-42D8-8CF9-804B59F9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2343</Words>
  <Characters>13359</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Edward Hands</cp:lastModifiedBy>
  <cp:revision>3</cp:revision>
  <cp:lastPrinted>2021-05-12T09:28:00Z</cp:lastPrinted>
  <dcterms:created xsi:type="dcterms:W3CDTF">2021-06-10T10:29:00Z</dcterms:created>
  <dcterms:modified xsi:type="dcterms:W3CDTF">2021-09-23T07:59:00Z</dcterms:modified>
</cp:coreProperties>
</file>