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305E" w14:textId="6B08345B" w:rsidR="00CE0494" w:rsidRPr="00894D83" w:rsidRDefault="00AE664E" w:rsidP="003440C2">
      <w:pPr>
        <w:pStyle w:val="BodyA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DQWG subWG on CATZOC</w:t>
      </w:r>
    </w:p>
    <w:p w14:paraId="696E6ADA" w14:textId="3170567A" w:rsidR="00CE0494" w:rsidRPr="00894D83" w:rsidRDefault="003440C2" w:rsidP="003440C2">
      <w:pPr>
        <w:pStyle w:val="BodyA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VTC meeting 21 September 2021</w:t>
      </w:r>
    </w:p>
    <w:p w14:paraId="4C060BD4" w14:textId="77777777" w:rsidR="00CE0494" w:rsidRPr="00894D83" w:rsidRDefault="00CE0494">
      <w:pPr>
        <w:pStyle w:val="BodyA"/>
        <w:rPr>
          <w:lang w:val="en-GB"/>
        </w:rPr>
      </w:pPr>
    </w:p>
    <w:p w14:paraId="1F00ADAB" w14:textId="3975058E" w:rsidR="00CE0494" w:rsidRPr="00894D83" w:rsidRDefault="00F4586B">
      <w:pPr>
        <w:pStyle w:val="BodyA"/>
        <w:jc w:val="center"/>
        <w:rPr>
          <w:lang w:val="en-GB"/>
        </w:rPr>
      </w:pPr>
      <w:r>
        <w:rPr>
          <w:b/>
          <w:bCs/>
          <w:lang w:val="en-GB"/>
        </w:rPr>
        <w:t>FINAL</w:t>
      </w:r>
      <w:bookmarkStart w:id="0" w:name="_GoBack"/>
      <w:bookmarkEnd w:id="0"/>
      <w:r w:rsidR="00911AFD" w:rsidRPr="00894D83">
        <w:rPr>
          <w:b/>
          <w:bCs/>
          <w:lang w:val="en-GB"/>
        </w:rPr>
        <w:t xml:space="preserve"> MINUTES</w:t>
      </w:r>
    </w:p>
    <w:p w14:paraId="397F9E41" w14:textId="77777777" w:rsidR="003440C2" w:rsidRPr="003440C2" w:rsidRDefault="003440C2" w:rsidP="003440C2">
      <w:pPr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eastAsia="nl-NL"/>
        </w:rPr>
      </w:pPr>
      <w:r w:rsidRPr="003440C2">
        <w:rPr>
          <w:rFonts w:ascii="Helvetica" w:hAnsi="Helvetica" w:cs="Arial Unicode MS"/>
          <w:b/>
          <w:bCs/>
          <w:color w:val="000000"/>
          <w:sz w:val="22"/>
          <w:szCs w:val="22"/>
          <w:u w:color="000000"/>
          <w:lang w:eastAsia="nl-NL"/>
        </w:rPr>
        <w:t>Participants:</w:t>
      </w:r>
    </w:p>
    <w:tbl>
      <w:tblPr>
        <w:tblW w:w="4680" w:type="dxa"/>
        <w:tblLook w:val="04A0" w:firstRow="1" w:lastRow="0" w:firstColumn="1" w:lastColumn="0" w:noHBand="0" w:noVBand="1"/>
      </w:tblPr>
      <w:tblGrid>
        <w:gridCol w:w="4680"/>
      </w:tblGrid>
      <w:tr w:rsidR="00913558" w:rsidRPr="00913558" w14:paraId="7D5D29C2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3899" w14:textId="0AB8F5D2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Edward Hands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 (NO)</w:t>
            </w:r>
          </w:p>
        </w:tc>
      </w:tr>
      <w:tr w:rsidR="00913558" w:rsidRPr="00913558" w14:paraId="03AE0996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20E" w14:textId="54647365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Anderson Peçanha (BR</w:t>
            </w: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) </w:t>
            </w:r>
          </w:p>
        </w:tc>
      </w:tr>
      <w:tr w:rsidR="00913558" w:rsidRPr="00913558" w14:paraId="473662A9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4C4" w14:textId="3C235E0B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Antonio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Di Lieto</w:t>
            </w: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 (C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SMART</w:t>
            </w: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)</w:t>
            </w:r>
          </w:p>
        </w:tc>
      </w:tr>
      <w:tr w:rsidR="00913558" w:rsidRPr="00F4586B" w14:paraId="530ABF4F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0B6" w14:textId="67E89D06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b-NO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b-NO"/>
              </w:rPr>
              <w:t>Thijs Ligteringen (NL)</w:t>
            </w:r>
          </w:p>
          <w:p w14:paraId="0C73D6F9" w14:textId="29A10EAF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b-NO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nb-NO"/>
              </w:rPr>
              <w:t>Arnon Meurink (NL)</w:t>
            </w:r>
          </w:p>
        </w:tc>
      </w:tr>
      <w:tr w:rsidR="00913558" w:rsidRPr="00913558" w14:paraId="4324CA5A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405" w14:textId="25C3DB21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Yves GUILLAM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(IHO</w:t>
            </w: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 Secretariat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)</w:t>
            </w:r>
          </w:p>
        </w:tc>
      </w:tr>
      <w:tr w:rsidR="00913558" w:rsidRPr="00913558" w14:paraId="66C6E341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DD8B" w14:textId="0F87D1BF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074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Christos Kastrisios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 (University of New Hampshire)</w:t>
            </w:r>
          </w:p>
        </w:tc>
      </w:tr>
      <w:tr w:rsidR="00913558" w:rsidRPr="00913558" w14:paraId="321A62B3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1292" w14:textId="23F17574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Nicolas David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FR</w:t>
            </w: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) </w:t>
            </w:r>
          </w:p>
        </w:tc>
      </w:tr>
      <w:tr w:rsidR="00913558" w:rsidRPr="00913558" w14:paraId="4BA93EE3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4A04" w14:textId="66DCEB65" w:rsidR="00913558" w:rsidRPr="00913558" w:rsidRDefault="00A96486" w:rsidP="00A96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Friedhelm Moggert-K</w:t>
            </w:r>
            <w:r w:rsidRPr="00A9648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ä</w:t>
            </w:r>
            <w:r w:rsidR="00913558"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geler</w:t>
            </w:r>
            <w:r w:rsid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 (7c’s)</w:t>
            </w:r>
          </w:p>
        </w:tc>
      </w:tr>
      <w:tr w:rsidR="00913558" w:rsidRPr="00913558" w14:paraId="0F783675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696" w14:textId="699B357C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Nigel Robinson (D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K</w:t>
            </w: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) </w:t>
            </w:r>
          </w:p>
        </w:tc>
      </w:tr>
      <w:tr w:rsidR="00913558" w:rsidRPr="00913558" w14:paraId="1FE8929A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D171" w14:textId="29D95D1F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Andrew Talbot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 (UK)</w:t>
            </w:r>
          </w:p>
        </w:tc>
      </w:tr>
      <w:tr w:rsidR="00913558" w:rsidRPr="00913558" w14:paraId="7763DE62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A6A" w14:textId="28862520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Samantha Lerigo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 (UK)</w:t>
            </w:r>
          </w:p>
        </w:tc>
      </w:tr>
      <w:tr w:rsidR="00913558" w:rsidRPr="00913558" w14:paraId="2B134B1E" w14:textId="77777777" w:rsidTr="00913558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598D" w14:textId="7941AF9B" w:rsidR="00913558" w:rsidRPr="00913558" w:rsidRDefault="00913558" w:rsidP="0091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</w:pP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>Sean Legeer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US </w:t>
            </w:r>
            <w:r w:rsidRPr="0091355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US"/>
              </w:rPr>
              <w:t xml:space="preserve">NOAA) </w:t>
            </w:r>
          </w:p>
        </w:tc>
      </w:tr>
    </w:tbl>
    <w:p w14:paraId="4F5CB0AC" w14:textId="77777777" w:rsidR="00913558" w:rsidRDefault="00911AFD">
      <w:pPr>
        <w:pStyle w:val="BodyA"/>
        <w:rPr>
          <w:b/>
          <w:bCs/>
          <w:lang w:val="en-GB"/>
          <w14:shadow w14:blurRad="0" w14:dist="19050" w14:dir="5400000" w14:sx="100000" w14:sy="100000" w14:kx="0" w14:ky="0" w14:algn="tl">
            <w14:srgbClr w14:val="FFC000">
              <w14:alpha w14:val="50000"/>
            </w14:srgbClr>
          </w14:shadow>
        </w:rPr>
      </w:pPr>
      <w:r w:rsidRPr="00894D83">
        <w:rPr>
          <w:b/>
          <w:bCs/>
          <w:lang w:val="en-GB"/>
          <w14:shadow w14:blurRad="0" w14:dist="19050" w14:dir="5400000" w14:sx="100000" w14:sy="100000" w14:kx="0" w14:ky="0" w14:algn="tl">
            <w14:srgbClr w14:val="FFC000">
              <w14:alpha w14:val="50000"/>
            </w14:srgbClr>
          </w14:shadow>
        </w:rPr>
        <w:tab/>
      </w:r>
    </w:p>
    <w:p w14:paraId="2CF7F913" w14:textId="0DB2A060" w:rsidR="00CE0494" w:rsidRPr="00F97BC9" w:rsidRDefault="00913558">
      <w:pPr>
        <w:pStyle w:val="BodyA"/>
        <w:rPr>
          <w:rFonts w:eastAsia="Calibri" w:cs="Calibri"/>
          <w:lang w:val="en-GB"/>
        </w:rPr>
      </w:pPr>
      <w:r>
        <w:rPr>
          <w:b/>
          <w:bCs/>
          <w:lang w:val="en-GB"/>
        </w:rPr>
        <w:t>D</w:t>
      </w:r>
      <w:r w:rsidR="008B2BB7">
        <w:rPr>
          <w:b/>
          <w:bCs/>
          <w:lang w:val="en-GB"/>
        </w:rPr>
        <w:t>ISCUSSIONS</w:t>
      </w:r>
    </w:p>
    <w:p w14:paraId="5C601FCE" w14:textId="00EF2705" w:rsidR="00DD4F7F" w:rsidRPr="00DD4F7F" w:rsidRDefault="00D95B98" w:rsidP="00DD4F7F">
      <w:pPr>
        <w:rPr>
          <w:rFonts w:ascii="Calibri" w:hAnsi="Calibri"/>
          <w:lang w:val="en-US"/>
        </w:rPr>
      </w:pPr>
      <w:r w:rsidRPr="00B57A2F">
        <w:rPr>
          <w:rFonts w:ascii="Calibri" w:hAnsi="Calibri"/>
          <w:lang w:val="en-US"/>
        </w:rPr>
        <w:t xml:space="preserve">The </w:t>
      </w:r>
      <w:r w:rsidR="008B2BB7" w:rsidRPr="00B57A2F">
        <w:rPr>
          <w:rFonts w:ascii="Calibri" w:hAnsi="Calibri"/>
          <w:lang w:val="en-US"/>
        </w:rPr>
        <w:t xml:space="preserve">DQWG Chair </w:t>
      </w:r>
      <w:r w:rsidR="00913558" w:rsidRPr="00B57A2F">
        <w:rPr>
          <w:rFonts w:ascii="Calibri" w:hAnsi="Calibri"/>
          <w:lang w:val="en-US"/>
        </w:rPr>
        <w:t xml:space="preserve">began with a review of the actions from the last </w:t>
      </w:r>
      <w:r w:rsidR="00E03E12">
        <w:rPr>
          <w:rFonts w:ascii="Calibri" w:hAnsi="Calibri"/>
          <w:lang w:val="en-US"/>
        </w:rPr>
        <w:t>sub</w:t>
      </w:r>
      <w:r w:rsidR="00913558" w:rsidRPr="00B57A2F">
        <w:rPr>
          <w:rFonts w:ascii="Calibri" w:hAnsi="Calibri"/>
          <w:lang w:val="en-US"/>
        </w:rPr>
        <w:t>WG meeting</w:t>
      </w:r>
      <w:r w:rsidR="00C1303D" w:rsidRPr="00B57A2F">
        <w:rPr>
          <w:rFonts w:ascii="Calibri" w:hAnsi="Calibri"/>
          <w:lang w:val="en-US"/>
        </w:rPr>
        <w:t xml:space="preserve">. Members considered the topic of the </w:t>
      </w:r>
      <w:r w:rsidR="00A96486" w:rsidRPr="00B57A2F">
        <w:rPr>
          <w:rFonts w:ascii="Calibri" w:hAnsi="Calibri"/>
          <w:lang w:val="en-US"/>
        </w:rPr>
        <w:t xml:space="preserve">update </w:t>
      </w:r>
      <w:r w:rsidR="00C1303D" w:rsidRPr="00B57A2F">
        <w:rPr>
          <w:rFonts w:ascii="Calibri" w:hAnsi="Calibri"/>
          <w:lang w:val="en-US"/>
        </w:rPr>
        <w:t>rate of S-101 versus S-102 and associated CATZOC values.</w:t>
      </w:r>
      <w:r w:rsidR="008B2BB7" w:rsidRPr="00B57A2F">
        <w:rPr>
          <w:rFonts w:ascii="Calibri" w:hAnsi="Calibri"/>
          <w:lang w:val="en-US"/>
        </w:rPr>
        <w:t xml:space="preserve"> </w:t>
      </w:r>
      <w:r w:rsidR="008B2BB7" w:rsidRPr="00840E4C">
        <w:rPr>
          <w:rFonts w:ascii="Calibri" w:hAnsi="Calibri"/>
          <w:i/>
          <w:lang w:val="en-US"/>
        </w:rPr>
        <w:t>Moggert-Kägeler</w:t>
      </w:r>
      <w:r w:rsidR="008B2BB7" w:rsidRPr="00840E4C">
        <w:rPr>
          <w:rFonts w:ascii="Calibri" w:hAnsi="Calibri"/>
          <w:lang w:val="en-US"/>
        </w:rPr>
        <w:t xml:space="preserve"> (</w:t>
      </w:r>
      <w:r w:rsidR="008B2BB7" w:rsidRPr="00B57A2F">
        <w:rPr>
          <w:rFonts w:ascii="Calibri" w:hAnsi="Calibri"/>
          <w:lang w:val="en-US"/>
        </w:rPr>
        <w:t>7Cs) commented</w:t>
      </w:r>
      <w:r w:rsidR="00F97BC9" w:rsidRPr="00B57A2F">
        <w:rPr>
          <w:rFonts w:ascii="Calibri" w:hAnsi="Calibri"/>
          <w:lang w:val="en-US"/>
        </w:rPr>
        <w:t xml:space="preserve"> that the update frequency of S-102 is probably much faster than that of S-101. The previous assumption was that the data would come from exactly the same source and noted that this would not really be the case if the S-102 had a much higher update frequency. </w:t>
      </w:r>
      <w:r w:rsidR="00744247" w:rsidRPr="00840E4C">
        <w:rPr>
          <w:rFonts w:ascii="Calibri" w:hAnsi="Calibri"/>
          <w:lang w:val="en-US"/>
        </w:rPr>
        <w:t>The suggestion was made th</w:t>
      </w:r>
      <w:r w:rsidR="00E03E12">
        <w:rPr>
          <w:rFonts w:ascii="Calibri" w:hAnsi="Calibri"/>
          <w:lang w:val="en-US"/>
        </w:rPr>
        <w:t>at</w:t>
      </w:r>
      <w:r w:rsidR="00744247" w:rsidRPr="00840E4C">
        <w:rPr>
          <w:rFonts w:ascii="Calibri" w:hAnsi="Calibri"/>
          <w:lang w:val="en-US"/>
        </w:rPr>
        <w:t xml:space="preserve"> the group</w:t>
      </w:r>
      <w:r w:rsidR="00F97BC9" w:rsidRPr="00840E4C">
        <w:rPr>
          <w:rFonts w:ascii="Calibri" w:hAnsi="Calibri"/>
          <w:lang w:val="en-US"/>
        </w:rPr>
        <w:t xml:space="preserve"> </w:t>
      </w:r>
      <w:r w:rsidR="00744247" w:rsidRPr="00840E4C">
        <w:rPr>
          <w:rFonts w:ascii="Calibri" w:hAnsi="Calibri"/>
          <w:lang w:val="en-US"/>
        </w:rPr>
        <w:t xml:space="preserve">could </w:t>
      </w:r>
      <w:r w:rsidR="00F97BC9" w:rsidRPr="00840E4C">
        <w:rPr>
          <w:rFonts w:ascii="Calibri" w:hAnsi="Calibri"/>
          <w:lang w:val="en-US"/>
        </w:rPr>
        <w:t xml:space="preserve">come to a common understanding </w:t>
      </w:r>
      <w:r w:rsidR="00744247" w:rsidRPr="00840E4C">
        <w:rPr>
          <w:rFonts w:ascii="Calibri" w:hAnsi="Calibri"/>
          <w:lang w:val="en-US"/>
        </w:rPr>
        <w:t xml:space="preserve">of the situation and formulate a </w:t>
      </w:r>
      <w:r w:rsidR="00F97BC9" w:rsidRPr="00840E4C">
        <w:rPr>
          <w:rFonts w:ascii="Calibri" w:hAnsi="Calibri"/>
          <w:lang w:val="en-US"/>
        </w:rPr>
        <w:t xml:space="preserve">recommendation. </w:t>
      </w:r>
      <w:r w:rsidR="00744247" w:rsidRPr="00840E4C">
        <w:rPr>
          <w:rFonts w:ascii="Calibri" w:hAnsi="Calibri"/>
          <w:lang w:val="en-US"/>
        </w:rPr>
        <w:t>Eventually both S-101 and S-102</w:t>
      </w:r>
      <w:r w:rsidR="00E03E12">
        <w:rPr>
          <w:rFonts w:ascii="Calibri" w:hAnsi="Calibri"/>
          <w:lang w:val="en-US"/>
        </w:rPr>
        <w:t xml:space="preserve"> will be used and there </w:t>
      </w:r>
      <w:r w:rsidR="00744247" w:rsidRPr="00840E4C">
        <w:rPr>
          <w:rFonts w:ascii="Calibri" w:hAnsi="Calibri"/>
          <w:lang w:val="en-US"/>
        </w:rPr>
        <w:t xml:space="preserve">will be a degree of interoperability between the </w:t>
      </w:r>
      <w:r w:rsidR="00E03E12">
        <w:rPr>
          <w:rFonts w:ascii="Calibri" w:hAnsi="Calibri"/>
          <w:lang w:val="en-US"/>
        </w:rPr>
        <w:t>two</w:t>
      </w:r>
      <w:r w:rsidR="00744247" w:rsidRPr="00840E4C">
        <w:rPr>
          <w:rFonts w:ascii="Calibri" w:hAnsi="Calibri"/>
          <w:lang w:val="en-US"/>
        </w:rPr>
        <w:t xml:space="preserve">. The issue of priorities in the interoperability rules between </w:t>
      </w:r>
      <w:r w:rsidR="00B57A2F" w:rsidRPr="00840E4C">
        <w:rPr>
          <w:rFonts w:ascii="Calibri" w:hAnsi="Calibri"/>
          <w:lang w:val="en-US"/>
        </w:rPr>
        <w:t>products</w:t>
      </w:r>
      <w:r w:rsidR="00744247" w:rsidRPr="00840E4C">
        <w:rPr>
          <w:rFonts w:ascii="Calibri" w:hAnsi="Calibri"/>
          <w:lang w:val="en-US"/>
        </w:rPr>
        <w:t xml:space="preserve"> was queried</w:t>
      </w:r>
      <w:r w:rsidR="00E03E12">
        <w:rPr>
          <w:rFonts w:ascii="Calibri" w:hAnsi="Calibri"/>
          <w:lang w:val="en-US"/>
        </w:rPr>
        <w:t xml:space="preserve"> and the issue of</w:t>
      </w:r>
      <w:r w:rsidR="00744247" w:rsidRPr="00840E4C">
        <w:rPr>
          <w:rFonts w:ascii="Calibri" w:hAnsi="Calibri"/>
          <w:lang w:val="en-US"/>
        </w:rPr>
        <w:t xml:space="preserve"> </w:t>
      </w:r>
      <w:r w:rsidR="00B57A2F" w:rsidRPr="00840E4C">
        <w:rPr>
          <w:rFonts w:ascii="Calibri" w:hAnsi="Calibri"/>
          <w:lang w:val="en-US"/>
        </w:rPr>
        <w:t>whether</w:t>
      </w:r>
      <w:r w:rsidR="00E03E12">
        <w:rPr>
          <w:rFonts w:ascii="Calibri" w:hAnsi="Calibri"/>
          <w:lang w:val="en-US"/>
        </w:rPr>
        <w:t xml:space="preserve"> there should be a </w:t>
      </w:r>
      <w:r w:rsidR="00E03E12" w:rsidRPr="00840E4C">
        <w:rPr>
          <w:rFonts w:ascii="Calibri" w:hAnsi="Calibri"/>
          <w:lang w:val="en-US"/>
        </w:rPr>
        <w:t>recommendation</w:t>
      </w:r>
      <w:r w:rsidR="00E03E12">
        <w:rPr>
          <w:rFonts w:ascii="Calibri" w:hAnsi="Calibri"/>
          <w:lang w:val="en-US"/>
        </w:rPr>
        <w:t xml:space="preserve"> that</w:t>
      </w:r>
      <w:r w:rsidR="00E03E12" w:rsidRPr="00840E4C">
        <w:rPr>
          <w:rFonts w:ascii="Calibri" w:hAnsi="Calibri"/>
          <w:lang w:val="en-US"/>
        </w:rPr>
        <w:t xml:space="preserve"> S-102 takes priority over the S-101</w:t>
      </w:r>
      <w:r w:rsidR="00E03E12">
        <w:rPr>
          <w:rFonts w:ascii="Calibri" w:hAnsi="Calibri"/>
          <w:lang w:val="en-US"/>
        </w:rPr>
        <w:t xml:space="preserve"> in situations where both exist based on the fact that the S-102 will be based </w:t>
      </w:r>
      <w:r w:rsidR="00B57A2F" w:rsidRPr="00840E4C">
        <w:rPr>
          <w:rFonts w:ascii="Calibri" w:hAnsi="Calibri"/>
          <w:lang w:val="en-US"/>
        </w:rPr>
        <w:t>on</w:t>
      </w:r>
      <w:r w:rsidR="00744247" w:rsidRPr="00840E4C">
        <w:rPr>
          <w:rFonts w:ascii="Calibri" w:hAnsi="Calibri"/>
          <w:lang w:val="en-US"/>
        </w:rPr>
        <w:t xml:space="preserve"> newer survey data </w:t>
      </w:r>
      <w:r w:rsidR="00B57A2F" w:rsidRPr="00840E4C">
        <w:rPr>
          <w:rFonts w:ascii="Calibri" w:hAnsi="Calibri"/>
          <w:lang w:val="en-US"/>
        </w:rPr>
        <w:t>than</w:t>
      </w:r>
      <w:r w:rsidR="00744247" w:rsidRPr="00840E4C">
        <w:rPr>
          <w:rFonts w:ascii="Calibri" w:hAnsi="Calibri"/>
          <w:lang w:val="en-US"/>
        </w:rPr>
        <w:t xml:space="preserve"> the S-101</w:t>
      </w:r>
      <w:r w:rsidR="00B57A2F" w:rsidRPr="00840E4C">
        <w:rPr>
          <w:rFonts w:ascii="Calibri" w:hAnsi="Calibri"/>
          <w:lang w:val="en-US"/>
        </w:rPr>
        <w:t xml:space="preserve">. </w:t>
      </w:r>
      <w:r w:rsidR="00B57A2F" w:rsidRPr="00DD4F7F">
        <w:rPr>
          <w:rFonts w:ascii="Calibri" w:hAnsi="Calibri"/>
          <w:i/>
          <w:lang w:val="en-US"/>
        </w:rPr>
        <w:t>Legeer</w:t>
      </w:r>
      <w:r w:rsidR="00B57A2F" w:rsidRPr="00840E4C">
        <w:rPr>
          <w:rFonts w:ascii="Calibri" w:hAnsi="Calibri"/>
          <w:b/>
          <w:lang w:val="en-US"/>
        </w:rPr>
        <w:t xml:space="preserve"> </w:t>
      </w:r>
      <w:r w:rsidR="00B57A2F" w:rsidRPr="00B57A2F">
        <w:rPr>
          <w:rFonts w:ascii="Calibri" w:hAnsi="Calibri"/>
          <w:lang w:val="en-US"/>
        </w:rPr>
        <w:t>(US</w:t>
      </w:r>
      <w:r w:rsidR="00DD4F7F">
        <w:rPr>
          <w:rFonts w:ascii="Calibri" w:hAnsi="Calibri"/>
          <w:lang w:val="en-US"/>
        </w:rPr>
        <w:t xml:space="preserve"> NOAA</w:t>
      </w:r>
      <w:r w:rsidR="00B57A2F" w:rsidRPr="00B57A2F">
        <w:rPr>
          <w:rFonts w:ascii="Calibri" w:hAnsi="Calibri"/>
          <w:lang w:val="en-US"/>
        </w:rPr>
        <w:t>)</w:t>
      </w:r>
      <w:r w:rsidR="00B57A2F" w:rsidRPr="00840E4C">
        <w:rPr>
          <w:rFonts w:ascii="Calibri" w:hAnsi="Calibri"/>
          <w:lang w:val="en-US"/>
        </w:rPr>
        <w:t xml:space="preserve"> </w:t>
      </w:r>
      <w:r w:rsidR="00DD4F7F">
        <w:rPr>
          <w:rFonts w:ascii="Calibri" w:hAnsi="Calibri"/>
          <w:lang w:val="en-US"/>
        </w:rPr>
        <w:t>noted the existence of</w:t>
      </w:r>
      <w:r w:rsidR="00840E4C" w:rsidRPr="00840E4C">
        <w:rPr>
          <w:rFonts w:ascii="Calibri" w:hAnsi="Calibri"/>
          <w:lang w:val="en-US"/>
        </w:rPr>
        <w:t xml:space="preserve"> legal issues particularly </w:t>
      </w:r>
      <w:r w:rsidR="00DD4F7F">
        <w:rPr>
          <w:rFonts w:ascii="Calibri" w:hAnsi="Calibri"/>
          <w:lang w:val="en-US"/>
        </w:rPr>
        <w:t>related to situations</w:t>
      </w:r>
      <w:r w:rsidR="00840E4C" w:rsidRPr="00840E4C">
        <w:rPr>
          <w:rFonts w:ascii="Calibri" w:hAnsi="Calibri"/>
          <w:lang w:val="en-US"/>
        </w:rPr>
        <w:t xml:space="preserve"> where an S-102 data set is released that has a value of a sounding that is different from the S-101 in the same position</w:t>
      </w:r>
      <w:r w:rsidR="007B739C">
        <w:rPr>
          <w:rFonts w:ascii="Calibri" w:hAnsi="Calibri"/>
          <w:lang w:val="en-US"/>
        </w:rPr>
        <w:t xml:space="preserve"> although no clear guidance </w:t>
      </w:r>
      <w:r w:rsidR="00E76DA4">
        <w:rPr>
          <w:rFonts w:ascii="Calibri" w:hAnsi="Calibri"/>
          <w:lang w:val="en-US"/>
        </w:rPr>
        <w:t>exists</w:t>
      </w:r>
      <w:r w:rsidR="007B739C">
        <w:rPr>
          <w:rFonts w:ascii="Calibri" w:hAnsi="Calibri"/>
          <w:lang w:val="en-US"/>
        </w:rPr>
        <w:t xml:space="preserve"> f</w:t>
      </w:r>
      <w:r w:rsidR="00840E4C" w:rsidRPr="00840E4C">
        <w:rPr>
          <w:rFonts w:ascii="Calibri" w:hAnsi="Calibri"/>
          <w:lang w:val="en-US"/>
        </w:rPr>
        <w:t xml:space="preserve">or this eventuality at this time. It was also noted that it is very likely that they will be </w:t>
      </w:r>
      <w:r w:rsidR="007B739C">
        <w:rPr>
          <w:rFonts w:ascii="Calibri" w:hAnsi="Calibri"/>
          <w:lang w:val="en-US"/>
        </w:rPr>
        <w:t>producing S-</w:t>
      </w:r>
      <w:r w:rsidR="00840E4C" w:rsidRPr="00840E4C">
        <w:rPr>
          <w:rFonts w:ascii="Calibri" w:hAnsi="Calibri"/>
          <w:lang w:val="en-US"/>
        </w:rPr>
        <w:t xml:space="preserve">102 data sets </w:t>
      </w:r>
      <w:r w:rsidR="00840E4C">
        <w:rPr>
          <w:rFonts w:ascii="Calibri" w:hAnsi="Calibri"/>
          <w:lang w:val="en-US"/>
        </w:rPr>
        <w:t>in the near future well in advance of any S-101 datasets.</w:t>
      </w:r>
      <w:r w:rsidR="00DD4F7F" w:rsidRPr="00E76DA4">
        <w:rPr>
          <w:rFonts w:ascii="Calibri" w:hAnsi="Calibri"/>
          <w:lang w:val="en-US"/>
        </w:rPr>
        <w:t xml:space="preserve"> </w:t>
      </w:r>
      <w:r w:rsidR="00DD4F7F" w:rsidRPr="00DD4F7F">
        <w:rPr>
          <w:rFonts w:ascii="Calibri" w:hAnsi="Calibri"/>
          <w:lang w:val="en-US"/>
        </w:rPr>
        <w:t>The concept of having S-102 datasets in circulation as independent data sets</w:t>
      </w:r>
      <w:r w:rsidR="00E03E12">
        <w:rPr>
          <w:rFonts w:ascii="Calibri" w:hAnsi="Calibri"/>
          <w:lang w:val="en-US"/>
        </w:rPr>
        <w:t xml:space="preserve">, perhaps having access to </w:t>
      </w:r>
      <w:r w:rsidR="00DD4F7F" w:rsidRPr="00DD4F7F">
        <w:rPr>
          <w:rFonts w:ascii="Calibri" w:hAnsi="Calibri"/>
          <w:lang w:val="en-US"/>
        </w:rPr>
        <w:t xml:space="preserve"> S-57 data set</w:t>
      </w:r>
      <w:r w:rsidR="00E03E12">
        <w:rPr>
          <w:rFonts w:ascii="Calibri" w:hAnsi="Calibri"/>
          <w:lang w:val="en-US"/>
        </w:rPr>
        <w:t>s</w:t>
      </w:r>
      <w:r w:rsidR="00DD4F7F" w:rsidRPr="00DD4F7F">
        <w:rPr>
          <w:rFonts w:ascii="Calibri" w:hAnsi="Calibri"/>
          <w:lang w:val="en-US"/>
        </w:rPr>
        <w:t xml:space="preserve"> may prevent us from having to make this decision for a while but any guidance from the group </w:t>
      </w:r>
      <w:r w:rsidR="007B739C">
        <w:rPr>
          <w:rFonts w:ascii="Calibri" w:hAnsi="Calibri"/>
          <w:lang w:val="en-US"/>
        </w:rPr>
        <w:t xml:space="preserve">and IHO endorsed examples of best practice would </w:t>
      </w:r>
      <w:r w:rsidR="00DD4F7F" w:rsidRPr="00DD4F7F">
        <w:rPr>
          <w:rFonts w:ascii="Calibri" w:hAnsi="Calibri"/>
          <w:lang w:val="en-US"/>
        </w:rPr>
        <w:t>strongly welcomed.</w:t>
      </w:r>
      <w:r w:rsidR="007B739C">
        <w:rPr>
          <w:rFonts w:ascii="Calibri" w:hAnsi="Calibri"/>
          <w:lang w:val="en-US"/>
        </w:rPr>
        <w:t xml:space="preserve"> </w:t>
      </w:r>
      <w:r w:rsidR="007B739C" w:rsidRPr="00913558">
        <w:rPr>
          <w:rFonts w:ascii="Calibri" w:hAnsi="Calibri"/>
          <w:i/>
          <w:lang w:val="en-US"/>
        </w:rPr>
        <w:t>Talbot</w:t>
      </w:r>
      <w:r w:rsidR="007B739C" w:rsidRPr="00E76DA4">
        <w:rPr>
          <w:rFonts w:ascii="Calibri" w:hAnsi="Calibri"/>
          <w:i/>
          <w:lang w:val="en-US"/>
        </w:rPr>
        <w:t xml:space="preserve"> </w:t>
      </w:r>
      <w:r w:rsidR="007B739C" w:rsidRPr="00E76DA4">
        <w:rPr>
          <w:rFonts w:ascii="Calibri" w:hAnsi="Calibri"/>
          <w:lang w:val="en-US"/>
        </w:rPr>
        <w:t>(UK)</w:t>
      </w:r>
      <w:r w:rsidR="00066D48" w:rsidRPr="00E76DA4">
        <w:rPr>
          <w:rFonts w:ascii="Calibri" w:hAnsi="Calibri"/>
          <w:lang w:val="en-US"/>
        </w:rPr>
        <w:t xml:space="preserve"> </w:t>
      </w:r>
      <w:r w:rsidR="00E03E12" w:rsidRPr="00E76DA4">
        <w:rPr>
          <w:rFonts w:ascii="Calibri" w:hAnsi="Calibri"/>
          <w:lang w:val="en-US"/>
        </w:rPr>
        <w:t>noted</w:t>
      </w:r>
      <w:r w:rsidR="00E76DA4" w:rsidRPr="00E76DA4">
        <w:rPr>
          <w:rFonts w:ascii="Calibri" w:hAnsi="Calibri"/>
          <w:lang w:val="en-US"/>
        </w:rPr>
        <w:t xml:space="preserve"> that</w:t>
      </w:r>
      <w:r w:rsidR="008B6DF9" w:rsidRPr="00E76DA4">
        <w:rPr>
          <w:rFonts w:ascii="Calibri" w:hAnsi="Calibri"/>
          <w:lang w:val="en-US"/>
        </w:rPr>
        <w:t xml:space="preserve"> the data </w:t>
      </w:r>
      <w:r w:rsidR="00066D48" w:rsidRPr="00E76DA4">
        <w:rPr>
          <w:rFonts w:ascii="Calibri" w:hAnsi="Calibri"/>
          <w:lang w:val="en-US"/>
        </w:rPr>
        <w:t xml:space="preserve">you might put into </w:t>
      </w:r>
      <w:r w:rsidR="008B6DF9" w:rsidRPr="00E76DA4">
        <w:rPr>
          <w:rFonts w:ascii="Calibri" w:hAnsi="Calibri"/>
          <w:lang w:val="en-US"/>
        </w:rPr>
        <w:t xml:space="preserve">an </w:t>
      </w:r>
      <w:r w:rsidR="00066D48" w:rsidRPr="00E76DA4">
        <w:rPr>
          <w:rFonts w:ascii="Calibri" w:hAnsi="Calibri"/>
          <w:lang w:val="en-US"/>
        </w:rPr>
        <w:t>S</w:t>
      </w:r>
      <w:r w:rsidR="008B6DF9" w:rsidRPr="00E76DA4">
        <w:rPr>
          <w:rFonts w:ascii="Calibri" w:hAnsi="Calibri"/>
          <w:lang w:val="en-US"/>
        </w:rPr>
        <w:t>-</w:t>
      </w:r>
      <w:r w:rsidR="00066D48" w:rsidRPr="00E76DA4">
        <w:rPr>
          <w:rFonts w:ascii="Calibri" w:hAnsi="Calibri"/>
          <w:lang w:val="en-US"/>
        </w:rPr>
        <w:t>102</w:t>
      </w:r>
      <w:r w:rsidR="008B6DF9" w:rsidRPr="00E76DA4">
        <w:rPr>
          <w:rFonts w:ascii="Calibri" w:hAnsi="Calibri"/>
          <w:lang w:val="en-US"/>
        </w:rPr>
        <w:t xml:space="preserve"> might not be </w:t>
      </w:r>
      <w:r w:rsidR="00066D48" w:rsidRPr="00E76DA4">
        <w:rPr>
          <w:rFonts w:ascii="Calibri" w:hAnsi="Calibri"/>
          <w:lang w:val="en-US"/>
        </w:rPr>
        <w:t>quite the same as what you p</w:t>
      </w:r>
      <w:r w:rsidR="00BB2594" w:rsidRPr="00E76DA4">
        <w:rPr>
          <w:rFonts w:ascii="Calibri" w:hAnsi="Calibri"/>
          <w:lang w:val="en-US"/>
        </w:rPr>
        <w:t>ut i</w:t>
      </w:r>
      <w:r w:rsidR="008B6DF9" w:rsidRPr="00E76DA4">
        <w:rPr>
          <w:rFonts w:ascii="Calibri" w:hAnsi="Calibri"/>
          <w:lang w:val="en-US"/>
        </w:rPr>
        <w:t>n an S</w:t>
      </w:r>
      <w:r w:rsidR="00BB2594" w:rsidRPr="00E76DA4">
        <w:rPr>
          <w:rFonts w:ascii="Calibri" w:hAnsi="Calibri"/>
          <w:lang w:val="en-US"/>
        </w:rPr>
        <w:t>-101</w:t>
      </w:r>
      <w:r w:rsidR="008B6DF9" w:rsidRPr="00E76DA4">
        <w:rPr>
          <w:rFonts w:ascii="Calibri" w:hAnsi="Calibri"/>
          <w:lang w:val="en-US"/>
        </w:rPr>
        <w:t xml:space="preserve">. In addition </w:t>
      </w:r>
      <w:r w:rsidR="00E76DA4" w:rsidRPr="00E76DA4">
        <w:rPr>
          <w:rFonts w:ascii="Calibri" w:hAnsi="Calibri"/>
          <w:lang w:val="en-US"/>
        </w:rPr>
        <w:t>the distinction between how data quality will be displayed in different products (CA</w:t>
      </w:r>
      <w:r w:rsidR="00724597">
        <w:rPr>
          <w:rFonts w:ascii="Calibri" w:hAnsi="Calibri"/>
          <w:lang w:val="en-US"/>
        </w:rPr>
        <w:t>T</w:t>
      </w:r>
      <w:r w:rsidR="00E76DA4" w:rsidRPr="00E76DA4">
        <w:rPr>
          <w:rFonts w:ascii="Calibri" w:hAnsi="Calibri"/>
          <w:lang w:val="en-US"/>
        </w:rPr>
        <w:t xml:space="preserve">ZOC, QoBD, and </w:t>
      </w:r>
      <w:r w:rsidR="00E76DA4">
        <w:rPr>
          <w:rFonts w:ascii="Calibri" w:hAnsi="Calibri"/>
          <w:lang w:val="en-US"/>
        </w:rPr>
        <w:t>u</w:t>
      </w:r>
      <w:r w:rsidR="00E76DA4" w:rsidRPr="00E76DA4">
        <w:rPr>
          <w:rFonts w:ascii="Calibri" w:hAnsi="Calibri"/>
          <w:lang w:val="en-US"/>
        </w:rPr>
        <w:t>ncertainty) and how this could complicate the situation</w:t>
      </w:r>
      <w:r w:rsidR="00E76DA4">
        <w:rPr>
          <w:rFonts w:ascii="Calibri" w:hAnsi="Calibri"/>
          <w:lang w:val="en-US"/>
        </w:rPr>
        <w:t xml:space="preserve"> a</w:t>
      </w:r>
      <w:r w:rsidR="00E76DA4" w:rsidRPr="00E76DA4">
        <w:rPr>
          <w:rFonts w:ascii="Calibri" w:hAnsi="Calibri"/>
          <w:lang w:val="en-US"/>
        </w:rPr>
        <w:t>n</w:t>
      </w:r>
      <w:r w:rsidR="00E76DA4">
        <w:rPr>
          <w:rFonts w:ascii="Calibri" w:hAnsi="Calibri"/>
          <w:lang w:val="en-US"/>
        </w:rPr>
        <w:t>d</w:t>
      </w:r>
      <w:r w:rsidR="00E76DA4" w:rsidRPr="00E76DA4">
        <w:rPr>
          <w:rFonts w:ascii="Calibri" w:hAnsi="Calibri"/>
          <w:lang w:val="en-US"/>
        </w:rPr>
        <w:t xml:space="preserve"> cause confusion</w:t>
      </w:r>
      <w:r w:rsidR="00E76DA4">
        <w:rPr>
          <w:rFonts w:ascii="Calibri" w:hAnsi="Calibri"/>
          <w:lang w:val="en-US"/>
        </w:rPr>
        <w:t xml:space="preserve"> </w:t>
      </w:r>
      <w:r w:rsidR="00E76DA4" w:rsidRPr="00E76DA4">
        <w:rPr>
          <w:rFonts w:ascii="Calibri" w:hAnsi="Calibri"/>
          <w:lang w:val="en-US"/>
        </w:rPr>
        <w:t xml:space="preserve">was highlighted. It was agreed </w:t>
      </w:r>
      <w:r w:rsidR="006F6104">
        <w:rPr>
          <w:rFonts w:ascii="Calibri" w:hAnsi="Calibri"/>
          <w:lang w:val="en-US"/>
        </w:rPr>
        <w:t xml:space="preserve">that </w:t>
      </w:r>
      <w:r w:rsidR="00E03E12">
        <w:rPr>
          <w:rFonts w:ascii="Calibri" w:hAnsi="Calibri"/>
          <w:lang w:val="en-US"/>
        </w:rPr>
        <w:t>although</w:t>
      </w:r>
      <w:r w:rsidR="00330E44">
        <w:rPr>
          <w:rFonts w:ascii="Calibri" w:hAnsi="Calibri"/>
          <w:lang w:val="en-US"/>
        </w:rPr>
        <w:t xml:space="preserve"> an important issue it </w:t>
      </w:r>
      <w:r w:rsidR="00A31506">
        <w:rPr>
          <w:rFonts w:ascii="Calibri" w:hAnsi="Calibri"/>
          <w:lang w:val="en-US"/>
        </w:rPr>
        <w:t>was</w:t>
      </w:r>
      <w:r w:rsidR="00330E44">
        <w:rPr>
          <w:rFonts w:ascii="Calibri" w:hAnsi="Calibri"/>
          <w:lang w:val="en-US"/>
        </w:rPr>
        <w:t xml:space="preserve"> perhaps not </w:t>
      </w:r>
      <w:r w:rsidR="00A31506">
        <w:rPr>
          <w:rFonts w:ascii="Calibri" w:hAnsi="Calibri"/>
          <w:lang w:val="en-US"/>
        </w:rPr>
        <w:t xml:space="preserve">directly relevant to the drafting of the </w:t>
      </w:r>
      <w:r w:rsidR="00330E44" w:rsidRPr="00E76DA4">
        <w:rPr>
          <w:rFonts w:ascii="Calibri" w:hAnsi="Calibri"/>
          <w:lang w:val="en-US"/>
        </w:rPr>
        <w:t>guidance document this subWG</w:t>
      </w:r>
      <w:r w:rsidR="00A31506">
        <w:rPr>
          <w:rFonts w:ascii="Calibri" w:hAnsi="Calibri"/>
          <w:lang w:val="en-US"/>
        </w:rPr>
        <w:t xml:space="preserve"> ha</w:t>
      </w:r>
      <w:r w:rsidR="00330E44" w:rsidRPr="00E76DA4">
        <w:rPr>
          <w:rFonts w:ascii="Calibri" w:hAnsi="Calibri"/>
          <w:lang w:val="en-US"/>
        </w:rPr>
        <w:t>s</w:t>
      </w:r>
      <w:r w:rsidR="00A31506">
        <w:rPr>
          <w:rFonts w:ascii="Calibri" w:hAnsi="Calibri"/>
          <w:lang w:val="en-US"/>
        </w:rPr>
        <w:t xml:space="preserve"> </w:t>
      </w:r>
      <w:r w:rsidR="00A31506">
        <w:rPr>
          <w:rFonts w:ascii="Calibri" w:hAnsi="Calibri"/>
          <w:lang w:val="en-US"/>
        </w:rPr>
        <w:lastRenderedPageBreak/>
        <w:t>been</w:t>
      </w:r>
      <w:r w:rsidR="00330E44" w:rsidRPr="00E76DA4">
        <w:rPr>
          <w:rFonts w:ascii="Calibri" w:hAnsi="Calibri"/>
          <w:lang w:val="en-US"/>
        </w:rPr>
        <w:t xml:space="preserve"> tasked with </w:t>
      </w:r>
      <w:r w:rsidR="00330E44">
        <w:rPr>
          <w:rFonts w:ascii="Calibri" w:hAnsi="Calibri"/>
          <w:lang w:val="en-US"/>
        </w:rPr>
        <w:t>and instead should remain an issue for further discussion possibly for the</w:t>
      </w:r>
      <w:r w:rsidR="00E76DA4">
        <w:rPr>
          <w:rFonts w:ascii="Calibri" w:hAnsi="Calibri"/>
          <w:lang w:val="en-US"/>
        </w:rPr>
        <w:t xml:space="preserve"> wider</w:t>
      </w:r>
      <w:r w:rsidR="00E76DA4" w:rsidRPr="00E76DA4">
        <w:rPr>
          <w:rFonts w:ascii="Calibri" w:hAnsi="Calibri"/>
          <w:lang w:val="en-US"/>
        </w:rPr>
        <w:t xml:space="preserve"> DQWG</w:t>
      </w:r>
      <w:r w:rsidR="00330E44">
        <w:rPr>
          <w:rFonts w:ascii="Calibri" w:hAnsi="Calibri"/>
          <w:lang w:val="en-US"/>
        </w:rPr>
        <w:t>.</w:t>
      </w:r>
      <w:r w:rsidR="008B6DF9" w:rsidRPr="00E76DA4">
        <w:rPr>
          <w:rFonts w:ascii="Calibri" w:hAnsi="Calibri"/>
          <w:lang w:val="en-US"/>
        </w:rPr>
        <w:t xml:space="preserve"> </w:t>
      </w:r>
    </w:p>
    <w:p w14:paraId="53986108" w14:textId="2173FF7E" w:rsidR="00DD4F7F" w:rsidRDefault="00DD4F7F" w:rsidP="00840E4C">
      <w:pPr>
        <w:rPr>
          <w:rFonts w:ascii="Calibri" w:hAnsi="Calibri"/>
          <w:lang w:val="en-US"/>
        </w:rPr>
      </w:pPr>
    </w:p>
    <w:p w14:paraId="05C018FD" w14:textId="6A9D94B3" w:rsidR="008B0EA1" w:rsidRDefault="00D505E3" w:rsidP="00330E44">
      <w:r w:rsidRPr="00DD4F7F">
        <w:rPr>
          <w:rFonts w:ascii="Calibri" w:hAnsi="Calibri"/>
          <w:i/>
          <w:lang w:val="en-US"/>
        </w:rPr>
        <w:t>Legeer</w:t>
      </w:r>
      <w:r>
        <w:rPr>
          <w:rFonts w:ascii="Calibri" w:hAnsi="Calibri"/>
          <w:i/>
          <w:lang w:val="en-US"/>
        </w:rPr>
        <w:t xml:space="preserve"> </w:t>
      </w:r>
      <w:r w:rsidRPr="00D505E3">
        <w:rPr>
          <w:rFonts w:ascii="Calibri" w:hAnsi="Calibri"/>
          <w:lang w:val="en-US"/>
        </w:rPr>
        <w:t xml:space="preserve">provided a recap of </w:t>
      </w:r>
      <w:r>
        <w:rPr>
          <w:rFonts w:ascii="Calibri" w:hAnsi="Calibri"/>
          <w:lang w:val="en-US"/>
        </w:rPr>
        <w:t>ongoing</w:t>
      </w:r>
      <w:r w:rsidRPr="00D505E3">
        <w:rPr>
          <w:rFonts w:ascii="Calibri" w:hAnsi="Calibri"/>
          <w:lang w:val="en-US"/>
        </w:rPr>
        <w:t xml:space="preserve"> discussion</w:t>
      </w:r>
      <w:r w:rsidR="00B1474C">
        <w:rPr>
          <w:rFonts w:ascii="Calibri" w:hAnsi="Calibri"/>
          <w:lang w:val="en-US"/>
        </w:rPr>
        <w:t xml:space="preserve"> regarding the role</w:t>
      </w:r>
      <w:r>
        <w:rPr>
          <w:rFonts w:ascii="Calibri" w:hAnsi="Calibri"/>
          <w:lang w:val="en-US"/>
        </w:rPr>
        <w:t xml:space="preserve"> that </w:t>
      </w:r>
      <w:r w:rsidR="00B1474C">
        <w:rPr>
          <w:rFonts w:ascii="Calibri" w:hAnsi="Calibri"/>
          <w:lang w:val="en-US"/>
        </w:rPr>
        <w:t xml:space="preserve">chart </w:t>
      </w:r>
      <w:r>
        <w:rPr>
          <w:rFonts w:ascii="Calibri" w:hAnsi="Calibri"/>
          <w:lang w:val="en-US"/>
        </w:rPr>
        <w:t xml:space="preserve">scale has with </w:t>
      </w:r>
      <w:r w:rsidR="00B1474C">
        <w:rPr>
          <w:rFonts w:ascii="Calibri" w:hAnsi="Calibri"/>
          <w:lang w:val="en-US"/>
        </w:rPr>
        <w:t xml:space="preserve">regards the </w:t>
      </w:r>
      <w:r>
        <w:rPr>
          <w:rFonts w:ascii="Calibri" w:hAnsi="Calibri"/>
          <w:lang w:val="en-US"/>
        </w:rPr>
        <w:t xml:space="preserve">current CATZOC symbolization. </w:t>
      </w:r>
      <w:r w:rsidR="00B1474C">
        <w:rPr>
          <w:rFonts w:ascii="Calibri" w:hAnsi="Calibri"/>
          <w:lang w:val="en-US"/>
        </w:rPr>
        <w:t>When cartographers create M_QUAL polygons and do not give adequate regard for the compilation scale of the chart the re</w:t>
      </w:r>
      <w:r w:rsidR="00B1474C" w:rsidRPr="00B1474C">
        <w:rPr>
          <w:rFonts w:ascii="Calibri" w:hAnsi="Calibri"/>
          <w:lang w:val="en-US"/>
        </w:rPr>
        <w:t xml:space="preserve">sults are areas that do not display correctly. </w:t>
      </w:r>
      <w:r w:rsidR="00B1474C">
        <w:rPr>
          <w:rFonts w:ascii="Calibri" w:hAnsi="Calibri"/>
          <w:lang w:val="en-US"/>
        </w:rPr>
        <w:t>Particularly smaller CATZOC ar</w:t>
      </w:r>
      <w:r w:rsidR="00B1474C" w:rsidRPr="00B1474C">
        <w:rPr>
          <w:rFonts w:ascii="Calibri" w:hAnsi="Calibri"/>
          <w:lang w:val="en-US"/>
        </w:rPr>
        <w:t xml:space="preserve">eas might disappear </w:t>
      </w:r>
      <w:r w:rsidR="006E5632" w:rsidRPr="00B1474C">
        <w:rPr>
          <w:rFonts w:ascii="Calibri" w:hAnsi="Calibri"/>
          <w:lang w:val="en-US"/>
        </w:rPr>
        <w:t>with CATZOC</w:t>
      </w:r>
      <w:r w:rsidR="00B1474C" w:rsidRPr="00B1474C">
        <w:rPr>
          <w:rFonts w:ascii="Calibri" w:hAnsi="Calibri"/>
          <w:lang w:val="en-US"/>
        </w:rPr>
        <w:t xml:space="preserve"> appearing to downgrade to the lower values of larger surrounding areas</w:t>
      </w:r>
      <w:r w:rsidR="006E5632">
        <w:rPr>
          <w:rFonts w:ascii="Calibri" w:hAnsi="Calibri"/>
          <w:lang w:val="en-US"/>
        </w:rPr>
        <w:t>.  The potential for such effects should be taken into account by HO’s when creating CATZOC polygons and attempting to assure they</w:t>
      </w:r>
      <w:r w:rsidR="008B0EA1">
        <w:rPr>
          <w:rFonts w:ascii="Calibri" w:hAnsi="Calibri"/>
          <w:lang w:val="en-US"/>
        </w:rPr>
        <w:t xml:space="preserve"> are</w:t>
      </w:r>
      <w:r w:rsidR="006E5632">
        <w:rPr>
          <w:rFonts w:ascii="Calibri" w:hAnsi="Calibri"/>
          <w:lang w:val="en-US"/>
        </w:rPr>
        <w:t xml:space="preserve"> of a suitable size</w:t>
      </w:r>
      <w:r w:rsidR="006E5632" w:rsidRPr="00A31506">
        <w:rPr>
          <w:rFonts w:ascii="Calibri" w:hAnsi="Calibri"/>
          <w:i/>
          <w:lang w:val="en-US"/>
        </w:rPr>
        <w:t>.</w:t>
      </w:r>
      <w:r w:rsidR="00330E44" w:rsidRPr="00A31506">
        <w:rPr>
          <w:rFonts w:ascii="Calibri" w:hAnsi="Calibri"/>
          <w:i/>
          <w:lang w:val="en-US"/>
        </w:rPr>
        <w:t xml:space="preserve"> </w:t>
      </w:r>
      <w:r w:rsidR="008B0EA1" w:rsidRPr="00A31506">
        <w:rPr>
          <w:rFonts w:ascii="Calibri" w:hAnsi="Calibri"/>
          <w:i/>
          <w:lang w:val="en-US"/>
        </w:rPr>
        <w:t>Di Lieto</w:t>
      </w:r>
      <w:r w:rsidR="008B0EA1" w:rsidRPr="00913558">
        <w:rPr>
          <w:rFonts w:ascii="Calibri" w:hAnsi="Calibri"/>
          <w:lang w:val="en-US"/>
        </w:rPr>
        <w:t xml:space="preserve"> (C</w:t>
      </w:r>
      <w:r w:rsidR="008B0EA1" w:rsidRPr="00A31506">
        <w:rPr>
          <w:rFonts w:ascii="Calibri" w:hAnsi="Calibri"/>
          <w:lang w:val="en-US"/>
        </w:rPr>
        <w:t>SMART</w:t>
      </w:r>
      <w:r w:rsidR="008B0EA1" w:rsidRPr="00913558">
        <w:rPr>
          <w:rFonts w:ascii="Calibri" w:hAnsi="Calibri"/>
          <w:lang w:val="en-US"/>
        </w:rPr>
        <w:t>)</w:t>
      </w:r>
      <w:r w:rsidR="008B0EA1" w:rsidRPr="00A31506">
        <w:rPr>
          <w:rFonts w:ascii="Calibri" w:hAnsi="Calibri"/>
          <w:lang w:val="en-US"/>
        </w:rPr>
        <w:t xml:space="preserve"> commented that as a user he was most interested in the other</w:t>
      </w:r>
      <w:r w:rsidR="00330E44" w:rsidRPr="00A31506">
        <w:rPr>
          <w:rFonts w:ascii="Calibri" w:hAnsi="Calibri"/>
          <w:lang w:val="en-US"/>
        </w:rPr>
        <w:t xml:space="preserve"> direction of this relationship, how compilation scales </w:t>
      </w:r>
      <w:r w:rsidR="006F6104">
        <w:rPr>
          <w:rFonts w:ascii="Calibri" w:hAnsi="Calibri"/>
          <w:lang w:val="en-US"/>
        </w:rPr>
        <w:t>are</w:t>
      </w:r>
      <w:r w:rsidR="00330E44" w:rsidRPr="00A31506">
        <w:rPr>
          <w:rFonts w:ascii="Calibri" w:hAnsi="Calibri"/>
          <w:lang w:val="en-US"/>
        </w:rPr>
        <w:t xml:space="preserve"> assigned based on CATZOC as a starting point. The need to consider the existence of CATZOC when determining compilation scales to </w:t>
      </w:r>
      <w:r w:rsidR="00A31506">
        <w:rPr>
          <w:rFonts w:ascii="Calibri" w:hAnsi="Calibri"/>
          <w:lang w:val="en-US"/>
        </w:rPr>
        <w:t>o</w:t>
      </w:r>
      <w:r w:rsidR="00A31506" w:rsidRPr="00A31506">
        <w:rPr>
          <w:rFonts w:ascii="Calibri" w:hAnsi="Calibri"/>
          <w:lang w:val="en-US"/>
        </w:rPr>
        <w:t>ptimise</w:t>
      </w:r>
      <w:r w:rsidR="00330E44" w:rsidRPr="00A31506">
        <w:rPr>
          <w:rFonts w:ascii="Calibri" w:hAnsi="Calibri"/>
          <w:lang w:val="en-US"/>
        </w:rPr>
        <w:t xml:space="preserve"> the effectiveness of products. </w:t>
      </w:r>
      <w:r w:rsidR="00A31506" w:rsidRPr="00A31506">
        <w:rPr>
          <w:rFonts w:ascii="Calibri" w:hAnsi="Calibri"/>
          <w:lang w:val="en-US"/>
        </w:rPr>
        <w:t>The issue</w:t>
      </w:r>
      <w:r w:rsidR="00A31506">
        <w:rPr>
          <w:rFonts w:ascii="Calibri" w:hAnsi="Calibri"/>
          <w:lang w:val="en-US"/>
        </w:rPr>
        <w:t xml:space="preserve"> of compilation scale is </w:t>
      </w:r>
      <w:r w:rsidR="00330E44">
        <w:rPr>
          <w:rFonts w:ascii="Calibri" w:hAnsi="Calibri"/>
          <w:lang w:val="en-US"/>
        </w:rPr>
        <w:t>tied into a consideration of</w:t>
      </w:r>
      <w:r w:rsidR="00A31506">
        <w:rPr>
          <w:rFonts w:ascii="Calibri" w:hAnsi="Calibri"/>
          <w:lang w:val="en-US"/>
        </w:rPr>
        <w:t xml:space="preserve"> a</w:t>
      </w:r>
      <w:r w:rsidR="00330E44">
        <w:rPr>
          <w:rFonts w:ascii="Calibri" w:hAnsi="Calibri"/>
          <w:lang w:val="en-US"/>
        </w:rPr>
        <w:t xml:space="preserve"> minimum size for CATZOC polygons</w:t>
      </w:r>
      <w:r w:rsidR="00A31506">
        <w:rPr>
          <w:rFonts w:ascii="Calibri" w:hAnsi="Calibri"/>
          <w:lang w:val="en-US"/>
        </w:rPr>
        <w:t xml:space="preserve"> and it was agreed that although these issues should remain as items of interest for group it does not directly relate to the drafting of the guidance document and </w:t>
      </w:r>
      <w:r w:rsidR="00A31506" w:rsidRPr="00A31506">
        <w:rPr>
          <w:rFonts w:ascii="Calibri" w:hAnsi="Calibri"/>
          <w:lang w:val="en-US"/>
        </w:rPr>
        <w:t>does not have to be resolved now</w:t>
      </w:r>
      <w:r w:rsidR="00E420F5">
        <w:rPr>
          <w:rFonts w:ascii="Calibri" w:hAnsi="Calibri"/>
          <w:lang w:val="en-US"/>
        </w:rPr>
        <w:t>.</w:t>
      </w:r>
    </w:p>
    <w:p w14:paraId="10162FEF" w14:textId="77777777" w:rsidR="006C711C" w:rsidRDefault="006C711C" w:rsidP="00F60897">
      <w:pPr>
        <w:pStyle w:val="Default"/>
        <w:jc w:val="both"/>
        <w:rPr>
          <w:lang w:val="en-GB"/>
        </w:rPr>
      </w:pPr>
    </w:p>
    <w:p w14:paraId="6494E5F8" w14:textId="1D13C4CF" w:rsidR="00B80FC2" w:rsidRDefault="00E420F5">
      <w:pPr>
        <w:rPr>
          <w:rFonts w:ascii="Calibri" w:hAnsi="Calibri"/>
          <w:lang w:val="en-US"/>
        </w:rPr>
      </w:pPr>
      <w:r w:rsidRPr="00E420F5">
        <w:rPr>
          <w:rFonts w:ascii="Calibri" w:hAnsi="Calibri"/>
          <w:lang w:val="en-US"/>
        </w:rPr>
        <w:t>The relation between S-44 and S-101 was discussed.</w:t>
      </w:r>
      <w:r w:rsidRPr="00E420F5">
        <w:rPr>
          <w:rFonts w:ascii="Helvetica" w:hAnsi="Helvetica"/>
          <w:i/>
        </w:rPr>
        <w:t xml:space="preserve"> </w:t>
      </w:r>
      <w:r w:rsidRPr="00E420F5">
        <w:rPr>
          <w:rFonts w:ascii="Calibri" w:hAnsi="Calibri"/>
          <w:i/>
          <w:lang w:val="en-US"/>
        </w:rPr>
        <w:t>Kastrisios</w:t>
      </w:r>
      <w:r w:rsidRPr="00E420F5">
        <w:rPr>
          <w:rFonts w:ascii="Calibri" w:hAnsi="Calibri"/>
          <w:lang w:val="en-US"/>
        </w:rPr>
        <w:t xml:space="preserve"> (UNH)</w:t>
      </w:r>
      <w:r>
        <w:rPr>
          <w:rFonts w:ascii="Calibri" w:hAnsi="Calibri"/>
          <w:lang w:val="en-US"/>
        </w:rPr>
        <w:t xml:space="preserve"> provided a presentation of </w:t>
      </w:r>
      <w:r w:rsidR="00724597">
        <w:rPr>
          <w:rFonts w:ascii="Calibri" w:hAnsi="Calibri"/>
          <w:lang w:val="en-US"/>
        </w:rPr>
        <w:t>a developing work with Gaumet (SHOM)</w:t>
      </w:r>
      <w:r>
        <w:rPr>
          <w:rFonts w:ascii="Calibri" w:hAnsi="Calibri"/>
          <w:lang w:val="en-US"/>
        </w:rPr>
        <w:t xml:space="preserve"> to create </w:t>
      </w:r>
      <w:r w:rsidR="006F6104">
        <w:rPr>
          <w:rFonts w:ascii="Calibri" w:hAnsi="Calibri"/>
          <w:lang w:val="en-US"/>
        </w:rPr>
        <w:t>matrices</w:t>
      </w:r>
      <w:r>
        <w:rPr>
          <w:rFonts w:ascii="Calibri" w:hAnsi="Calibri"/>
          <w:lang w:val="en-US"/>
        </w:rPr>
        <w:t xml:space="preserve"> to</w:t>
      </w:r>
      <w:r w:rsidR="00B80FC2">
        <w:rPr>
          <w:rFonts w:ascii="Calibri" w:hAnsi="Calibri"/>
          <w:lang w:val="en-US"/>
        </w:rPr>
        <w:t xml:space="preserve"> automatically </w:t>
      </w:r>
      <w:r>
        <w:rPr>
          <w:rFonts w:ascii="Calibri" w:hAnsi="Calibri"/>
          <w:lang w:val="en-US"/>
        </w:rPr>
        <w:t>convert S-44 values to CATZOC</w:t>
      </w:r>
      <w:r w:rsidR="00B80FC2">
        <w:rPr>
          <w:rFonts w:ascii="Calibri" w:hAnsi="Calibri"/>
          <w:lang w:val="en-US"/>
        </w:rPr>
        <w:t>/QoDB values.</w:t>
      </w:r>
      <w:r w:rsidR="00D93C17">
        <w:rPr>
          <w:rFonts w:ascii="Calibri" w:hAnsi="Calibri"/>
          <w:lang w:val="en-US"/>
        </w:rPr>
        <w:t xml:space="preserve"> </w:t>
      </w:r>
      <w:r w:rsidR="00724597">
        <w:rPr>
          <w:rFonts w:ascii="Calibri" w:hAnsi="Calibri"/>
          <w:lang w:val="en-US"/>
        </w:rPr>
        <w:t>The goal is to combine a</w:t>
      </w:r>
      <w:r w:rsidR="00D93C17">
        <w:rPr>
          <w:rFonts w:ascii="Calibri" w:hAnsi="Calibri"/>
          <w:lang w:val="en-US"/>
        </w:rPr>
        <w:t xml:space="preserve">ll the </w:t>
      </w:r>
      <w:r w:rsidR="00F66068">
        <w:rPr>
          <w:rFonts w:ascii="Calibri" w:hAnsi="Calibri"/>
          <w:lang w:val="en-US"/>
        </w:rPr>
        <w:t>different parameters</w:t>
      </w:r>
      <w:r w:rsidR="00D93C17">
        <w:rPr>
          <w:rFonts w:ascii="Calibri" w:hAnsi="Calibri"/>
          <w:lang w:val="en-US"/>
        </w:rPr>
        <w:t xml:space="preserve"> </w:t>
      </w:r>
      <w:r w:rsidR="00724597">
        <w:rPr>
          <w:rFonts w:ascii="Calibri" w:hAnsi="Calibri"/>
          <w:lang w:val="en-US"/>
        </w:rPr>
        <w:t>t</w:t>
      </w:r>
      <w:r w:rsidR="00D93C17">
        <w:rPr>
          <w:rFonts w:ascii="Calibri" w:hAnsi="Calibri"/>
          <w:lang w:val="en-US"/>
        </w:rPr>
        <w:t>o calculate a final value</w:t>
      </w:r>
      <w:r w:rsidR="00F66068">
        <w:rPr>
          <w:rFonts w:ascii="Calibri" w:hAnsi="Calibri"/>
          <w:lang w:val="en-US"/>
        </w:rPr>
        <w:t xml:space="preserve">. </w:t>
      </w:r>
      <w:r w:rsidR="00F66068" w:rsidRPr="00F66068">
        <w:rPr>
          <w:rFonts w:ascii="Calibri" w:hAnsi="Calibri"/>
          <w:i/>
          <w:lang w:val="en-US"/>
        </w:rPr>
        <w:t>Talbot</w:t>
      </w:r>
      <w:r w:rsidR="00F66068">
        <w:rPr>
          <w:rFonts w:ascii="Calibri" w:hAnsi="Calibri"/>
          <w:lang w:val="en-US"/>
        </w:rPr>
        <w:t xml:space="preserve"> enquired if the conversion matrix could be shared with the group. </w:t>
      </w:r>
      <w:r w:rsidR="00F66068" w:rsidRPr="00F66068">
        <w:rPr>
          <w:rFonts w:ascii="Calibri" w:hAnsi="Calibri"/>
          <w:i/>
          <w:lang w:val="en-US"/>
        </w:rPr>
        <w:t>Kastrisios</w:t>
      </w:r>
      <w:r w:rsidR="00F66068">
        <w:rPr>
          <w:rFonts w:ascii="Calibri" w:hAnsi="Calibri"/>
          <w:i/>
          <w:lang w:val="en-US"/>
        </w:rPr>
        <w:t xml:space="preserve"> </w:t>
      </w:r>
      <w:r w:rsidR="00F66068" w:rsidRPr="00F66068">
        <w:rPr>
          <w:rFonts w:ascii="Calibri" w:hAnsi="Calibri"/>
          <w:lang w:val="en-US"/>
        </w:rPr>
        <w:t>confirmed</w:t>
      </w:r>
      <w:r w:rsidR="00F66068">
        <w:rPr>
          <w:rFonts w:ascii="Calibri" w:hAnsi="Calibri"/>
          <w:lang w:val="en-US"/>
        </w:rPr>
        <w:t xml:space="preserve"> </w:t>
      </w:r>
      <w:r w:rsidR="00B7685B">
        <w:rPr>
          <w:rFonts w:ascii="Calibri" w:hAnsi="Calibri"/>
          <w:lang w:val="en-US"/>
        </w:rPr>
        <w:t>that</w:t>
      </w:r>
      <w:r w:rsidR="00F66068">
        <w:rPr>
          <w:rFonts w:ascii="Calibri" w:hAnsi="Calibri"/>
          <w:lang w:val="en-US"/>
        </w:rPr>
        <w:t xml:space="preserve"> the work could be shared with the group and </w:t>
      </w:r>
      <w:r w:rsidR="00B7685B">
        <w:rPr>
          <w:rFonts w:ascii="Calibri" w:hAnsi="Calibri"/>
          <w:lang w:val="en-US"/>
        </w:rPr>
        <w:t xml:space="preserve">welcomed feedback and input from other members regarding possible improvements. </w:t>
      </w:r>
      <w:r w:rsidR="006F6104" w:rsidRPr="006F6104">
        <w:rPr>
          <w:rFonts w:ascii="Calibri" w:hAnsi="Calibri"/>
          <w:lang w:val="en-US"/>
        </w:rPr>
        <w:t>It was</w:t>
      </w:r>
      <w:r w:rsidR="006F6104">
        <w:rPr>
          <w:rFonts w:ascii="Calibri" w:hAnsi="Calibri"/>
          <w:i/>
          <w:lang w:val="en-US"/>
        </w:rPr>
        <w:t xml:space="preserve"> </w:t>
      </w:r>
      <w:r w:rsidR="00B7685B">
        <w:rPr>
          <w:rFonts w:ascii="Calibri" w:hAnsi="Calibri"/>
          <w:lang w:val="en-US"/>
        </w:rPr>
        <w:t>agreed to make the work available to all members following the meeting.</w:t>
      </w:r>
    </w:p>
    <w:p w14:paraId="07E2BE35" w14:textId="77777777" w:rsidR="00D93C17" w:rsidRDefault="00D93C17">
      <w:pPr>
        <w:rPr>
          <w:b/>
          <w:bCs/>
          <w:sz w:val="28"/>
          <w:szCs w:val="28"/>
        </w:rPr>
      </w:pPr>
    </w:p>
    <w:p w14:paraId="6D966BD6" w14:textId="7FFB7634" w:rsidR="00B7685B" w:rsidRDefault="00D93C17">
      <w:pPr>
        <w:rPr>
          <w:rFonts w:ascii="Calibri" w:hAnsi="Calibri"/>
          <w:lang w:val="en-US"/>
        </w:rPr>
      </w:pPr>
      <w:r w:rsidRPr="00D93C17">
        <w:rPr>
          <w:rFonts w:ascii="Calibri" w:hAnsi="Calibri"/>
          <w:i/>
          <w:lang w:val="en-US"/>
        </w:rPr>
        <w:t>Guillam</w:t>
      </w:r>
      <w:r w:rsidRPr="00D93C17">
        <w:rPr>
          <w:rFonts w:ascii="Calibri" w:hAnsi="Calibri"/>
          <w:lang w:val="en-US"/>
        </w:rPr>
        <w:t xml:space="preserve"> (</w:t>
      </w:r>
      <w:r>
        <w:rPr>
          <w:rFonts w:ascii="Calibri" w:hAnsi="Calibri"/>
          <w:lang w:val="en-US"/>
        </w:rPr>
        <w:t xml:space="preserve">IHO </w:t>
      </w:r>
      <w:r w:rsidRPr="00D93C17">
        <w:rPr>
          <w:rFonts w:ascii="Calibri" w:hAnsi="Calibri"/>
          <w:lang w:val="en-US"/>
        </w:rPr>
        <w:t>Secr.)</w:t>
      </w:r>
      <w:r>
        <w:rPr>
          <w:rFonts w:ascii="Helvetica" w:hAnsi="Helvetica"/>
        </w:rPr>
        <w:t xml:space="preserve"> </w:t>
      </w:r>
      <w:r w:rsidRPr="00D93C17">
        <w:rPr>
          <w:rFonts w:ascii="Calibri" w:hAnsi="Calibri"/>
          <w:lang w:val="en-US"/>
        </w:rPr>
        <w:t>took</w:t>
      </w:r>
      <w:r>
        <w:rPr>
          <w:rFonts w:ascii="Calibri" w:hAnsi="Calibri"/>
          <w:lang w:val="en-US"/>
        </w:rPr>
        <w:t xml:space="preserve"> t</w:t>
      </w:r>
      <w:r w:rsidRPr="00D93C17">
        <w:rPr>
          <w:rFonts w:ascii="Calibri" w:hAnsi="Calibri"/>
          <w:lang w:val="en-US"/>
        </w:rPr>
        <w:t>he opportunity</w:t>
      </w:r>
      <w:r>
        <w:rPr>
          <w:rFonts w:ascii="Calibri" w:hAnsi="Calibri"/>
          <w:lang w:val="en-US"/>
        </w:rPr>
        <w:t xml:space="preserve"> to</w:t>
      </w:r>
      <w:r w:rsidRPr="00D93C17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emphasize</w:t>
      </w:r>
      <w:r w:rsidRPr="00D93C17">
        <w:rPr>
          <w:rFonts w:ascii="Calibri" w:hAnsi="Calibri"/>
          <w:lang w:val="en-US"/>
        </w:rPr>
        <w:t xml:space="preserve"> that the main objective of this subgroup is to provide guidance to the hydrographic offices to populate </w:t>
      </w:r>
      <w:r>
        <w:rPr>
          <w:rFonts w:ascii="Calibri" w:hAnsi="Calibri"/>
          <w:lang w:val="en-US"/>
        </w:rPr>
        <w:t xml:space="preserve">CATZOC </w:t>
      </w:r>
      <w:r w:rsidRPr="00D93C17">
        <w:rPr>
          <w:rFonts w:ascii="Calibri" w:hAnsi="Calibri"/>
          <w:lang w:val="en-US"/>
        </w:rPr>
        <w:t>values from survey data</w:t>
      </w:r>
      <w:r>
        <w:rPr>
          <w:rFonts w:ascii="Calibri" w:hAnsi="Calibri"/>
          <w:lang w:val="en-US"/>
        </w:rPr>
        <w:t xml:space="preserve"> and </w:t>
      </w:r>
      <w:r w:rsidR="00F66068">
        <w:rPr>
          <w:rFonts w:ascii="Calibri" w:hAnsi="Calibri"/>
          <w:lang w:val="en-US"/>
        </w:rPr>
        <w:t>recommended</w:t>
      </w:r>
      <w:r>
        <w:rPr>
          <w:rFonts w:ascii="Calibri" w:hAnsi="Calibri"/>
          <w:lang w:val="en-US"/>
        </w:rPr>
        <w:t xml:space="preserve"> a pragmatic approach </w:t>
      </w:r>
      <w:r w:rsidR="00F66068">
        <w:rPr>
          <w:rFonts w:ascii="Calibri" w:hAnsi="Calibri"/>
          <w:lang w:val="en-US"/>
        </w:rPr>
        <w:t xml:space="preserve">focusing on this main task </w:t>
      </w:r>
      <w:r>
        <w:rPr>
          <w:rFonts w:ascii="Calibri" w:hAnsi="Calibri"/>
          <w:lang w:val="en-US"/>
        </w:rPr>
        <w:t xml:space="preserve">to </w:t>
      </w:r>
      <w:r w:rsidR="00F66068">
        <w:rPr>
          <w:rFonts w:ascii="Calibri" w:hAnsi="Calibri"/>
          <w:lang w:val="en-US"/>
        </w:rPr>
        <w:t>ensure that this target is met.</w:t>
      </w:r>
      <w:r w:rsidR="00B7685B">
        <w:rPr>
          <w:rFonts w:ascii="Calibri" w:hAnsi="Calibri"/>
          <w:lang w:val="en-US"/>
        </w:rPr>
        <w:t xml:space="preserve"> </w:t>
      </w:r>
    </w:p>
    <w:p w14:paraId="3817A61F" w14:textId="3262E480" w:rsidR="006F6104" w:rsidRPr="00AA5900" w:rsidRDefault="00B7685B">
      <w:pPr>
        <w:rPr>
          <w:rFonts w:ascii="Calibri" w:hAnsi="Calibri"/>
          <w:lang w:val="en-US"/>
        </w:rPr>
      </w:pPr>
      <w:r w:rsidRPr="00B7685B">
        <w:rPr>
          <w:rFonts w:ascii="Calibri" w:hAnsi="Calibri"/>
          <w:i/>
          <w:lang w:val="en-US"/>
        </w:rPr>
        <w:t>Hands</w:t>
      </w:r>
      <w:r>
        <w:rPr>
          <w:rFonts w:ascii="Calibri" w:hAnsi="Calibri"/>
          <w:lang w:val="en-US"/>
        </w:rPr>
        <w:t xml:space="preserve"> </w:t>
      </w:r>
      <w:r w:rsidR="006F6104">
        <w:rPr>
          <w:rFonts w:ascii="Calibri" w:hAnsi="Calibri"/>
          <w:lang w:val="en-US"/>
        </w:rPr>
        <w:t xml:space="preserve">(Chair) noted </w:t>
      </w:r>
      <w:r>
        <w:rPr>
          <w:rFonts w:ascii="Calibri" w:hAnsi="Calibri"/>
          <w:lang w:val="en-US"/>
        </w:rPr>
        <w:t>his agreement with the need for a pragmatic approach and suggested that the group begin work to produce a first draft of the</w:t>
      </w:r>
      <w:r w:rsidR="006F6104">
        <w:rPr>
          <w:rFonts w:ascii="Calibri" w:hAnsi="Calibri"/>
          <w:lang w:val="en-US"/>
        </w:rPr>
        <w:t xml:space="preserve"> guidance</w:t>
      </w:r>
      <w:r>
        <w:rPr>
          <w:rFonts w:ascii="Calibri" w:hAnsi="Calibri"/>
          <w:lang w:val="en-US"/>
        </w:rPr>
        <w:t xml:space="preserve"> document</w:t>
      </w:r>
      <w:r w:rsidR="00520E09">
        <w:rPr>
          <w:rFonts w:ascii="Calibri" w:hAnsi="Calibri"/>
          <w:lang w:val="en-US"/>
        </w:rPr>
        <w:t xml:space="preserve"> which </w:t>
      </w:r>
      <w:r w:rsidR="006F6104">
        <w:rPr>
          <w:rFonts w:ascii="Calibri" w:hAnsi="Calibri"/>
          <w:lang w:val="en-US"/>
        </w:rPr>
        <w:t xml:space="preserve">could them from the </w:t>
      </w:r>
      <w:r w:rsidR="00520E09">
        <w:rPr>
          <w:rFonts w:ascii="Calibri" w:hAnsi="Calibri"/>
          <w:lang w:val="en-US"/>
        </w:rPr>
        <w:t>basis for further discussion and refinement and s</w:t>
      </w:r>
      <w:r w:rsidR="00520E09" w:rsidRPr="00520E09">
        <w:rPr>
          <w:rFonts w:ascii="Calibri" w:hAnsi="Calibri"/>
          <w:lang w:val="en-US"/>
        </w:rPr>
        <w:t>upport for this approach was received</w:t>
      </w:r>
      <w:r w:rsidR="00520E09">
        <w:rPr>
          <w:rFonts w:ascii="Calibri" w:hAnsi="Calibri"/>
          <w:lang w:val="en-US"/>
        </w:rPr>
        <w:t>.</w:t>
      </w:r>
      <w:r w:rsidR="006F6104">
        <w:rPr>
          <w:rFonts w:ascii="Calibri" w:hAnsi="Calibri"/>
          <w:lang w:val="en-US"/>
        </w:rPr>
        <w:t xml:space="preserve"> </w:t>
      </w:r>
      <w:r w:rsidR="00520E09">
        <w:rPr>
          <w:rFonts w:ascii="Calibri" w:hAnsi="Calibri"/>
          <w:lang w:val="en-US"/>
        </w:rPr>
        <w:t xml:space="preserve"> </w:t>
      </w:r>
      <w:r w:rsidR="00BD53D1" w:rsidRPr="00F66068">
        <w:rPr>
          <w:rFonts w:ascii="Calibri" w:hAnsi="Calibri"/>
          <w:i/>
          <w:lang w:val="en-US"/>
        </w:rPr>
        <w:t>Kastrisios</w:t>
      </w:r>
      <w:r w:rsidR="00520E09">
        <w:rPr>
          <w:rFonts w:ascii="Calibri" w:hAnsi="Calibri"/>
          <w:lang w:val="en-US"/>
        </w:rPr>
        <w:t xml:space="preserve"> </w:t>
      </w:r>
      <w:r w:rsidR="00BD53D1">
        <w:rPr>
          <w:rFonts w:ascii="Calibri" w:hAnsi="Calibri"/>
          <w:lang w:val="en-US"/>
        </w:rPr>
        <w:t>reminded</w:t>
      </w:r>
      <w:r w:rsidR="00520E09">
        <w:rPr>
          <w:rFonts w:ascii="Calibri" w:hAnsi="Calibri"/>
          <w:lang w:val="en-US"/>
        </w:rPr>
        <w:t xml:space="preserve"> the group of the Survey to ZOC document compiled prior to the previous meeting o</w:t>
      </w:r>
      <w:r w:rsidR="00BD53D1">
        <w:rPr>
          <w:rFonts w:ascii="Calibri" w:hAnsi="Calibri"/>
          <w:lang w:val="en-US"/>
        </w:rPr>
        <w:t>f the group</w:t>
      </w:r>
      <w:r w:rsidR="00520E09">
        <w:rPr>
          <w:rFonts w:ascii="Calibri" w:hAnsi="Calibri"/>
          <w:lang w:val="en-US"/>
        </w:rPr>
        <w:t xml:space="preserve"> and it was suggested that this could form a good basis for further work. </w:t>
      </w:r>
      <w:r w:rsidR="00BD53D1">
        <w:rPr>
          <w:rFonts w:ascii="Calibri" w:hAnsi="Calibri"/>
          <w:lang w:val="en-US"/>
        </w:rPr>
        <w:t>An updated version of this document has been prepared and it was agreed that this would be shared with all members</w:t>
      </w:r>
      <w:r w:rsidR="00AA5900">
        <w:rPr>
          <w:rFonts w:ascii="Calibri" w:hAnsi="Calibri"/>
          <w:lang w:val="en-US"/>
        </w:rPr>
        <w:t>.</w:t>
      </w:r>
      <w:r w:rsidR="007836C8">
        <w:rPr>
          <w:rFonts w:ascii="Calibri" w:hAnsi="Calibri"/>
          <w:lang w:val="en-US"/>
        </w:rPr>
        <w:t xml:space="preserve"> </w:t>
      </w:r>
      <w:r w:rsidR="00AA5900" w:rsidRPr="00AA5900">
        <w:rPr>
          <w:rFonts w:ascii="Calibri" w:hAnsi="Calibri"/>
          <w:i/>
          <w:lang w:val="en-US"/>
        </w:rPr>
        <w:t>Hands</w:t>
      </w:r>
      <w:r w:rsidR="00AA5900">
        <w:rPr>
          <w:rFonts w:ascii="Calibri" w:hAnsi="Calibri"/>
          <w:lang w:val="en-US"/>
        </w:rPr>
        <w:t xml:space="preserve"> agreed to investigate the best method of organise the collaborative drafting of </w:t>
      </w:r>
      <w:r w:rsidR="00AA5900" w:rsidRPr="00AA5900">
        <w:rPr>
          <w:rFonts w:ascii="Calibri" w:hAnsi="Calibri"/>
          <w:lang w:val="en-US"/>
        </w:rPr>
        <w:t>the shared document and share details with the members so that work could begin.</w:t>
      </w:r>
    </w:p>
    <w:p w14:paraId="18A1C8CA" w14:textId="77777777" w:rsidR="006F6104" w:rsidRDefault="006F6104">
      <w:pPr>
        <w:rPr>
          <w:rFonts w:ascii="Calibri" w:hAnsi="Calibri"/>
          <w:lang w:val="en-US"/>
        </w:rPr>
      </w:pPr>
    </w:p>
    <w:p w14:paraId="72D84837" w14:textId="1DEFEE9D" w:rsidR="00416330" w:rsidRPr="00E420F5" w:rsidRDefault="00416330">
      <w:pPr>
        <w:rPr>
          <w:rFonts w:ascii="Helvetica" w:hAnsi="Helvetica" w:cs="Arial Unicode MS"/>
          <w:b/>
          <w:bCs/>
          <w:color w:val="000000"/>
          <w:sz w:val="28"/>
          <w:szCs w:val="28"/>
          <w:u w:color="000000"/>
          <w:lang w:eastAsia="nl-NL"/>
        </w:rPr>
      </w:pPr>
      <w:r w:rsidRPr="00E420F5">
        <w:rPr>
          <w:b/>
          <w:bCs/>
          <w:sz w:val="28"/>
          <w:szCs w:val="28"/>
        </w:rPr>
        <w:br w:type="page"/>
      </w:r>
    </w:p>
    <w:p w14:paraId="0115EF8E" w14:textId="7FBF8EDA" w:rsidR="00CE0494" w:rsidRPr="00894D83" w:rsidRDefault="00911AFD">
      <w:pPr>
        <w:pStyle w:val="BodyA"/>
        <w:jc w:val="center"/>
        <w:rPr>
          <w:b/>
          <w:bCs/>
          <w:sz w:val="28"/>
          <w:szCs w:val="28"/>
          <w:lang w:val="en-GB"/>
        </w:rPr>
      </w:pPr>
      <w:r w:rsidRPr="00894D83">
        <w:rPr>
          <w:b/>
          <w:bCs/>
          <w:sz w:val="28"/>
          <w:szCs w:val="28"/>
          <w:lang w:val="en-GB"/>
        </w:rPr>
        <w:lastRenderedPageBreak/>
        <w:t>ANNEX B – List of Decision and Actions</w:t>
      </w:r>
    </w:p>
    <w:p w14:paraId="5CC85F55" w14:textId="2021A2AB" w:rsidR="00CE0494" w:rsidRPr="00894D83" w:rsidRDefault="00CE0494">
      <w:pPr>
        <w:pStyle w:val="BodyA"/>
        <w:rPr>
          <w:lang w:val="en-GB"/>
        </w:rPr>
      </w:pPr>
    </w:p>
    <w:tbl>
      <w:tblPr>
        <w:tblW w:w="97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ook w:val="04A0" w:firstRow="1" w:lastRow="0" w:firstColumn="1" w:lastColumn="0" w:noHBand="0" w:noVBand="1"/>
      </w:tblPr>
      <w:tblGrid>
        <w:gridCol w:w="783"/>
        <w:gridCol w:w="2338"/>
        <w:gridCol w:w="1267"/>
        <w:gridCol w:w="1194"/>
        <w:gridCol w:w="4135"/>
      </w:tblGrid>
      <w:tr w:rsidR="00AA5900" w:rsidRPr="00894D83" w14:paraId="62BFD404" w14:textId="1E4F15CD" w:rsidTr="00AA5900">
        <w:trPr>
          <w:trHeight w:val="733"/>
          <w:tblHeader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5224" w14:textId="2D59D716" w:rsidR="00AA5900" w:rsidRPr="00894D83" w:rsidRDefault="00AA5900">
            <w:pPr>
              <w:pStyle w:val="TableStyle1A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Action item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57C1" w14:textId="77777777" w:rsidR="00AA5900" w:rsidRPr="00894D83" w:rsidRDefault="00AA5900">
            <w:pPr>
              <w:pStyle w:val="TableStyle1A"/>
              <w:spacing w:after="0" w:line="240" w:lineRule="auto"/>
              <w:rPr>
                <w:lang w:val="en-GB"/>
              </w:rPr>
            </w:pPr>
            <w:r w:rsidRPr="00894D83">
              <w:rPr>
                <w:lang w:val="en-GB"/>
              </w:rPr>
              <w:t>Actions (in bold, action by)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49F4" w14:textId="77777777" w:rsidR="00AA5900" w:rsidRPr="00894D83" w:rsidRDefault="00AA5900">
            <w:pPr>
              <w:pStyle w:val="TableStyle1A"/>
              <w:spacing w:after="0" w:line="240" w:lineRule="auto"/>
              <w:rPr>
                <w:lang w:val="en-GB"/>
              </w:rPr>
            </w:pPr>
            <w:r w:rsidRPr="00894D83">
              <w:rPr>
                <w:lang w:val="en-GB"/>
              </w:rPr>
              <w:t>Target Date/Event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CA04" w14:textId="674E6C44" w:rsidR="00AA5900" w:rsidRPr="00894D83" w:rsidRDefault="00AA5900" w:rsidP="007836C8">
            <w:pPr>
              <w:pStyle w:val="TableStyle1A"/>
              <w:spacing w:after="0" w:line="240" w:lineRule="auto"/>
              <w:rPr>
                <w:lang w:val="en-GB"/>
              </w:rPr>
            </w:pPr>
            <w:r w:rsidRPr="00894D83">
              <w:rPr>
                <w:lang w:val="en-GB"/>
              </w:rPr>
              <w:t>Status (</w:t>
            </w:r>
            <w:r>
              <w:rPr>
                <w:lang w:val="en-GB"/>
              </w:rPr>
              <w:t>21 September 2021</w:t>
            </w:r>
            <w:r w:rsidRPr="00894D83">
              <w:rPr>
                <w:lang w:val="en-GB"/>
              </w:rPr>
              <w:t>)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</w:tcPr>
          <w:p w14:paraId="5B041F9B" w14:textId="5AB18F8C" w:rsidR="00AA5900" w:rsidRPr="00894D83" w:rsidRDefault="00AA5900" w:rsidP="007836C8">
            <w:pPr>
              <w:pStyle w:val="TableStyle1A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AA5900" w:rsidRPr="00894D83" w14:paraId="01AB3BB2" w14:textId="483D57BF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30218" w14:textId="533B3D45" w:rsidR="00AA5900" w:rsidRDefault="00AA5900" w:rsidP="007836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5686" w14:textId="79B71537" w:rsidR="00AA5900" w:rsidRPr="00894D83" w:rsidRDefault="00AA5900" w:rsidP="00A1371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Update rate of S-101 versus S-102 and associated CATZOC values.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12E6" w14:textId="4B5115B7" w:rsidR="00AA5900" w:rsidRPr="00894D83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DQWG17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A838" w14:textId="419E8007" w:rsidR="00AA5900" w:rsidRPr="00894D83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1D70" w14:textId="6AED2F0C" w:rsidR="00AA5900" w:rsidRDefault="00AA5900" w:rsidP="007836C8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Issue not directly related to</w:t>
            </w:r>
            <w:r w:rsidR="00B84169">
              <w:rPr>
                <w:b w:val="0"/>
                <w:sz w:val="18"/>
                <w:szCs w:val="18"/>
                <w:lang w:val="en-GB"/>
              </w:rPr>
              <w:t xml:space="preserve"> initial</w:t>
            </w:r>
            <w:r>
              <w:rPr>
                <w:b w:val="0"/>
                <w:sz w:val="18"/>
                <w:szCs w:val="18"/>
                <w:lang w:val="en-GB"/>
              </w:rPr>
              <w:t xml:space="preserve"> drafting of</w:t>
            </w:r>
            <w:r w:rsidR="00B84169">
              <w:rPr>
                <w:b w:val="0"/>
                <w:sz w:val="18"/>
                <w:szCs w:val="18"/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en-GB"/>
              </w:rPr>
              <w:t>guidance document – to remain item of interest</w:t>
            </w:r>
            <w:r w:rsidR="00B84169">
              <w:rPr>
                <w:b w:val="0"/>
                <w:sz w:val="18"/>
                <w:szCs w:val="18"/>
                <w:lang w:val="en-GB"/>
              </w:rPr>
              <w:t xml:space="preserve"> for the group</w:t>
            </w:r>
            <w:r>
              <w:rPr>
                <w:b w:val="0"/>
                <w:sz w:val="18"/>
                <w:szCs w:val="18"/>
                <w:lang w:val="en-GB"/>
              </w:rPr>
              <w:t xml:space="preserve"> </w:t>
            </w:r>
          </w:p>
        </w:tc>
      </w:tr>
      <w:tr w:rsidR="00AA5900" w:rsidRPr="00894D83" w14:paraId="51F7E329" w14:textId="0CE256D7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5456" w14:textId="56E34E3A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A1B1" w14:textId="0CAC14E4" w:rsidR="00AA5900" w:rsidRDefault="00AA5900" w:rsidP="00EA0E5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Inclusion of compilation scale.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8F7D0" w14:textId="41603520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DQWG17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7D1C9" w14:textId="0978FBB7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210A" w14:textId="361B1838" w:rsidR="00AA5900" w:rsidRDefault="00B84169" w:rsidP="007836C8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Issue not directly related to initial drafting of guidance document – to remain item of interest for the group</w:t>
            </w:r>
          </w:p>
        </w:tc>
      </w:tr>
      <w:tr w:rsidR="00AA5900" w:rsidRPr="00894D83" w14:paraId="44B92C1C" w14:textId="0542598C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CEE3B" w14:textId="4225E841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F422D" w14:textId="0D034172" w:rsidR="00AA5900" w:rsidRDefault="00AA5900" w:rsidP="00EA0E5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Minimum size of a CATZOC polygon.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969C" w14:textId="691C7220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DQWG17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A57C" w14:textId="400DC3BE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0C53" w14:textId="57D61906" w:rsidR="00AA5900" w:rsidRDefault="00B84169" w:rsidP="007836C8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Issue not directly related to initial drafting of guidance document – to remain item of interest for the group</w:t>
            </w:r>
          </w:p>
        </w:tc>
      </w:tr>
      <w:tr w:rsidR="00AA5900" w:rsidRPr="00894D83" w14:paraId="273A5528" w14:textId="7B4FBC64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CB8B" w14:textId="12349344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7CF78" w14:textId="0F3DB971" w:rsidR="00AA5900" w:rsidRDefault="00AA5900" w:rsidP="00EA0E5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Order 1a, Special Order and Exclusive order all translate into CATZOC A1.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EECB6" w14:textId="566A77CF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DQWG17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E2D8" w14:textId="310BB9A4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B4C47" w14:textId="05402FCA" w:rsidR="00AA5900" w:rsidRDefault="00B84169" w:rsidP="00F4586B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 xml:space="preserve">Conversion </w:t>
            </w:r>
            <w:r w:rsidR="00F4586B">
              <w:rPr>
                <w:b w:val="0"/>
                <w:sz w:val="18"/>
                <w:szCs w:val="18"/>
                <w:lang w:val="en-GB"/>
              </w:rPr>
              <w:t>matrices</w:t>
            </w:r>
            <w:r>
              <w:rPr>
                <w:b w:val="0"/>
                <w:sz w:val="18"/>
                <w:szCs w:val="18"/>
                <w:lang w:val="en-GB"/>
              </w:rPr>
              <w:t xml:space="preserve"> – will assist in the mapping of different survey orders to C</w:t>
            </w:r>
            <w:r w:rsidR="00F4586B">
              <w:rPr>
                <w:b w:val="0"/>
                <w:sz w:val="18"/>
                <w:szCs w:val="18"/>
                <w:lang w:val="en-GB"/>
              </w:rPr>
              <w:t>ATZOC</w:t>
            </w:r>
            <w:r>
              <w:rPr>
                <w:b w:val="0"/>
                <w:sz w:val="18"/>
                <w:szCs w:val="18"/>
                <w:lang w:val="en-GB"/>
              </w:rPr>
              <w:t xml:space="preserve"> values</w:t>
            </w:r>
          </w:p>
        </w:tc>
      </w:tr>
      <w:tr w:rsidR="00AA5900" w:rsidRPr="00894D83" w14:paraId="64FC2D27" w14:textId="0FAA14B1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A8125" w14:textId="73624A2C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A75C" w14:textId="14606A2D" w:rsidR="00AA5900" w:rsidRDefault="00AA5900" w:rsidP="00EA0E5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Impact analysis on changing CATZOC parameters into a direct alignment with S-44 parameters (what to do with existing CATZOC values).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85349" w14:textId="20A870CE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DQWG17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FC959" w14:textId="4839DF8D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7610" w14:textId="77777777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A5900" w:rsidRPr="00894D83" w14:paraId="45A4CA71" w14:textId="1305FA4A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7FB17" w14:textId="58BC9E1D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1/6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32838" w14:textId="067C1A41" w:rsidR="00AA5900" w:rsidRDefault="00AA5900" w:rsidP="00EA0E5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DQWG to report on the progress of task HSSC13/50. Liaise with other WGs/PTs as considered appropriate.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AD41E" w14:textId="6207F512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HSSC14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872B2" w14:textId="66519BFD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9E61" w14:textId="77777777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A5900" w:rsidRPr="00894D83" w14:paraId="574EEA0F" w14:textId="77777777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1FE1" w14:textId="0C307307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2/1        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48D1" w14:textId="50A1D95A" w:rsidR="00AA5900" w:rsidRDefault="00AA5900" w:rsidP="00EA0E5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 xml:space="preserve">Survey-to-ZOC document and </w:t>
            </w:r>
            <w:r w:rsidR="0082737B">
              <w:rPr>
                <w:b w:val="0"/>
                <w:sz w:val="18"/>
                <w:szCs w:val="18"/>
                <w:lang w:val="en-GB"/>
              </w:rPr>
              <w:t>matrices</w:t>
            </w:r>
            <w:r>
              <w:rPr>
                <w:b w:val="0"/>
                <w:sz w:val="18"/>
                <w:szCs w:val="18"/>
                <w:lang w:val="en-GB"/>
              </w:rPr>
              <w:t xml:space="preserve"> to be shared with the group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2EAD" w14:textId="3180E06A" w:rsidR="00AA5900" w:rsidRDefault="00B84169" w:rsidP="00B841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1 October 2021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77E4" w14:textId="6BDC5E8B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45E3" w14:textId="77777777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A5900" w:rsidRPr="00894D83" w14:paraId="31B754F7" w14:textId="77777777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E684" w14:textId="3A1EF413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2/2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1430" w14:textId="4AF79DB4" w:rsidR="00AA5900" w:rsidRPr="00AA5900" w:rsidRDefault="00B84169" w:rsidP="00EA0E54">
            <w:pPr>
              <w:pStyle w:val="TableStyle1A"/>
              <w:spacing w:after="0" w:line="240" w:lineRule="auto"/>
              <w:rPr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 xml:space="preserve">Chair to </w:t>
            </w:r>
            <w:r w:rsidR="00AA5900">
              <w:rPr>
                <w:rFonts w:ascii="Calibri" w:hAnsi="Calibri"/>
                <w:b w:val="0"/>
                <w:lang w:val="en-GB"/>
              </w:rPr>
              <w:t>I</w:t>
            </w:r>
            <w:r w:rsidR="00AA5900" w:rsidRPr="00AA5900">
              <w:rPr>
                <w:rFonts w:ascii="Calibri" w:hAnsi="Calibri"/>
                <w:b w:val="0"/>
                <w:lang w:val="en-US"/>
              </w:rPr>
              <w:t>nvestigate the best method of organize the collaborative drafting of the shared document and share details with group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0338E" w14:textId="64CCD3FC" w:rsidR="00AA5900" w:rsidRDefault="00B84169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1 October 2021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69850" w14:textId="79EB42F6" w:rsidR="00AA5900" w:rsidRDefault="00B84169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Open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2B14" w14:textId="77777777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A5900" w:rsidRPr="00894D83" w14:paraId="42F59A3F" w14:textId="77777777" w:rsidTr="00AA5900">
        <w:tblPrEx>
          <w:shd w:val="clear" w:color="auto" w:fill="CEDDEB"/>
        </w:tblPrEx>
        <w:trPr>
          <w:trHeight w:val="530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9DE0" w14:textId="3278B316" w:rsidR="00AA5900" w:rsidRDefault="00AA5900" w:rsidP="00457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3/2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C182" w14:textId="5A479A4A" w:rsidR="00AA5900" w:rsidRPr="00B84169" w:rsidRDefault="00AA5900" w:rsidP="00EA0E54">
            <w:pPr>
              <w:pStyle w:val="TableStyle1A"/>
              <w:spacing w:after="0" w:line="240" w:lineRule="auto"/>
              <w:rPr>
                <w:rFonts w:ascii="Calibri" w:hAnsi="Calibri"/>
                <w:b w:val="0"/>
                <w:lang w:val="en-US"/>
              </w:rPr>
            </w:pPr>
            <w:r w:rsidRPr="00B84169">
              <w:rPr>
                <w:rFonts w:ascii="Calibri" w:hAnsi="Calibri"/>
                <w:b w:val="0"/>
                <w:lang w:val="en-US"/>
              </w:rPr>
              <w:t xml:space="preserve">Create a first draft of the guidance document </w:t>
            </w:r>
            <w:r w:rsidR="00B84169" w:rsidRPr="00B84169">
              <w:rPr>
                <w:rFonts w:ascii="Calibri" w:hAnsi="Calibri"/>
                <w:b w:val="0"/>
                <w:lang w:val="en-US"/>
              </w:rPr>
              <w:t>– to enable further discussion and editing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964E1" w14:textId="6348EC6B" w:rsidR="00AA5900" w:rsidRDefault="00B84169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Dec 2021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FDE9C" w14:textId="77777777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DC78" w14:textId="77777777" w:rsidR="00AA5900" w:rsidRDefault="00AA5900" w:rsidP="00564869">
            <w:pPr>
              <w:pStyle w:val="TableStyle1A"/>
              <w:spacing w:after="0" w:line="240" w:lineRule="auto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477ABA6A" w14:textId="77777777" w:rsidR="00CE0494" w:rsidRPr="00894D83" w:rsidRDefault="00CE0494" w:rsidP="00A87BE7">
      <w:pPr>
        <w:pStyle w:val="BodyA"/>
        <w:widowControl w:val="0"/>
        <w:spacing w:line="240" w:lineRule="auto"/>
        <w:rPr>
          <w:lang w:val="en-GB"/>
        </w:rPr>
      </w:pPr>
    </w:p>
    <w:p w14:paraId="4A4E3F83" w14:textId="77777777" w:rsidR="00CE0494" w:rsidRPr="00894D83" w:rsidRDefault="00CE0494" w:rsidP="00A87BE7">
      <w:pPr>
        <w:pStyle w:val="BodyA"/>
        <w:jc w:val="center"/>
        <w:rPr>
          <w:b/>
          <w:bCs/>
          <w:sz w:val="28"/>
          <w:szCs w:val="28"/>
          <w:lang w:val="en-GB"/>
        </w:rPr>
      </w:pPr>
    </w:p>
    <w:sectPr w:rsidR="00CE0494" w:rsidRPr="00894D8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BB27" w14:textId="77777777" w:rsidR="00E72557" w:rsidRDefault="00E72557">
      <w:r>
        <w:separator/>
      </w:r>
    </w:p>
  </w:endnote>
  <w:endnote w:type="continuationSeparator" w:id="0">
    <w:p w14:paraId="5ADDB254" w14:textId="77777777" w:rsidR="00E72557" w:rsidRDefault="00E7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184A" w14:textId="77777777" w:rsidR="00AA5900" w:rsidRDefault="00AA5900">
    <w:pPr>
      <w:pStyle w:val="Footer"/>
      <w:pBdr>
        <w:bottom w:val="single" w:sz="6" w:space="0" w:color="000000"/>
      </w:pBdr>
    </w:pPr>
  </w:p>
  <w:p w14:paraId="0D03A787" w14:textId="77777777" w:rsidR="00AA5900" w:rsidRDefault="00AA5900">
    <w:pPr>
      <w:pStyle w:val="Footer"/>
    </w:pPr>
  </w:p>
  <w:p w14:paraId="603E94F2" w14:textId="482E6376" w:rsidR="00AA5900" w:rsidRDefault="00AA5900">
    <w:pPr>
      <w:pStyle w:val="Footer"/>
    </w:pPr>
    <w:r>
      <w:t>Draft Minutes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458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5223" w14:textId="77777777" w:rsidR="00E72557" w:rsidRDefault="00E72557">
      <w:r>
        <w:separator/>
      </w:r>
    </w:p>
  </w:footnote>
  <w:footnote w:type="continuationSeparator" w:id="0">
    <w:p w14:paraId="615F3019" w14:textId="77777777" w:rsidR="00E72557" w:rsidRDefault="00E7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F1E3" w14:textId="77777777" w:rsidR="00AA5900" w:rsidRDefault="00AA5900">
    <w:pPr>
      <w:pStyle w:val="Header"/>
    </w:pPr>
  </w:p>
  <w:p w14:paraId="38864F48" w14:textId="77777777" w:rsidR="00AA5900" w:rsidRDefault="00AA5900">
    <w:pPr>
      <w:pStyle w:val="Header"/>
    </w:pPr>
  </w:p>
  <w:p w14:paraId="139C5161" w14:textId="77777777" w:rsidR="00AA5900" w:rsidRDefault="00AA5900">
    <w:pPr>
      <w:pStyle w:val="Header"/>
    </w:pPr>
    <w:r w:rsidRPr="00453CDF">
      <w:rPr>
        <w:rFonts w:ascii="Arial" w:hAnsi="Arial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AC606D5" wp14:editId="3A00D5D9">
          <wp:simplePos x="0" y="0"/>
          <wp:positionH relativeFrom="margin">
            <wp:align>center</wp:align>
          </wp:positionH>
          <wp:positionV relativeFrom="page">
            <wp:posOffset>101930</wp:posOffset>
          </wp:positionV>
          <wp:extent cx="5749200" cy="7632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91F"/>
    <w:multiLevelType w:val="hybridMultilevel"/>
    <w:tmpl w:val="C5E2F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36C"/>
    <w:multiLevelType w:val="hybridMultilevel"/>
    <w:tmpl w:val="E814EEA8"/>
    <w:styleLink w:val="Bullets"/>
    <w:lvl w:ilvl="0" w:tplc="69A8EE1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6D61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4B13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A227E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8850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88F0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6394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02A6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CBB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377624"/>
    <w:multiLevelType w:val="hybridMultilevel"/>
    <w:tmpl w:val="E814EEA8"/>
    <w:numStyleLink w:val="Bullets"/>
  </w:abstractNum>
  <w:abstractNum w:abstractNumId="3" w15:restartNumberingAfterBreak="0">
    <w:nsid w:val="394F51C7"/>
    <w:multiLevelType w:val="hybridMultilevel"/>
    <w:tmpl w:val="15907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2836"/>
    <w:multiLevelType w:val="hybridMultilevel"/>
    <w:tmpl w:val="C8249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49D0"/>
    <w:multiLevelType w:val="hybridMultilevel"/>
    <w:tmpl w:val="CBF0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617D7"/>
    <w:multiLevelType w:val="hybridMultilevel"/>
    <w:tmpl w:val="ABF8BC4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00133"/>
    <w:multiLevelType w:val="hybridMultilevel"/>
    <w:tmpl w:val="7E504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25E"/>
    <w:multiLevelType w:val="hybridMultilevel"/>
    <w:tmpl w:val="842E4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94"/>
    <w:rsid w:val="000007DE"/>
    <w:rsid w:val="00007DE7"/>
    <w:rsid w:val="00013CDB"/>
    <w:rsid w:val="00013D9D"/>
    <w:rsid w:val="000152FA"/>
    <w:rsid w:val="000168E6"/>
    <w:rsid w:val="00047129"/>
    <w:rsid w:val="00054A58"/>
    <w:rsid w:val="00066D48"/>
    <w:rsid w:val="000868E1"/>
    <w:rsid w:val="00090F3A"/>
    <w:rsid w:val="00097F01"/>
    <w:rsid w:val="000A0D7F"/>
    <w:rsid w:val="000A368C"/>
    <w:rsid w:val="000D7B39"/>
    <w:rsid w:val="000E7DD5"/>
    <w:rsid w:val="000F0E87"/>
    <w:rsid w:val="000F5687"/>
    <w:rsid w:val="001239E8"/>
    <w:rsid w:val="001403FD"/>
    <w:rsid w:val="001417E0"/>
    <w:rsid w:val="0014529F"/>
    <w:rsid w:val="00151CD2"/>
    <w:rsid w:val="00166C11"/>
    <w:rsid w:val="00186198"/>
    <w:rsid w:val="00195962"/>
    <w:rsid w:val="001976F9"/>
    <w:rsid w:val="001B0232"/>
    <w:rsid w:val="001B50B0"/>
    <w:rsid w:val="001C13F0"/>
    <w:rsid w:val="001C68F5"/>
    <w:rsid w:val="001D3D85"/>
    <w:rsid w:val="001E724F"/>
    <w:rsid w:val="001F116B"/>
    <w:rsid w:val="001F2CB3"/>
    <w:rsid w:val="001F35E1"/>
    <w:rsid w:val="001F6326"/>
    <w:rsid w:val="00204069"/>
    <w:rsid w:val="0022488B"/>
    <w:rsid w:val="00236762"/>
    <w:rsid w:val="00251E42"/>
    <w:rsid w:val="002530CB"/>
    <w:rsid w:val="00263E56"/>
    <w:rsid w:val="002832C2"/>
    <w:rsid w:val="0028348A"/>
    <w:rsid w:val="00285249"/>
    <w:rsid w:val="00285AD1"/>
    <w:rsid w:val="002A2784"/>
    <w:rsid w:val="002A2F48"/>
    <w:rsid w:val="002B183E"/>
    <w:rsid w:val="002B62C4"/>
    <w:rsid w:val="002B7C9F"/>
    <w:rsid w:val="002C0394"/>
    <w:rsid w:val="002C3F3D"/>
    <w:rsid w:val="002D58F7"/>
    <w:rsid w:val="003017C4"/>
    <w:rsid w:val="0031631E"/>
    <w:rsid w:val="00326F58"/>
    <w:rsid w:val="00330E44"/>
    <w:rsid w:val="003440C2"/>
    <w:rsid w:val="003461CF"/>
    <w:rsid w:val="003534AE"/>
    <w:rsid w:val="0035372E"/>
    <w:rsid w:val="00363871"/>
    <w:rsid w:val="00364DCE"/>
    <w:rsid w:val="0038625F"/>
    <w:rsid w:val="00390746"/>
    <w:rsid w:val="00396B3E"/>
    <w:rsid w:val="003A5EC5"/>
    <w:rsid w:val="003C6B70"/>
    <w:rsid w:val="003D1FB8"/>
    <w:rsid w:val="003D27B6"/>
    <w:rsid w:val="003D321F"/>
    <w:rsid w:val="003E0252"/>
    <w:rsid w:val="003E1C98"/>
    <w:rsid w:val="003E5424"/>
    <w:rsid w:val="003F29EF"/>
    <w:rsid w:val="004152DA"/>
    <w:rsid w:val="00415AB4"/>
    <w:rsid w:val="00416330"/>
    <w:rsid w:val="00423992"/>
    <w:rsid w:val="00426DFF"/>
    <w:rsid w:val="00427222"/>
    <w:rsid w:val="0043539B"/>
    <w:rsid w:val="0043617F"/>
    <w:rsid w:val="00443449"/>
    <w:rsid w:val="00446A25"/>
    <w:rsid w:val="00457D46"/>
    <w:rsid w:val="0046060E"/>
    <w:rsid w:val="00474A70"/>
    <w:rsid w:val="0048252B"/>
    <w:rsid w:val="0048657E"/>
    <w:rsid w:val="0049513E"/>
    <w:rsid w:val="00497D64"/>
    <w:rsid w:val="004A1FDF"/>
    <w:rsid w:val="004A52D5"/>
    <w:rsid w:val="004C0DBA"/>
    <w:rsid w:val="004C124E"/>
    <w:rsid w:val="004C3FE7"/>
    <w:rsid w:val="004C5194"/>
    <w:rsid w:val="00503277"/>
    <w:rsid w:val="00504807"/>
    <w:rsid w:val="005171F3"/>
    <w:rsid w:val="00517352"/>
    <w:rsid w:val="00520E09"/>
    <w:rsid w:val="00521510"/>
    <w:rsid w:val="00540D98"/>
    <w:rsid w:val="00564869"/>
    <w:rsid w:val="00565A77"/>
    <w:rsid w:val="005871F2"/>
    <w:rsid w:val="005874B5"/>
    <w:rsid w:val="00596296"/>
    <w:rsid w:val="005A295C"/>
    <w:rsid w:val="005A5467"/>
    <w:rsid w:val="005B659C"/>
    <w:rsid w:val="005C22BD"/>
    <w:rsid w:val="005C6208"/>
    <w:rsid w:val="005D3B35"/>
    <w:rsid w:val="005D622A"/>
    <w:rsid w:val="005E7684"/>
    <w:rsid w:val="00612AC5"/>
    <w:rsid w:val="00627ACD"/>
    <w:rsid w:val="00630281"/>
    <w:rsid w:val="00632A4B"/>
    <w:rsid w:val="00641069"/>
    <w:rsid w:val="006414E6"/>
    <w:rsid w:val="006430DB"/>
    <w:rsid w:val="006550A3"/>
    <w:rsid w:val="0065728C"/>
    <w:rsid w:val="00686AC0"/>
    <w:rsid w:val="0068779F"/>
    <w:rsid w:val="006A5D3A"/>
    <w:rsid w:val="006A6DDB"/>
    <w:rsid w:val="006B1F5E"/>
    <w:rsid w:val="006C1203"/>
    <w:rsid w:val="006C711C"/>
    <w:rsid w:val="006D035F"/>
    <w:rsid w:val="006E5632"/>
    <w:rsid w:val="006F1A85"/>
    <w:rsid w:val="006F263B"/>
    <w:rsid w:val="006F6104"/>
    <w:rsid w:val="007018BA"/>
    <w:rsid w:val="0070413D"/>
    <w:rsid w:val="00713059"/>
    <w:rsid w:val="00714F99"/>
    <w:rsid w:val="00724597"/>
    <w:rsid w:val="007248F3"/>
    <w:rsid w:val="007437EE"/>
    <w:rsid w:val="00744247"/>
    <w:rsid w:val="00744E4A"/>
    <w:rsid w:val="007502CC"/>
    <w:rsid w:val="00766130"/>
    <w:rsid w:val="00766F77"/>
    <w:rsid w:val="007836C8"/>
    <w:rsid w:val="00786071"/>
    <w:rsid w:val="0078761E"/>
    <w:rsid w:val="00796A88"/>
    <w:rsid w:val="007A3E19"/>
    <w:rsid w:val="007A776D"/>
    <w:rsid w:val="007B06DD"/>
    <w:rsid w:val="007B739C"/>
    <w:rsid w:val="007C7A95"/>
    <w:rsid w:val="007D0CCF"/>
    <w:rsid w:val="007D3DC2"/>
    <w:rsid w:val="007D533F"/>
    <w:rsid w:val="007E141C"/>
    <w:rsid w:val="007E7513"/>
    <w:rsid w:val="007F3527"/>
    <w:rsid w:val="00802246"/>
    <w:rsid w:val="0080789E"/>
    <w:rsid w:val="00814C72"/>
    <w:rsid w:val="0082737B"/>
    <w:rsid w:val="00840E4C"/>
    <w:rsid w:val="00861345"/>
    <w:rsid w:val="00866CBF"/>
    <w:rsid w:val="00873EE2"/>
    <w:rsid w:val="00876C94"/>
    <w:rsid w:val="00877160"/>
    <w:rsid w:val="0088611C"/>
    <w:rsid w:val="00892E37"/>
    <w:rsid w:val="008938EF"/>
    <w:rsid w:val="00894D83"/>
    <w:rsid w:val="008B076B"/>
    <w:rsid w:val="008B0EA1"/>
    <w:rsid w:val="008B2BB7"/>
    <w:rsid w:val="008B5394"/>
    <w:rsid w:val="008B6DF9"/>
    <w:rsid w:val="008C0BBC"/>
    <w:rsid w:val="008D13AC"/>
    <w:rsid w:val="008D77B7"/>
    <w:rsid w:val="008F257D"/>
    <w:rsid w:val="009066CE"/>
    <w:rsid w:val="00911AFD"/>
    <w:rsid w:val="00913558"/>
    <w:rsid w:val="0091532B"/>
    <w:rsid w:val="00926D00"/>
    <w:rsid w:val="00961AC7"/>
    <w:rsid w:val="00964393"/>
    <w:rsid w:val="00964977"/>
    <w:rsid w:val="00967751"/>
    <w:rsid w:val="0097482B"/>
    <w:rsid w:val="00980786"/>
    <w:rsid w:val="00990015"/>
    <w:rsid w:val="009C2BCE"/>
    <w:rsid w:val="009C4372"/>
    <w:rsid w:val="009E1146"/>
    <w:rsid w:val="009E7B6D"/>
    <w:rsid w:val="009F768F"/>
    <w:rsid w:val="00A13499"/>
    <w:rsid w:val="00A13714"/>
    <w:rsid w:val="00A25AE9"/>
    <w:rsid w:val="00A31506"/>
    <w:rsid w:val="00A31A8C"/>
    <w:rsid w:val="00A33547"/>
    <w:rsid w:val="00A35D5C"/>
    <w:rsid w:val="00A55B4F"/>
    <w:rsid w:val="00A563BC"/>
    <w:rsid w:val="00A5724D"/>
    <w:rsid w:val="00A63124"/>
    <w:rsid w:val="00A75620"/>
    <w:rsid w:val="00A80549"/>
    <w:rsid w:val="00A84879"/>
    <w:rsid w:val="00A87BE7"/>
    <w:rsid w:val="00A92778"/>
    <w:rsid w:val="00A96486"/>
    <w:rsid w:val="00AA12B2"/>
    <w:rsid w:val="00AA5900"/>
    <w:rsid w:val="00AA6302"/>
    <w:rsid w:val="00AB3339"/>
    <w:rsid w:val="00AC0B13"/>
    <w:rsid w:val="00AC66BE"/>
    <w:rsid w:val="00AC7C8B"/>
    <w:rsid w:val="00AE5F1E"/>
    <w:rsid w:val="00AE664E"/>
    <w:rsid w:val="00AF2B63"/>
    <w:rsid w:val="00B11688"/>
    <w:rsid w:val="00B1474C"/>
    <w:rsid w:val="00B23DE5"/>
    <w:rsid w:val="00B36767"/>
    <w:rsid w:val="00B3737B"/>
    <w:rsid w:val="00B447EE"/>
    <w:rsid w:val="00B512BC"/>
    <w:rsid w:val="00B529A6"/>
    <w:rsid w:val="00B57A2F"/>
    <w:rsid w:val="00B64EE4"/>
    <w:rsid w:val="00B65A5A"/>
    <w:rsid w:val="00B74633"/>
    <w:rsid w:val="00B74763"/>
    <w:rsid w:val="00B7685B"/>
    <w:rsid w:val="00B778D3"/>
    <w:rsid w:val="00B80FC2"/>
    <w:rsid w:val="00B8346F"/>
    <w:rsid w:val="00B84169"/>
    <w:rsid w:val="00B9418F"/>
    <w:rsid w:val="00B9577B"/>
    <w:rsid w:val="00BA00AD"/>
    <w:rsid w:val="00BA5DB5"/>
    <w:rsid w:val="00BB2594"/>
    <w:rsid w:val="00BB4752"/>
    <w:rsid w:val="00BB4C79"/>
    <w:rsid w:val="00BB7F76"/>
    <w:rsid w:val="00BC22DB"/>
    <w:rsid w:val="00BD53D1"/>
    <w:rsid w:val="00BE4BB0"/>
    <w:rsid w:val="00BF0CED"/>
    <w:rsid w:val="00BF2570"/>
    <w:rsid w:val="00BF7994"/>
    <w:rsid w:val="00C0324C"/>
    <w:rsid w:val="00C1303D"/>
    <w:rsid w:val="00C1418B"/>
    <w:rsid w:val="00C16000"/>
    <w:rsid w:val="00C214E5"/>
    <w:rsid w:val="00C43453"/>
    <w:rsid w:val="00C50F18"/>
    <w:rsid w:val="00C629D0"/>
    <w:rsid w:val="00C66D13"/>
    <w:rsid w:val="00C72ABF"/>
    <w:rsid w:val="00C7631A"/>
    <w:rsid w:val="00C829DA"/>
    <w:rsid w:val="00C924A2"/>
    <w:rsid w:val="00CA2530"/>
    <w:rsid w:val="00CA431C"/>
    <w:rsid w:val="00CA5AFA"/>
    <w:rsid w:val="00CB68DA"/>
    <w:rsid w:val="00CE01F1"/>
    <w:rsid w:val="00CE03E0"/>
    <w:rsid w:val="00CE0494"/>
    <w:rsid w:val="00CF14D5"/>
    <w:rsid w:val="00D00A20"/>
    <w:rsid w:val="00D271AA"/>
    <w:rsid w:val="00D31571"/>
    <w:rsid w:val="00D43726"/>
    <w:rsid w:val="00D505E3"/>
    <w:rsid w:val="00D547FA"/>
    <w:rsid w:val="00D554EB"/>
    <w:rsid w:val="00D63C91"/>
    <w:rsid w:val="00D81277"/>
    <w:rsid w:val="00D86141"/>
    <w:rsid w:val="00D93C17"/>
    <w:rsid w:val="00D9455D"/>
    <w:rsid w:val="00D95B98"/>
    <w:rsid w:val="00DC5015"/>
    <w:rsid w:val="00DC7836"/>
    <w:rsid w:val="00DD41B8"/>
    <w:rsid w:val="00DD4F7F"/>
    <w:rsid w:val="00DD6C27"/>
    <w:rsid w:val="00DE31B5"/>
    <w:rsid w:val="00DE3F8C"/>
    <w:rsid w:val="00DE7364"/>
    <w:rsid w:val="00DF5610"/>
    <w:rsid w:val="00DF5BB3"/>
    <w:rsid w:val="00E0032A"/>
    <w:rsid w:val="00E03E12"/>
    <w:rsid w:val="00E206C3"/>
    <w:rsid w:val="00E21DB2"/>
    <w:rsid w:val="00E23221"/>
    <w:rsid w:val="00E41A6F"/>
    <w:rsid w:val="00E41E6C"/>
    <w:rsid w:val="00E420F5"/>
    <w:rsid w:val="00E447CE"/>
    <w:rsid w:val="00E44F04"/>
    <w:rsid w:val="00E52E3B"/>
    <w:rsid w:val="00E6776F"/>
    <w:rsid w:val="00E67DA6"/>
    <w:rsid w:val="00E72557"/>
    <w:rsid w:val="00E7297E"/>
    <w:rsid w:val="00E76DA4"/>
    <w:rsid w:val="00E7798E"/>
    <w:rsid w:val="00E92A97"/>
    <w:rsid w:val="00EA0E54"/>
    <w:rsid w:val="00EA10E5"/>
    <w:rsid w:val="00EA365F"/>
    <w:rsid w:val="00EB18E8"/>
    <w:rsid w:val="00EC32D7"/>
    <w:rsid w:val="00ED0573"/>
    <w:rsid w:val="00EE2BC8"/>
    <w:rsid w:val="00EE7DA4"/>
    <w:rsid w:val="00EF250A"/>
    <w:rsid w:val="00EF32F0"/>
    <w:rsid w:val="00F000FB"/>
    <w:rsid w:val="00F067EF"/>
    <w:rsid w:val="00F213ED"/>
    <w:rsid w:val="00F2290D"/>
    <w:rsid w:val="00F249B8"/>
    <w:rsid w:val="00F25B6A"/>
    <w:rsid w:val="00F25D4C"/>
    <w:rsid w:val="00F41346"/>
    <w:rsid w:val="00F4176C"/>
    <w:rsid w:val="00F4586B"/>
    <w:rsid w:val="00F60897"/>
    <w:rsid w:val="00F6357A"/>
    <w:rsid w:val="00F66068"/>
    <w:rsid w:val="00F70DB2"/>
    <w:rsid w:val="00F76D8E"/>
    <w:rsid w:val="00F97BC9"/>
    <w:rsid w:val="00FA4903"/>
    <w:rsid w:val="00FC1A2F"/>
    <w:rsid w:val="00FC6CB0"/>
    <w:rsid w:val="00FD0A64"/>
    <w:rsid w:val="00FD1C84"/>
    <w:rsid w:val="00FD4A88"/>
    <w:rsid w:val="00FE06C1"/>
    <w:rsid w:val="00FE10F5"/>
    <w:rsid w:val="00FE2573"/>
    <w:rsid w:val="00FE43F9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46F4"/>
  <w15:docId w15:val="{0F98676D-B3A4-4FD2-B7C2-F6D222E1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70C0"/>
      <w:u w:val="none" w:color="0070C0"/>
    </w:rPr>
  </w:style>
  <w:style w:type="paragraph" w:customStyle="1" w:styleId="TableStyle1A">
    <w:name w:val="Table Style 1 A"/>
    <w:pPr>
      <w:spacing w:after="200" w:line="276" w:lineRule="auto"/>
    </w:pPr>
    <w:rPr>
      <w:rFonts w:ascii="Helvetica" w:hAnsi="Helvetica"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FD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9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97E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297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447CE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4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24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49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5232-C68F-405E-BC18-FEFBBB4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Edward Hands</cp:lastModifiedBy>
  <cp:revision>7</cp:revision>
  <cp:lastPrinted>2021-05-12T09:28:00Z</cp:lastPrinted>
  <dcterms:created xsi:type="dcterms:W3CDTF">2021-09-21T12:21:00Z</dcterms:created>
  <dcterms:modified xsi:type="dcterms:W3CDTF">2021-10-14T09:30:00Z</dcterms:modified>
</cp:coreProperties>
</file>