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81BE" w14:textId="77777777" w:rsidR="003466A9" w:rsidRDefault="003466A9" w:rsidP="003466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34" w:lineRule="exact"/>
        <w:ind w:left="7632"/>
        <w:textAlignment w:val="baseline"/>
        <w:rPr>
          <w:rFonts w:ascii="Arial Narrow" w:eastAsia="Arial Narrow" w:hAnsi="Arial Narrow"/>
          <w:b/>
          <w:color w:val="000000"/>
          <w:spacing w:val="-8"/>
        </w:rPr>
      </w:pPr>
      <w:bookmarkStart w:id="0" w:name="_GoBack"/>
      <w:bookmarkEnd w:id="0"/>
      <w:r>
        <w:rPr>
          <w:rFonts w:ascii="Arial Narrow" w:eastAsia="Arial Narrow" w:hAnsi="Arial Narrow"/>
          <w:b/>
          <w:color w:val="000000"/>
          <w:spacing w:val="-8"/>
        </w:rPr>
        <w:t>HSSC13-</w:t>
      </w:r>
      <w:r w:rsidRPr="00BB2EA3">
        <w:rPr>
          <w:rFonts w:ascii="Arial Narrow" w:eastAsia="Arial Narrow" w:hAnsi="Arial Narrow"/>
          <w:b/>
          <w:color w:val="FF0000"/>
          <w:spacing w:val="-8"/>
        </w:rPr>
        <w:t>05.</w:t>
      </w:r>
      <w:r w:rsidR="00BB2EA3" w:rsidRPr="00BB2EA3">
        <w:rPr>
          <w:rFonts w:ascii="Arial Narrow" w:eastAsia="Arial Narrow" w:hAnsi="Arial Narrow"/>
          <w:b/>
          <w:color w:val="FF0000"/>
          <w:spacing w:val="-8"/>
        </w:rPr>
        <w:t>1xx</w:t>
      </w:r>
    </w:p>
    <w:p w14:paraId="4A642932" w14:textId="77777777" w:rsidR="003466A9" w:rsidRDefault="003466A9" w:rsidP="003466A9">
      <w:pPr>
        <w:spacing w:after="241" w:line="497" w:lineRule="exact"/>
        <w:jc w:val="center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Paper for Consideration by HSSC13</w:t>
      </w:r>
    </w:p>
    <w:p w14:paraId="7F8D2E77" w14:textId="77777777" w:rsidR="003466A9" w:rsidRDefault="00932492" w:rsidP="003466A9">
      <w:pPr>
        <w:spacing w:after="241" w:line="497" w:lineRule="exact"/>
        <w:jc w:val="center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 xml:space="preserve">FR comments on </w:t>
      </w:r>
      <w:r w:rsidRPr="00932492">
        <w:rPr>
          <w:rFonts w:ascii="Arial Narrow" w:eastAsia="Arial Narrow" w:hAnsi="Arial Narrow"/>
          <w:b/>
          <w:color w:val="000000"/>
        </w:rPr>
        <w:t>HSSC13-05.1A</w:t>
      </w:r>
    </w:p>
    <w:p w14:paraId="663C7A1F" w14:textId="77777777" w:rsidR="003466A9" w:rsidRDefault="003466A9" w:rsidP="00B46BBF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b/>
          <w:i/>
          <w:color w:val="000000"/>
        </w:rPr>
      </w:pPr>
      <w:r>
        <w:rPr>
          <w:rFonts w:ascii="Arial Narrow" w:eastAsia="Arial Narrow" w:hAnsi="Arial Narrow"/>
          <w:b/>
          <w:i/>
          <w:color w:val="000000"/>
        </w:rPr>
        <w:t>Submitted by:</w:t>
      </w:r>
      <w:r>
        <w:rPr>
          <w:rFonts w:ascii="Arial Narrow" w:eastAsia="Arial Narrow" w:hAnsi="Arial Narrow"/>
          <w:b/>
          <w:i/>
          <w:color w:val="000000"/>
        </w:rPr>
        <w:tab/>
      </w:r>
      <w:r w:rsidR="00E73BA5">
        <w:rPr>
          <w:rFonts w:ascii="Arial Narrow" w:eastAsia="Arial Narrow" w:hAnsi="Arial Narrow"/>
          <w:color w:val="000000"/>
        </w:rPr>
        <w:t>France</w:t>
      </w:r>
      <w:r w:rsidR="00BB2EA3">
        <w:rPr>
          <w:rFonts w:ascii="Arial Narrow" w:eastAsia="Arial Narrow" w:hAnsi="Arial Narrow"/>
          <w:color w:val="000000"/>
        </w:rPr>
        <w:t xml:space="preserve"> (</w:t>
      </w:r>
      <w:r w:rsidR="00932492">
        <w:rPr>
          <w:rFonts w:ascii="Arial Narrow" w:eastAsia="Arial Narrow" w:hAnsi="Arial Narrow"/>
          <w:color w:val="000000"/>
        </w:rPr>
        <w:t>Shom</w:t>
      </w:r>
      <w:r w:rsidR="00BB2EA3">
        <w:rPr>
          <w:rFonts w:ascii="Arial Narrow" w:eastAsia="Arial Narrow" w:hAnsi="Arial Narrow"/>
          <w:color w:val="000000"/>
        </w:rPr>
        <w:t>)</w:t>
      </w:r>
    </w:p>
    <w:p w14:paraId="3925F0DF" w14:textId="17DF8CAF" w:rsidR="003466A9" w:rsidRDefault="003466A9" w:rsidP="00B46BBF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tabs>
          <w:tab w:val="left" w:pos="2808"/>
        </w:tabs>
        <w:spacing w:before="3" w:line="252" w:lineRule="exact"/>
        <w:ind w:left="2807" w:hanging="2663"/>
        <w:textAlignment w:val="baseline"/>
        <w:rPr>
          <w:rFonts w:ascii="Arial Narrow" w:eastAsia="Arial Narrow" w:hAnsi="Arial Narrow"/>
          <w:b/>
          <w:i/>
          <w:color w:val="000000"/>
        </w:rPr>
      </w:pPr>
      <w:r>
        <w:rPr>
          <w:rFonts w:ascii="Arial Narrow" w:eastAsia="Arial Narrow" w:hAnsi="Arial Narrow"/>
          <w:b/>
          <w:i/>
          <w:color w:val="000000"/>
        </w:rPr>
        <w:t>Executive Summary:</w:t>
      </w:r>
      <w:r>
        <w:rPr>
          <w:rFonts w:ascii="Arial Narrow" w:eastAsia="Arial Narrow" w:hAnsi="Arial Narrow"/>
          <w:b/>
          <w:i/>
          <w:color w:val="000000"/>
        </w:rPr>
        <w:tab/>
      </w:r>
      <w:r w:rsidR="00932492">
        <w:rPr>
          <w:rFonts w:ascii="Arial Narrow" w:eastAsia="Arial Narrow" w:hAnsi="Arial Narrow"/>
          <w:color w:val="000000"/>
        </w:rPr>
        <w:t xml:space="preserve">France </w:t>
      </w:r>
      <w:r w:rsidR="002733B7">
        <w:rPr>
          <w:rFonts w:ascii="Arial Narrow" w:eastAsia="Arial Narrow" w:hAnsi="Arial Narrow"/>
          <w:color w:val="000000"/>
        </w:rPr>
        <w:t xml:space="preserve">considers </w:t>
      </w:r>
      <w:r w:rsidR="00932492">
        <w:rPr>
          <w:rFonts w:ascii="Arial Narrow" w:eastAsia="Arial Narrow" w:hAnsi="Arial Narrow"/>
          <w:color w:val="000000"/>
        </w:rPr>
        <w:t>that there is a need to further discuss the Dual-Fuel concept and</w:t>
      </w:r>
      <w:r w:rsidR="00AA144F">
        <w:rPr>
          <w:rFonts w:ascii="Arial Narrow" w:eastAsia="Arial Narrow" w:hAnsi="Arial Narrow"/>
          <w:color w:val="000000"/>
        </w:rPr>
        <w:t xml:space="preserve">, in the process, </w:t>
      </w:r>
      <w:r w:rsidR="002733B7">
        <w:rPr>
          <w:rFonts w:ascii="Arial Narrow" w:eastAsia="Arial Narrow" w:hAnsi="Arial Narrow"/>
          <w:color w:val="000000"/>
        </w:rPr>
        <w:t>make it clear that SENC d</w:t>
      </w:r>
      <w:r w:rsidR="0041761F">
        <w:rPr>
          <w:rFonts w:ascii="Arial Narrow" w:eastAsia="Arial Narrow" w:hAnsi="Arial Narrow"/>
          <w:color w:val="000000"/>
        </w:rPr>
        <w:t>elivery</w:t>
      </w:r>
      <w:r w:rsidR="002733B7">
        <w:rPr>
          <w:rFonts w:ascii="Arial Narrow" w:eastAsia="Arial Narrow" w:hAnsi="Arial Narrow"/>
          <w:color w:val="000000"/>
        </w:rPr>
        <w:t xml:space="preserve"> will no</w:t>
      </w:r>
      <w:r w:rsidR="0041761F">
        <w:rPr>
          <w:rFonts w:ascii="Arial Narrow" w:eastAsia="Arial Narrow" w:hAnsi="Arial Narrow"/>
          <w:color w:val="000000"/>
        </w:rPr>
        <w:t>t</w:t>
      </w:r>
      <w:r w:rsidR="002733B7">
        <w:rPr>
          <w:rFonts w:ascii="Arial Narrow" w:eastAsia="Arial Narrow" w:hAnsi="Arial Narrow"/>
          <w:color w:val="000000"/>
        </w:rPr>
        <w:t xml:space="preserve"> be an option </w:t>
      </w:r>
      <w:r w:rsidR="00DB75CD">
        <w:rPr>
          <w:rFonts w:ascii="Arial Narrow" w:eastAsia="Arial Narrow" w:hAnsi="Arial Narrow"/>
          <w:color w:val="000000"/>
        </w:rPr>
        <w:t xml:space="preserve">anymore </w:t>
      </w:r>
      <w:r w:rsidR="002733B7">
        <w:rPr>
          <w:rFonts w:ascii="Arial Narrow" w:eastAsia="Arial Narrow" w:hAnsi="Arial Narrow"/>
          <w:color w:val="000000"/>
        </w:rPr>
        <w:t>for S-101 ENC</w:t>
      </w:r>
      <w:r w:rsidR="00DB75CD">
        <w:rPr>
          <w:rFonts w:ascii="Arial Narrow" w:eastAsia="Arial Narrow" w:hAnsi="Arial Narrow"/>
          <w:color w:val="000000"/>
        </w:rPr>
        <w:t>s</w:t>
      </w:r>
      <w:r w:rsidR="00AA144F">
        <w:rPr>
          <w:rFonts w:ascii="Arial Narrow" w:eastAsia="Arial Narrow" w:hAnsi="Arial Narrow"/>
          <w:color w:val="000000"/>
        </w:rPr>
        <w:t xml:space="preserve"> for the sake of cyber-security</w:t>
      </w:r>
      <w:r w:rsidR="00932492">
        <w:rPr>
          <w:rFonts w:ascii="Arial Narrow" w:eastAsia="Arial Narrow" w:hAnsi="Arial Narrow"/>
          <w:color w:val="000000"/>
        </w:rPr>
        <w:t>.</w:t>
      </w:r>
    </w:p>
    <w:p w14:paraId="48EB4DEE" w14:textId="2ED9737B" w:rsidR="00605644" w:rsidRDefault="003466A9" w:rsidP="00B46BBF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b/>
          <w:i/>
          <w:color w:val="000000"/>
        </w:rPr>
        <w:t>Related Documents:</w:t>
      </w:r>
      <w:r>
        <w:rPr>
          <w:rFonts w:ascii="Arial Narrow" w:eastAsia="Arial Narrow" w:hAnsi="Arial Narrow"/>
          <w:b/>
          <w:i/>
          <w:color w:val="000000"/>
        </w:rPr>
        <w:tab/>
      </w:r>
      <w:r w:rsidR="00E57317">
        <w:rPr>
          <w:rFonts w:ascii="Arial Narrow" w:eastAsia="Arial Narrow" w:hAnsi="Arial Narrow"/>
          <w:color w:val="000000"/>
        </w:rPr>
        <w:t xml:space="preserve">doc. </w:t>
      </w:r>
      <w:r w:rsidR="00E57317" w:rsidRPr="00E57317">
        <w:rPr>
          <w:rFonts w:ascii="Arial Narrow" w:eastAsia="Arial Narrow" w:hAnsi="Arial Narrow"/>
          <w:color w:val="000000"/>
        </w:rPr>
        <w:t>HSSC13-05.1A</w:t>
      </w:r>
      <w:r w:rsidR="00605644">
        <w:rPr>
          <w:rFonts w:ascii="Arial Narrow" w:eastAsia="Arial Narrow" w:hAnsi="Arial Narrow"/>
          <w:color w:val="000000"/>
        </w:rPr>
        <w:t xml:space="preserve"> </w:t>
      </w:r>
      <w:r w:rsidR="00605644" w:rsidRPr="00605644">
        <w:rPr>
          <w:rFonts w:ascii="Arial Narrow" w:eastAsia="Arial Narrow" w:hAnsi="Arial Narrow"/>
          <w:color w:val="000000"/>
        </w:rPr>
        <w:t>Report and Recommendations of S-100WG</w:t>
      </w:r>
    </w:p>
    <w:p w14:paraId="06197729" w14:textId="77777777" w:rsidR="00222EB0" w:rsidRDefault="00222EB0" w:rsidP="00B46BBF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ab/>
        <w:t xml:space="preserve">doc. IMO </w:t>
      </w:r>
      <w:r w:rsidRPr="00222EB0">
        <w:rPr>
          <w:rFonts w:ascii="Arial Narrow" w:eastAsia="Arial Narrow" w:hAnsi="Arial Narrow"/>
          <w:color w:val="000000"/>
        </w:rPr>
        <w:t>NCSR8-13-1 Report on monitoring of ECDIS issues by IHO</w:t>
      </w:r>
    </w:p>
    <w:p w14:paraId="19FD0F40" w14:textId="77777777" w:rsidR="00B21F37" w:rsidRDefault="00B21F37" w:rsidP="00B46BBF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ab/>
      </w:r>
      <w:r w:rsidR="00753A50">
        <w:rPr>
          <w:rFonts w:ascii="Arial Narrow" w:eastAsia="Arial Narrow" w:hAnsi="Arial Narrow"/>
          <w:color w:val="000000"/>
        </w:rPr>
        <w:t>doc.</w:t>
      </w:r>
      <w:r>
        <w:rPr>
          <w:rFonts w:ascii="Arial Narrow" w:eastAsia="Arial Narrow" w:hAnsi="Arial Narrow"/>
          <w:color w:val="000000"/>
        </w:rPr>
        <w:t xml:space="preserve"> </w:t>
      </w:r>
      <w:r w:rsidRPr="00B21F37">
        <w:rPr>
          <w:rFonts w:ascii="Arial Narrow" w:eastAsia="Arial Narrow" w:hAnsi="Arial Narrow"/>
          <w:color w:val="000000"/>
        </w:rPr>
        <w:t>WENDWG11-04.1A</w:t>
      </w:r>
      <w:r>
        <w:rPr>
          <w:rFonts w:ascii="Arial Narrow" w:eastAsia="Arial Narrow" w:hAnsi="Arial Narrow"/>
          <w:color w:val="000000"/>
        </w:rPr>
        <w:t xml:space="preserve"> </w:t>
      </w:r>
      <w:r w:rsidRPr="00B21F37">
        <w:rPr>
          <w:rFonts w:ascii="Arial Narrow" w:eastAsia="Arial Narrow" w:hAnsi="Arial Narrow"/>
          <w:color w:val="000000"/>
        </w:rPr>
        <w:t>Draft Proposal for a new IHO Resolution on</w:t>
      </w:r>
    </w:p>
    <w:p w14:paraId="1C3EDC4D" w14:textId="77777777" w:rsidR="00753A50" w:rsidRDefault="00B21F37" w:rsidP="00B46BBF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ab/>
      </w:r>
      <w:r>
        <w:rPr>
          <w:rFonts w:ascii="Arial Narrow" w:eastAsia="Arial Narrow" w:hAnsi="Arial Narrow"/>
          <w:color w:val="000000"/>
        </w:rPr>
        <w:tab/>
      </w:r>
      <w:r>
        <w:rPr>
          <w:rFonts w:ascii="Arial Narrow" w:eastAsia="Arial Narrow" w:hAnsi="Arial Narrow"/>
          <w:color w:val="000000"/>
        </w:rPr>
        <w:tab/>
      </w:r>
      <w:r>
        <w:rPr>
          <w:rFonts w:ascii="Arial Narrow" w:eastAsia="Arial Narrow" w:hAnsi="Arial Narrow"/>
          <w:color w:val="000000"/>
        </w:rPr>
        <w:tab/>
        <w:t xml:space="preserve">            </w:t>
      </w:r>
      <w:r w:rsidRPr="00B21F37">
        <w:rPr>
          <w:rFonts w:ascii="Arial Narrow" w:eastAsia="Arial Narrow" w:hAnsi="Arial Narrow"/>
          <w:color w:val="000000"/>
        </w:rPr>
        <w:t>WEND-100 Principles</w:t>
      </w:r>
    </w:p>
    <w:p w14:paraId="3296257A" w14:textId="77777777" w:rsidR="00FD5278" w:rsidRDefault="00FD5278" w:rsidP="00B46BBF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ab/>
        <w:t>doc. IMO Resolution MSC.232(82)</w:t>
      </w:r>
    </w:p>
    <w:p w14:paraId="4528994E" w14:textId="77777777" w:rsidR="00B21F37" w:rsidRPr="00605644" w:rsidRDefault="00B21F37" w:rsidP="00B46BBF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color w:val="000000"/>
        </w:rPr>
      </w:pPr>
    </w:p>
    <w:p w14:paraId="418E12F6" w14:textId="77777777" w:rsidR="003466A9" w:rsidRDefault="003466A9" w:rsidP="00B46BBF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tabs>
          <w:tab w:val="left" w:pos="2808"/>
        </w:tabs>
        <w:spacing w:after="237" w:line="243" w:lineRule="exact"/>
        <w:ind w:left="144"/>
        <w:textAlignment w:val="baseline"/>
        <w:rPr>
          <w:rFonts w:ascii="Arial Narrow" w:eastAsia="Arial Narrow" w:hAnsi="Arial Narrow"/>
          <w:b/>
          <w:i/>
          <w:color w:val="000000"/>
          <w:spacing w:val="173"/>
        </w:rPr>
      </w:pPr>
      <w:r>
        <w:rPr>
          <w:rFonts w:ascii="Arial Narrow" w:eastAsia="Arial Narrow" w:hAnsi="Arial Narrow"/>
          <w:b/>
          <w:i/>
          <w:color w:val="000000"/>
        </w:rPr>
        <w:t>Related Projects:</w:t>
      </w:r>
      <w:r>
        <w:rPr>
          <w:rFonts w:ascii="Arial Narrow" w:eastAsia="Arial Narrow" w:hAnsi="Arial Narrow"/>
          <w:color w:val="000000"/>
          <w:spacing w:val="173"/>
        </w:rPr>
        <w:tab/>
      </w:r>
    </w:p>
    <w:p w14:paraId="027A481B" w14:textId="77777777" w:rsidR="003466A9" w:rsidRDefault="003466A9" w:rsidP="003466A9">
      <w:pPr>
        <w:spacing w:before="4" w:line="250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Introduction / Background</w:t>
      </w:r>
    </w:p>
    <w:p w14:paraId="282CD408" w14:textId="77777777" w:rsidR="00C57DAB" w:rsidRDefault="00C57DAB" w:rsidP="003466A9">
      <w:pPr>
        <w:spacing w:line="250" w:lineRule="exact"/>
        <w:textAlignment w:val="baseline"/>
        <w:rPr>
          <w:rFonts w:ascii="Arial Narrow" w:eastAsia="Arial Narrow" w:hAnsi="Arial Narrow"/>
          <w:color w:val="000000"/>
          <w:lang w:val="en-GB"/>
        </w:rPr>
      </w:pPr>
    </w:p>
    <w:p w14:paraId="74BFBC36" w14:textId="3234FDA6" w:rsidR="00A7410E" w:rsidRPr="009627B2" w:rsidRDefault="00FE1887" w:rsidP="009627B2">
      <w:pPr>
        <w:pStyle w:val="Paragraphedeliste"/>
        <w:numPr>
          <w:ilvl w:val="0"/>
          <w:numId w:val="7"/>
        </w:numPr>
        <w:spacing w:line="250" w:lineRule="exact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B04D4E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4C76D74" wp14:editId="4F5F4D7F">
            <wp:simplePos x="0" y="0"/>
            <wp:positionH relativeFrom="margin">
              <wp:posOffset>936625</wp:posOffset>
            </wp:positionH>
            <wp:positionV relativeFrom="paragraph">
              <wp:posOffset>525283</wp:posOffset>
            </wp:positionV>
            <wp:extent cx="4175760" cy="773430"/>
            <wp:effectExtent l="0" t="0" r="0" b="762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485">
        <w:rPr>
          <w:rFonts w:ascii="Arial Narrow" w:eastAsia="Arial Narrow" w:hAnsi="Arial Narrow"/>
          <w:color w:val="000000"/>
          <w:lang w:val="en-GB"/>
        </w:rPr>
        <w:t xml:space="preserve">A </w:t>
      </w:r>
      <w:r w:rsidR="00D03485">
        <w:rPr>
          <w:rFonts w:ascii="Arial Narrow" w:eastAsia="Arial Narrow" w:hAnsi="Arial Narrow"/>
          <w:color w:val="000000"/>
        </w:rPr>
        <w:t xml:space="preserve">draft content for a “Governance document on Dual-Fuel ECDIS” is presented in </w:t>
      </w:r>
      <w:r w:rsidR="00D03485" w:rsidRPr="00E57317">
        <w:rPr>
          <w:rFonts w:ascii="Arial Narrow" w:eastAsia="Arial Narrow" w:hAnsi="Arial Narrow"/>
          <w:color w:val="000000"/>
        </w:rPr>
        <w:t>HSSC13-05.1A</w:t>
      </w:r>
      <w:r w:rsidR="00F65963">
        <w:rPr>
          <w:rFonts w:ascii="Arial Narrow" w:eastAsia="Arial Narrow" w:hAnsi="Arial Narrow"/>
          <w:color w:val="000000"/>
        </w:rPr>
        <w:t xml:space="preserve"> in response to Action H</w:t>
      </w:r>
      <w:r>
        <w:rPr>
          <w:rFonts w:ascii="Arial Narrow" w:eastAsia="Arial Narrow" w:hAnsi="Arial Narrow"/>
          <w:color w:val="000000"/>
        </w:rPr>
        <w:t>SSC12/18</w:t>
      </w:r>
      <w:r w:rsidR="00B46BBF">
        <w:rPr>
          <w:rFonts w:ascii="Arial Narrow" w:eastAsia="Arial Narrow" w:hAnsi="Arial Narrow"/>
          <w:color w:val="000000"/>
        </w:rPr>
        <w:t>,</w:t>
      </w:r>
      <w:r w:rsidR="00D03485" w:rsidRPr="00D03485">
        <w:rPr>
          <w:noProof/>
          <w:lang w:eastAsia="fr-FR"/>
        </w:rPr>
        <w:t xml:space="preserve"> </w:t>
      </w:r>
      <w:r w:rsidR="00D03485">
        <w:rPr>
          <w:rFonts w:ascii="Arial Narrow" w:eastAsia="Arial Narrow" w:hAnsi="Arial Narrow"/>
          <w:color w:val="000000"/>
          <w:lang w:val="en-GB"/>
        </w:rPr>
        <w:t>in which t</w:t>
      </w:r>
      <w:r w:rsidR="00A7410E" w:rsidRPr="009627B2">
        <w:rPr>
          <w:rFonts w:ascii="Arial Narrow" w:eastAsia="Arial Narrow" w:hAnsi="Arial Narrow"/>
          <w:color w:val="000000"/>
          <w:lang w:val="en-GB"/>
        </w:rPr>
        <w:t xml:space="preserve">here is </w:t>
      </w:r>
      <w:r w:rsidR="00C57DAB" w:rsidRPr="009627B2">
        <w:rPr>
          <w:rFonts w:ascii="Arial Narrow" w:eastAsia="Arial Narrow" w:hAnsi="Arial Narrow"/>
          <w:color w:val="000000"/>
          <w:lang w:val="en-GB"/>
        </w:rPr>
        <w:t xml:space="preserve">a </w:t>
      </w:r>
      <w:r w:rsidR="00B04D4E" w:rsidRPr="009627B2">
        <w:rPr>
          <w:rFonts w:ascii="Arial Narrow" w:eastAsia="Arial Narrow" w:hAnsi="Arial Narrow"/>
          <w:color w:val="000000"/>
          <w:lang w:val="en-GB"/>
        </w:rPr>
        <w:t xml:space="preserve">planned </w:t>
      </w:r>
      <w:r w:rsidR="0000223D">
        <w:rPr>
          <w:rFonts w:ascii="Arial Narrow" w:eastAsia="Arial Narrow" w:hAnsi="Arial Narrow"/>
          <w:color w:val="000000"/>
          <w:lang w:val="en-GB"/>
        </w:rPr>
        <w:t xml:space="preserve">dedicated </w:t>
      </w:r>
      <w:r w:rsidR="00C57DAB" w:rsidRPr="009627B2">
        <w:rPr>
          <w:rFonts w:ascii="Arial Narrow" w:eastAsia="Arial Narrow" w:hAnsi="Arial Narrow"/>
          <w:color w:val="000000"/>
          <w:lang w:val="en-GB"/>
        </w:rPr>
        <w:t>chapter</w:t>
      </w:r>
      <w:r w:rsidR="00B04D4E" w:rsidRPr="009627B2">
        <w:rPr>
          <w:rFonts w:ascii="Arial Narrow" w:eastAsia="Arial Narrow" w:hAnsi="Arial Narrow"/>
          <w:color w:val="000000"/>
        </w:rPr>
        <w:t xml:space="preserve"> dealing with ENC and SENC :</w:t>
      </w:r>
    </w:p>
    <w:p w14:paraId="7AA446E5" w14:textId="77777777" w:rsidR="00BB3F42" w:rsidRDefault="00BB3F42" w:rsidP="00B04D4E">
      <w:pPr>
        <w:spacing w:line="250" w:lineRule="exact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</w:p>
    <w:p w14:paraId="0B40B2F6" w14:textId="77777777" w:rsidR="00FD5278" w:rsidRPr="009627B2" w:rsidRDefault="00160B62" w:rsidP="009627B2">
      <w:pPr>
        <w:pStyle w:val="Paragraphedeliste"/>
        <w:numPr>
          <w:ilvl w:val="0"/>
          <w:numId w:val="7"/>
        </w:numPr>
        <w:spacing w:line="250" w:lineRule="exact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9627B2">
        <w:rPr>
          <w:rFonts w:ascii="Arial Narrow" w:eastAsia="Arial Narrow" w:hAnsi="Arial Narrow"/>
          <w:color w:val="000000"/>
          <w:lang w:val="en-GB"/>
        </w:rPr>
        <w:t>The term SENC is used quite extensively in the</w:t>
      </w:r>
      <w:r w:rsidR="00B04D4E" w:rsidRPr="009627B2">
        <w:rPr>
          <w:rFonts w:ascii="Arial Narrow" w:eastAsia="Arial Narrow" w:hAnsi="Arial Narrow"/>
          <w:color w:val="000000"/>
          <w:lang w:val="en-GB"/>
        </w:rPr>
        <w:t xml:space="preserve"> current</w:t>
      </w:r>
      <w:r w:rsidRPr="009627B2">
        <w:rPr>
          <w:rFonts w:ascii="Arial Narrow" w:eastAsia="Arial Narrow" w:hAnsi="Arial Narrow"/>
          <w:color w:val="000000"/>
          <w:lang w:val="en-GB"/>
        </w:rPr>
        <w:t xml:space="preserve"> IMO documentation, especially in its Resolution MSC.232(82) on the Adoption of the revised performance standards for ECDIS. For the record, SENC definition is given as “</w:t>
      </w:r>
      <w:r w:rsidR="00FD5278" w:rsidRPr="009627B2">
        <w:rPr>
          <w:rFonts w:ascii="Arial Narrow" w:eastAsia="Arial Narrow" w:hAnsi="Arial Narrow"/>
          <w:i/>
          <w:color w:val="000000"/>
          <w:lang w:val="en-GB"/>
        </w:rPr>
        <w:t>System Electronic Navigational Chart (SENC) means a database, in the manufacturer</w:t>
      </w:r>
      <w:r w:rsidRPr="009627B2">
        <w:rPr>
          <w:rFonts w:ascii="Arial Narrow" w:eastAsia="Arial Narrow" w:hAnsi="Arial Narrow"/>
          <w:i/>
          <w:color w:val="000000"/>
          <w:lang w:val="en-GB"/>
        </w:rPr>
        <w:t>’</w:t>
      </w:r>
      <w:r w:rsidR="00FD5278" w:rsidRPr="009627B2">
        <w:rPr>
          <w:rFonts w:ascii="Arial Narrow" w:eastAsia="Arial Narrow" w:hAnsi="Arial Narrow"/>
          <w:i/>
          <w:color w:val="000000"/>
          <w:lang w:val="en-GB"/>
        </w:rPr>
        <w:t>s internal ECDIS format, resulting from th</w:t>
      </w:r>
      <w:r w:rsidR="0000223D">
        <w:rPr>
          <w:rFonts w:ascii="Arial Narrow" w:eastAsia="Arial Narrow" w:hAnsi="Arial Narrow"/>
          <w:i/>
          <w:color w:val="000000"/>
          <w:lang w:val="en-GB"/>
        </w:rPr>
        <w:t>e</w:t>
      </w:r>
      <w:r w:rsidR="00FD5278" w:rsidRPr="009627B2">
        <w:rPr>
          <w:rFonts w:ascii="Arial Narrow" w:eastAsia="Arial Narrow" w:hAnsi="Arial Narrow"/>
          <w:i/>
          <w:color w:val="000000"/>
          <w:lang w:val="en-GB"/>
        </w:rPr>
        <w:t xml:space="preserve"> lossless transformation of the entir</w:t>
      </w:r>
      <w:r w:rsidR="0000223D">
        <w:rPr>
          <w:rFonts w:ascii="Arial Narrow" w:eastAsia="Arial Narrow" w:hAnsi="Arial Narrow"/>
          <w:i/>
          <w:color w:val="000000"/>
          <w:lang w:val="en-GB"/>
        </w:rPr>
        <w:t>e</w:t>
      </w:r>
      <w:r w:rsidR="00FD5278" w:rsidRPr="009627B2">
        <w:rPr>
          <w:rFonts w:ascii="Arial Narrow" w:eastAsia="Arial Narrow" w:hAnsi="Arial Narrow"/>
          <w:i/>
          <w:color w:val="000000"/>
          <w:lang w:val="en-GB"/>
        </w:rPr>
        <w:t xml:space="preserve"> ENC contents and its updates. It </w:t>
      </w:r>
      <w:r w:rsidRPr="009627B2">
        <w:rPr>
          <w:rFonts w:ascii="Arial Narrow" w:eastAsia="Arial Narrow" w:hAnsi="Arial Narrow"/>
          <w:i/>
          <w:color w:val="000000"/>
          <w:lang w:val="en-GB"/>
        </w:rPr>
        <w:t>is this</w:t>
      </w:r>
      <w:r w:rsidR="00FD5278" w:rsidRPr="009627B2">
        <w:rPr>
          <w:rFonts w:ascii="Arial Narrow" w:eastAsia="Arial Narrow" w:hAnsi="Arial Narrow"/>
          <w:i/>
          <w:color w:val="000000"/>
          <w:lang w:val="en-GB"/>
        </w:rPr>
        <w:t xml:space="preserve"> database that is accessed by ECDIS for the display generation and other navigational functions, and is equivalent to an up-to-date paper chart. The SENC may also contain information added by the mariner and information from other sources.</w:t>
      </w:r>
      <w:r w:rsidRPr="009627B2">
        <w:rPr>
          <w:rFonts w:ascii="Arial Narrow" w:eastAsia="Arial Narrow" w:hAnsi="Arial Narrow"/>
          <w:color w:val="000000"/>
          <w:lang w:val="en-GB"/>
        </w:rPr>
        <w:t>”</w:t>
      </w:r>
    </w:p>
    <w:p w14:paraId="4C1E2CE8" w14:textId="77777777" w:rsidR="009627B2" w:rsidRDefault="009627B2" w:rsidP="00B04D4E">
      <w:pPr>
        <w:spacing w:line="250" w:lineRule="exact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</w:p>
    <w:p w14:paraId="3CAD9A32" w14:textId="77777777" w:rsidR="00FD5278" w:rsidRPr="009627B2" w:rsidRDefault="00160B62" w:rsidP="009627B2">
      <w:pPr>
        <w:pStyle w:val="Paragraphedeliste"/>
        <w:numPr>
          <w:ilvl w:val="0"/>
          <w:numId w:val="7"/>
        </w:numPr>
        <w:spacing w:line="250" w:lineRule="exact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9627B2">
        <w:rPr>
          <w:rFonts w:ascii="Arial Narrow" w:eastAsia="Arial Narrow" w:hAnsi="Arial Narrow"/>
          <w:color w:val="000000"/>
          <w:lang w:val="en-GB"/>
        </w:rPr>
        <w:t xml:space="preserve">SENC delivery is introduced </w:t>
      </w:r>
      <w:r w:rsidR="009627B2" w:rsidRPr="009627B2">
        <w:rPr>
          <w:rFonts w:ascii="Arial Narrow" w:eastAsia="Arial Narrow" w:hAnsi="Arial Narrow"/>
          <w:color w:val="000000"/>
          <w:lang w:val="en-GB"/>
        </w:rPr>
        <w:t>in</w:t>
      </w:r>
      <w:r w:rsidR="002114DD">
        <w:rPr>
          <w:rFonts w:ascii="Arial Narrow" w:eastAsia="Arial Narrow" w:hAnsi="Arial Narrow"/>
          <w:color w:val="000000"/>
          <w:lang w:val="en-GB"/>
        </w:rPr>
        <w:t xml:space="preserve"> §5.1 of</w:t>
      </w:r>
      <w:r w:rsidR="009627B2" w:rsidRPr="009627B2">
        <w:rPr>
          <w:rFonts w:ascii="Arial Narrow" w:eastAsia="Arial Narrow" w:hAnsi="Arial Narrow"/>
          <w:color w:val="000000"/>
          <w:lang w:val="en-GB"/>
        </w:rPr>
        <w:t xml:space="preserve"> the same resolution</w:t>
      </w:r>
      <w:r w:rsidRPr="009627B2">
        <w:rPr>
          <w:rFonts w:ascii="Arial Narrow" w:eastAsia="Arial Narrow" w:hAnsi="Arial Narrow"/>
          <w:color w:val="000000"/>
          <w:lang w:val="en-GB"/>
        </w:rPr>
        <w:t xml:space="preserve"> :</w:t>
      </w:r>
    </w:p>
    <w:p w14:paraId="6B0148CD" w14:textId="29A7D43D" w:rsidR="00FD5278" w:rsidRDefault="00160B62" w:rsidP="009627B2">
      <w:pPr>
        <w:spacing w:line="250" w:lineRule="exact"/>
        <w:ind w:left="709"/>
        <w:jc w:val="both"/>
        <w:textAlignment w:val="baseline"/>
        <w:rPr>
          <w:rFonts w:ascii="Arial Narrow" w:eastAsia="Arial Narrow" w:hAnsi="Arial Narrow"/>
          <w:i/>
          <w:color w:val="000000"/>
          <w:lang w:val="en-GB"/>
        </w:rPr>
      </w:pPr>
      <w:r>
        <w:rPr>
          <w:rFonts w:ascii="Arial Narrow" w:eastAsia="Arial Narrow" w:hAnsi="Arial Narrow"/>
          <w:color w:val="000000"/>
          <w:lang w:val="en-GB"/>
        </w:rPr>
        <w:t>“</w:t>
      </w:r>
      <w:r w:rsidR="00FD5278" w:rsidRPr="00160B62">
        <w:rPr>
          <w:rFonts w:ascii="Arial Narrow" w:eastAsia="Arial Narrow" w:hAnsi="Arial Narrow"/>
          <w:i/>
          <w:color w:val="000000"/>
          <w:lang w:val="en-GB"/>
        </w:rPr>
        <w:t>The ECDIS may also be capable of accepting a SENC resulting from conversion of ENC to SENC ashore, in accordance with IHO TR 3.11. This method of ENC supply is known as SENC delivery.</w:t>
      </w:r>
      <w:r w:rsidRPr="00160B62">
        <w:rPr>
          <w:rFonts w:ascii="Arial Narrow" w:eastAsia="Arial Narrow" w:hAnsi="Arial Narrow"/>
          <w:i/>
          <w:color w:val="000000"/>
          <w:lang w:val="en-GB"/>
        </w:rPr>
        <w:t>”</w:t>
      </w:r>
    </w:p>
    <w:p w14:paraId="2B52DC1B" w14:textId="77777777" w:rsidR="000A19E6" w:rsidRDefault="000A19E6" w:rsidP="00B04D4E">
      <w:pPr>
        <w:spacing w:line="250" w:lineRule="exact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</w:p>
    <w:p w14:paraId="24D2C68F" w14:textId="77777777" w:rsidR="000A19E6" w:rsidRPr="009627B2" w:rsidRDefault="000A19E6" w:rsidP="009627B2">
      <w:pPr>
        <w:pStyle w:val="Paragraphedeliste"/>
        <w:numPr>
          <w:ilvl w:val="0"/>
          <w:numId w:val="7"/>
        </w:numPr>
        <w:spacing w:line="250" w:lineRule="exact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9627B2">
        <w:rPr>
          <w:rFonts w:ascii="Arial Narrow" w:eastAsia="Arial Narrow" w:hAnsi="Arial Narrow"/>
          <w:color w:val="000000"/>
          <w:lang w:val="en-GB"/>
        </w:rPr>
        <w:t xml:space="preserve">As emphasized in IHO </w:t>
      </w:r>
      <w:r w:rsidRPr="009627B2">
        <w:rPr>
          <w:rFonts w:ascii="Arial Narrow" w:eastAsia="Arial Narrow" w:hAnsi="Arial Narrow"/>
          <w:color w:val="000000"/>
        </w:rPr>
        <w:t>report to IMO on monitoring of ECDIS issues (NSCR8-13-1)</w:t>
      </w:r>
      <w:r w:rsidRPr="009627B2">
        <w:rPr>
          <w:rFonts w:ascii="Arial Narrow" w:eastAsia="Arial Narrow" w:hAnsi="Arial Narrow"/>
          <w:color w:val="000000"/>
          <w:lang w:val="en-GB"/>
        </w:rPr>
        <w:t xml:space="preserve"> “</w:t>
      </w:r>
      <w:r w:rsidRPr="009627B2">
        <w:rPr>
          <w:rFonts w:ascii="Arial Narrow" w:eastAsia="Arial Narrow" w:hAnsi="Arial Narrow"/>
          <w:i/>
          <w:color w:val="000000"/>
          <w:lang w:val="en-GB"/>
        </w:rPr>
        <w:t>S-101 ENCs enjoy a modernized method of encryption to improve robustness against cyber threats</w:t>
      </w:r>
      <w:r w:rsidRPr="009627B2">
        <w:rPr>
          <w:rFonts w:ascii="Arial Narrow" w:eastAsia="Arial Narrow" w:hAnsi="Arial Narrow"/>
          <w:color w:val="000000"/>
          <w:lang w:val="en-GB"/>
        </w:rPr>
        <w:t>”.</w:t>
      </w:r>
    </w:p>
    <w:p w14:paraId="4518321E" w14:textId="77777777" w:rsidR="000A19E6" w:rsidRDefault="000A19E6" w:rsidP="000A19E6">
      <w:pPr>
        <w:spacing w:line="250" w:lineRule="exact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</w:p>
    <w:p w14:paraId="4C477E64" w14:textId="77777777" w:rsidR="000A19E6" w:rsidRPr="009627B2" w:rsidRDefault="000A19E6" w:rsidP="009627B2">
      <w:pPr>
        <w:pStyle w:val="Paragraphedeliste"/>
        <w:numPr>
          <w:ilvl w:val="0"/>
          <w:numId w:val="7"/>
        </w:numPr>
        <w:spacing w:line="250" w:lineRule="exact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9627B2">
        <w:rPr>
          <w:rFonts w:ascii="Arial Narrow" w:eastAsia="Arial Narrow" w:hAnsi="Arial Narrow"/>
          <w:color w:val="000000"/>
          <w:lang w:val="en-GB"/>
        </w:rPr>
        <w:t>The WEND-100 Principles draft (</w:t>
      </w:r>
      <w:r w:rsidRPr="009627B2">
        <w:rPr>
          <w:rFonts w:ascii="Arial Narrow" w:eastAsia="Arial Narrow" w:hAnsi="Arial Narrow"/>
          <w:color w:val="000000"/>
        </w:rPr>
        <w:t>WENDWG11-04.1A), as endorsed by the Assembly (A-2) in November 2020 states that “</w:t>
      </w:r>
      <w:r w:rsidRPr="009627B2">
        <w:rPr>
          <w:rFonts w:ascii="Arial Narrow" w:eastAsia="Arial Narrow" w:hAnsi="Arial Narrow"/>
          <w:i/>
          <w:color w:val="000000"/>
          <w:lang w:val="en-GB"/>
        </w:rPr>
        <w:t>Member States should ensure the use of the IHO Data Protection Scheme (S-100 Part 15) for distribution to mariners, to secure data integrity, to safeguard national copyright in data, to protect the mariner from falsified products, and to ensure traceability</w:t>
      </w:r>
      <w:r w:rsidRPr="009627B2">
        <w:rPr>
          <w:rFonts w:ascii="Arial Narrow" w:eastAsia="Arial Narrow" w:hAnsi="Arial Narrow"/>
          <w:color w:val="000000"/>
          <w:lang w:val="en-GB"/>
        </w:rPr>
        <w:t>.”</w:t>
      </w:r>
    </w:p>
    <w:p w14:paraId="6DC8A5D5" w14:textId="77777777" w:rsidR="000A19E6" w:rsidRDefault="000A19E6" w:rsidP="000A19E6">
      <w:pPr>
        <w:spacing w:line="250" w:lineRule="exact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</w:p>
    <w:p w14:paraId="458EBE9C" w14:textId="70475850" w:rsidR="000A19E6" w:rsidRDefault="000A19E6" w:rsidP="009627B2">
      <w:pPr>
        <w:pStyle w:val="Paragraphedeliste"/>
        <w:numPr>
          <w:ilvl w:val="0"/>
          <w:numId w:val="7"/>
        </w:numPr>
        <w:spacing w:line="250" w:lineRule="exact"/>
        <w:jc w:val="both"/>
        <w:textAlignment w:val="baseline"/>
        <w:rPr>
          <w:rFonts w:ascii="Arial Narrow" w:eastAsia="Arial Narrow" w:hAnsi="Arial Narrow"/>
          <w:color w:val="000000"/>
        </w:rPr>
      </w:pPr>
      <w:r w:rsidRPr="009627B2">
        <w:rPr>
          <w:rFonts w:ascii="Arial Narrow" w:eastAsia="Arial Narrow" w:hAnsi="Arial Narrow"/>
          <w:color w:val="000000"/>
        </w:rPr>
        <w:t xml:space="preserve">France </w:t>
      </w:r>
      <w:r w:rsidR="009627B2">
        <w:rPr>
          <w:rFonts w:ascii="Arial Narrow" w:eastAsia="Arial Narrow" w:hAnsi="Arial Narrow"/>
          <w:color w:val="000000"/>
        </w:rPr>
        <w:t>made</w:t>
      </w:r>
      <w:r w:rsidRPr="009627B2">
        <w:rPr>
          <w:rFonts w:ascii="Arial Narrow" w:eastAsia="Arial Narrow" w:hAnsi="Arial Narrow"/>
          <w:color w:val="000000"/>
        </w:rPr>
        <w:t xml:space="preserve"> a comment </w:t>
      </w:r>
      <w:r w:rsidR="009627B2">
        <w:rPr>
          <w:rFonts w:ascii="Arial Narrow" w:eastAsia="Arial Narrow" w:hAnsi="Arial Narrow"/>
          <w:color w:val="000000"/>
        </w:rPr>
        <w:t>i</w:t>
      </w:r>
      <w:r w:rsidRPr="009627B2">
        <w:rPr>
          <w:rFonts w:ascii="Arial Narrow" w:eastAsia="Arial Narrow" w:hAnsi="Arial Narrow"/>
          <w:color w:val="000000"/>
        </w:rPr>
        <w:t>n</w:t>
      </w:r>
      <w:r w:rsidR="009627B2">
        <w:rPr>
          <w:rFonts w:ascii="Arial Narrow" w:eastAsia="Arial Narrow" w:hAnsi="Arial Narrow"/>
          <w:color w:val="000000"/>
        </w:rPr>
        <w:t xml:space="preserve"> its answer to</w:t>
      </w:r>
      <w:r w:rsidRPr="009627B2">
        <w:rPr>
          <w:rFonts w:ascii="Arial Narrow" w:eastAsia="Arial Narrow" w:hAnsi="Arial Narrow"/>
          <w:color w:val="000000"/>
        </w:rPr>
        <w:t xml:space="preserve"> </w:t>
      </w:r>
      <w:r w:rsidR="009627B2">
        <w:rPr>
          <w:rFonts w:ascii="Arial Narrow" w:eastAsia="Arial Narrow" w:hAnsi="Arial Narrow"/>
          <w:color w:val="000000"/>
        </w:rPr>
        <w:t>Proposal 2.1 “</w:t>
      </w:r>
      <w:r w:rsidR="009627B2" w:rsidRPr="009627B2">
        <w:rPr>
          <w:rFonts w:ascii="Arial Narrow" w:eastAsia="Arial Narrow" w:hAnsi="Arial Narrow"/>
          <w:color w:val="000000"/>
        </w:rPr>
        <w:t>S-100 Implementation Strategy</w:t>
      </w:r>
      <w:r w:rsidR="009627B2">
        <w:rPr>
          <w:rFonts w:ascii="Arial Narrow" w:eastAsia="Arial Narrow" w:hAnsi="Arial Narrow"/>
          <w:color w:val="000000"/>
        </w:rPr>
        <w:t>” of Assembly Circular Letter ACL12/2019, and this comment was issued again during A-2 : “</w:t>
      </w:r>
      <w:r w:rsidR="009627B2" w:rsidRPr="00B66D30">
        <w:rPr>
          <w:rFonts w:ascii="Arial Narrow" w:eastAsia="Arial Narrow" w:hAnsi="Arial Narrow"/>
          <w:i/>
          <w:color w:val="000000"/>
        </w:rPr>
        <w:t>France assumes that the delivery of SENC, which represents a security breach in the S-57 delivery, will not be an option in the S-101 delivery.</w:t>
      </w:r>
      <w:r w:rsidR="009627B2">
        <w:rPr>
          <w:rFonts w:ascii="Arial Narrow" w:eastAsia="Arial Narrow" w:hAnsi="Arial Narrow"/>
          <w:color w:val="000000"/>
        </w:rPr>
        <w:t>”</w:t>
      </w:r>
    </w:p>
    <w:p w14:paraId="21A726A1" w14:textId="77777777" w:rsidR="00DB75CD" w:rsidRPr="009B12FB" w:rsidRDefault="00DB75CD" w:rsidP="009B12FB">
      <w:pPr>
        <w:pStyle w:val="Paragraphedeliste"/>
        <w:rPr>
          <w:rFonts w:ascii="Arial Narrow" w:eastAsia="Arial Narrow" w:hAnsi="Arial Narrow"/>
          <w:color w:val="000000"/>
        </w:rPr>
      </w:pPr>
    </w:p>
    <w:p w14:paraId="1033459C" w14:textId="77777777" w:rsidR="003466A9" w:rsidRDefault="003466A9" w:rsidP="003466A9">
      <w:pPr>
        <w:spacing w:before="244" w:line="252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lastRenderedPageBreak/>
        <w:t>Analysis/Discussion</w:t>
      </w:r>
    </w:p>
    <w:p w14:paraId="1A022A78" w14:textId="77777777" w:rsidR="003466A9" w:rsidRDefault="003466A9" w:rsidP="003466A9">
      <w:p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</w:p>
    <w:p w14:paraId="61D223F2" w14:textId="1E9B2016" w:rsidR="00167B58" w:rsidRDefault="00167B58" w:rsidP="00E00219">
      <w:pPr>
        <w:pStyle w:val="Paragraphedeliste"/>
        <w:numPr>
          <w:ilvl w:val="0"/>
          <w:numId w:val="7"/>
        </w:numPr>
        <w:spacing w:before="58" w:line="252" w:lineRule="exact"/>
        <w:jc w:val="both"/>
        <w:textAlignment w:val="baseline"/>
        <w:rPr>
          <w:rFonts w:ascii="Arial Narrow" w:eastAsia="Arial Narrow" w:hAnsi="Arial Narrow"/>
          <w:color w:val="000000"/>
        </w:rPr>
      </w:pPr>
      <w:r w:rsidRPr="00CC20FB">
        <w:rPr>
          <w:rFonts w:ascii="Arial Narrow" w:eastAsia="Arial Narrow" w:hAnsi="Arial Narrow"/>
          <w:color w:val="000000"/>
        </w:rPr>
        <w:t>The proposed draft content of the Governance document on Dual-Fuel ECDIS is very thorough</w:t>
      </w:r>
      <w:r w:rsidR="00C235D4" w:rsidRPr="00CC20FB">
        <w:rPr>
          <w:rFonts w:ascii="Arial Narrow" w:eastAsia="Arial Narrow" w:hAnsi="Arial Narrow"/>
          <w:color w:val="000000"/>
        </w:rPr>
        <w:t xml:space="preserve"> but seems to assume that some technical choices have already been made</w:t>
      </w:r>
      <w:r w:rsidR="00B46BBF" w:rsidRPr="00CC20FB">
        <w:rPr>
          <w:rFonts w:ascii="Arial Narrow" w:eastAsia="Arial Narrow" w:hAnsi="Arial Narrow"/>
          <w:color w:val="000000"/>
        </w:rPr>
        <w:t xml:space="preserve">, including the </w:t>
      </w:r>
      <w:r w:rsidR="00CC20FB">
        <w:rPr>
          <w:rFonts w:ascii="Arial Narrow" w:eastAsia="Arial Narrow" w:hAnsi="Arial Narrow"/>
          <w:color w:val="000000"/>
        </w:rPr>
        <w:t>use of SENC</w:t>
      </w:r>
      <w:r w:rsidR="004A1621">
        <w:rPr>
          <w:rFonts w:ascii="Arial Narrow" w:eastAsia="Arial Narrow" w:hAnsi="Arial Narrow"/>
          <w:color w:val="000000"/>
        </w:rPr>
        <w:t xml:space="preserve"> within the ECDIS</w:t>
      </w:r>
      <w:r w:rsidRPr="00CC20FB">
        <w:rPr>
          <w:rFonts w:ascii="Arial Narrow" w:eastAsia="Arial Narrow" w:hAnsi="Arial Narrow"/>
          <w:color w:val="000000"/>
        </w:rPr>
        <w:t>.</w:t>
      </w:r>
      <w:r w:rsidR="00C235D4" w:rsidRPr="00CC20FB">
        <w:rPr>
          <w:rFonts w:ascii="Arial Narrow" w:eastAsia="Arial Narrow" w:hAnsi="Arial Narrow"/>
          <w:color w:val="000000"/>
        </w:rPr>
        <w:t xml:space="preserve"> </w:t>
      </w:r>
    </w:p>
    <w:p w14:paraId="351B1A28" w14:textId="77777777" w:rsidR="00CC20FB" w:rsidRPr="00CC20FB" w:rsidRDefault="00CC20FB" w:rsidP="00CC20FB">
      <w:pPr>
        <w:pStyle w:val="Paragraphedeliste"/>
        <w:spacing w:before="58" w:line="252" w:lineRule="exact"/>
        <w:jc w:val="both"/>
        <w:textAlignment w:val="baseline"/>
        <w:rPr>
          <w:rFonts w:ascii="Arial Narrow" w:eastAsia="Arial Narrow" w:hAnsi="Arial Narrow"/>
          <w:color w:val="000000"/>
        </w:rPr>
      </w:pPr>
    </w:p>
    <w:p w14:paraId="55B9E3BD" w14:textId="0C07FDFF" w:rsidR="00F2797D" w:rsidRPr="00B66D30" w:rsidRDefault="005D07A9" w:rsidP="00B66D30">
      <w:pPr>
        <w:pStyle w:val="Paragraphedeliste"/>
        <w:numPr>
          <w:ilvl w:val="0"/>
          <w:numId w:val="7"/>
        </w:numPr>
        <w:spacing w:before="58" w:line="252" w:lineRule="exact"/>
        <w:jc w:val="both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However, t</w:t>
      </w:r>
      <w:r w:rsidR="00200EE0" w:rsidRPr="00B66D30">
        <w:rPr>
          <w:rFonts w:ascii="Arial Narrow" w:eastAsia="Arial Narrow" w:hAnsi="Arial Narrow"/>
          <w:color w:val="000000"/>
        </w:rPr>
        <w:t xml:space="preserve">he technical </w:t>
      </w:r>
      <w:r w:rsidR="00160B62" w:rsidRPr="00B66D30">
        <w:rPr>
          <w:rFonts w:ascii="Arial Narrow" w:eastAsia="Arial Narrow" w:hAnsi="Arial Narrow"/>
          <w:color w:val="000000"/>
        </w:rPr>
        <w:t xml:space="preserve">limitations in </w:t>
      </w:r>
      <w:r w:rsidR="00CC0156" w:rsidRPr="00B66D30">
        <w:rPr>
          <w:rFonts w:ascii="Arial Narrow" w:eastAsia="Arial Narrow" w:hAnsi="Arial Narrow"/>
          <w:color w:val="000000"/>
        </w:rPr>
        <w:t>computers</w:t>
      </w:r>
      <w:r w:rsidR="00200EE0" w:rsidRPr="00B66D30">
        <w:rPr>
          <w:rFonts w:ascii="Arial Narrow" w:eastAsia="Arial Narrow" w:hAnsi="Arial Narrow"/>
          <w:color w:val="000000"/>
        </w:rPr>
        <w:t xml:space="preserve"> that</w:t>
      </w:r>
      <w:r w:rsidR="002114DD">
        <w:rPr>
          <w:rFonts w:ascii="Arial Narrow" w:eastAsia="Arial Narrow" w:hAnsi="Arial Narrow"/>
          <w:color w:val="000000"/>
        </w:rPr>
        <w:t xml:space="preserve">, at the time, </w:t>
      </w:r>
      <w:r w:rsidR="00200EE0" w:rsidRPr="00B66D30">
        <w:rPr>
          <w:rFonts w:ascii="Arial Narrow" w:eastAsia="Arial Narrow" w:hAnsi="Arial Narrow"/>
          <w:color w:val="000000"/>
        </w:rPr>
        <w:t xml:space="preserve">made SENC a necessary means </w:t>
      </w:r>
      <w:r w:rsidR="00160B62" w:rsidRPr="00B66D30">
        <w:rPr>
          <w:rFonts w:ascii="Arial Narrow" w:eastAsia="Arial Narrow" w:hAnsi="Arial Narrow"/>
          <w:color w:val="000000"/>
        </w:rPr>
        <w:t>for</w:t>
      </w:r>
      <w:r w:rsidR="00200EE0" w:rsidRPr="00B66D30">
        <w:rPr>
          <w:rFonts w:ascii="Arial Narrow" w:eastAsia="Arial Narrow" w:hAnsi="Arial Narrow"/>
          <w:color w:val="000000"/>
        </w:rPr>
        <w:t xml:space="preserve"> managing S57 ENCs within the ECDIS</w:t>
      </w:r>
      <w:r w:rsidR="00CC0156" w:rsidRPr="00B66D30">
        <w:rPr>
          <w:rFonts w:ascii="Arial Narrow" w:eastAsia="Arial Narrow" w:hAnsi="Arial Narrow"/>
          <w:color w:val="000000"/>
        </w:rPr>
        <w:t xml:space="preserve"> </w:t>
      </w:r>
      <w:r w:rsidR="00200EE0" w:rsidRPr="00B66D30">
        <w:rPr>
          <w:rFonts w:ascii="Arial Narrow" w:eastAsia="Arial Narrow" w:hAnsi="Arial Narrow"/>
          <w:color w:val="000000"/>
        </w:rPr>
        <w:t xml:space="preserve">are </w:t>
      </w:r>
      <w:r w:rsidR="00160B62" w:rsidRPr="00B66D30">
        <w:rPr>
          <w:rFonts w:ascii="Arial Narrow" w:eastAsia="Arial Narrow" w:hAnsi="Arial Narrow"/>
          <w:color w:val="000000"/>
        </w:rPr>
        <w:t xml:space="preserve">deemed </w:t>
      </w:r>
      <w:r w:rsidR="00200EE0" w:rsidRPr="00B66D30">
        <w:rPr>
          <w:rFonts w:ascii="Arial Narrow" w:eastAsia="Arial Narrow" w:hAnsi="Arial Narrow"/>
          <w:color w:val="000000"/>
        </w:rPr>
        <w:t>no longer present. Th</w:t>
      </w:r>
      <w:r w:rsidR="00CC0156" w:rsidRPr="00B66D30">
        <w:rPr>
          <w:rFonts w:ascii="Arial Narrow" w:eastAsia="Arial Narrow" w:hAnsi="Arial Narrow"/>
          <w:color w:val="000000"/>
        </w:rPr>
        <w:t>erefore,</w:t>
      </w:r>
      <w:r w:rsidR="00200EE0" w:rsidRPr="00B66D30">
        <w:rPr>
          <w:rFonts w:ascii="Arial Narrow" w:eastAsia="Arial Narrow" w:hAnsi="Arial Narrow"/>
          <w:color w:val="000000"/>
        </w:rPr>
        <w:t xml:space="preserve"> </w:t>
      </w:r>
      <w:r w:rsidR="00CC0156" w:rsidRPr="00B66D30">
        <w:rPr>
          <w:rFonts w:ascii="Arial Narrow" w:eastAsia="Arial Narrow" w:hAnsi="Arial Narrow"/>
          <w:color w:val="000000"/>
        </w:rPr>
        <w:t>in</w:t>
      </w:r>
      <w:r w:rsidR="00200EE0" w:rsidRPr="00B66D30">
        <w:rPr>
          <w:rFonts w:ascii="Arial Narrow" w:eastAsia="Arial Narrow" w:hAnsi="Arial Narrow"/>
          <w:color w:val="000000"/>
        </w:rPr>
        <w:t xml:space="preserve"> a DF ECDIS, a SENC might be </w:t>
      </w:r>
      <w:r w:rsidR="002114DD">
        <w:rPr>
          <w:rFonts w:ascii="Arial Narrow" w:eastAsia="Arial Narrow" w:hAnsi="Arial Narrow"/>
          <w:color w:val="000000"/>
        </w:rPr>
        <w:t>used</w:t>
      </w:r>
      <w:r w:rsidR="00200EE0" w:rsidRPr="00B66D30">
        <w:rPr>
          <w:rFonts w:ascii="Arial Narrow" w:eastAsia="Arial Narrow" w:hAnsi="Arial Narrow"/>
          <w:color w:val="000000"/>
        </w:rPr>
        <w:t xml:space="preserve"> for managing S57 ENCs, but S101 ENCs could well be managed</w:t>
      </w:r>
      <w:r w:rsidR="00CC0156" w:rsidRPr="00B66D30">
        <w:rPr>
          <w:rFonts w:ascii="Arial Narrow" w:eastAsia="Arial Narrow" w:hAnsi="Arial Narrow"/>
          <w:color w:val="000000"/>
        </w:rPr>
        <w:t xml:space="preserve"> directly</w:t>
      </w:r>
      <w:r w:rsidR="00200EE0" w:rsidRPr="00B66D30">
        <w:rPr>
          <w:rFonts w:ascii="Arial Narrow" w:eastAsia="Arial Narrow" w:hAnsi="Arial Narrow"/>
          <w:color w:val="000000"/>
        </w:rPr>
        <w:t xml:space="preserve"> ‘as is’</w:t>
      </w:r>
      <w:r w:rsidR="00BF1757" w:rsidRPr="00B66D30">
        <w:rPr>
          <w:rFonts w:ascii="Arial Narrow" w:eastAsia="Arial Narrow" w:hAnsi="Arial Narrow"/>
          <w:color w:val="000000"/>
        </w:rPr>
        <w:t xml:space="preserve">, without </w:t>
      </w:r>
      <w:r w:rsidR="00B04D4E" w:rsidRPr="00B66D30">
        <w:rPr>
          <w:rFonts w:ascii="Arial Narrow" w:eastAsia="Arial Narrow" w:hAnsi="Arial Narrow"/>
          <w:color w:val="000000"/>
        </w:rPr>
        <w:t xml:space="preserve">the need to </w:t>
      </w:r>
      <w:r w:rsidR="00BF1757" w:rsidRPr="00B66D30">
        <w:rPr>
          <w:rFonts w:ascii="Arial Narrow" w:eastAsia="Arial Narrow" w:hAnsi="Arial Narrow"/>
          <w:color w:val="000000"/>
        </w:rPr>
        <w:t>convert them into a SENC</w:t>
      </w:r>
      <w:r w:rsidR="00200EE0" w:rsidRPr="00B66D30">
        <w:rPr>
          <w:rFonts w:ascii="Arial Narrow" w:eastAsia="Arial Narrow" w:hAnsi="Arial Narrow"/>
          <w:color w:val="000000"/>
        </w:rPr>
        <w:t>.</w:t>
      </w:r>
      <w:r w:rsidR="00BF1757" w:rsidRPr="00B66D30">
        <w:rPr>
          <w:rFonts w:ascii="Arial Narrow" w:eastAsia="Arial Narrow" w:hAnsi="Arial Narrow"/>
          <w:color w:val="000000"/>
        </w:rPr>
        <w:t xml:space="preserve"> It is a technical solution that should be left to ECDIS manufacturers and not taken as ‘the’ solution recommended by IHO.</w:t>
      </w:r>
    </w:p>
    <w:p w14:paraId="5762A7EB" w14:textId="77777777" w:rsidR="00B04D4E" w:rsidRDefault="00B04D4E" w:rsidP="00B04D4E">
      <w:pPr>
        <w:spacing w:before="58" w:line="252" w:lineRule="exact"/>
        <w:jc w:val="both"/>
        <w:textAlignment w:val="baseline"/>
        <w:rPr>
          <w:rFonts w:ascii="Arial Narrow" w:eastAsia="Arial Narrow" w:hAnsi="Arial Narrow"/>
          <w:color w:val="000000"/>
        </w:rPr>
      </w:pPr>
    </w:p>
    <w:p w14:paraId="7ED0CF8A" w14:textId="2CDA660D" w:rsidR="00CC0156" w:rsidRPr="00B66D30" w:rsidRDefault="00BF1757" w:rsidP="00B66D30">
      <w:pPr>
        <w:pStyle w:val="Paragraphedeliste"/>
        <w:numPr>
          <w:ilvl w:val="0"/>
          <w:numId w:val="7"/>
        </w:numPr>
        <w:spacing w:before="58" w:line="252" w:lineRule="exact"/>
        <w:jc w:val="both"/>
        <w:textAlignment w:val="baseline"/>
        <w:rPr>
          <w:rFonts w:ascii="Arial Narrow" w:eastAsia="Arial Narrow" w:hAnsi="Arial Narrow"/>
          <w:color w:val="000000"/>
        </w:rPr>
      </w:pPr>
      <w:r w:rsidRPr="00B66D30">
        <w:rPr>
          <w:rFonts w:ascii="Arial Narrow" w:eastAsia="Arial Narrow" w:hAnsi="Arial Narrow"/>
          <w:color w:val="000000"/>
        </w:rPr>
        <w:t xml:space="preserve">More importantly, </w:t>
      </w:r>
      <w:r w:rsidR="00CC0156" w:rsidRPr="00B66D30">
        <w:rPr>
          <w:rFonts w:ascii="Arial Narrow" w:eastAsia="Arial Narrow" w:hAnsi="Arial Narrow"/>
          <w:color w:val="000000"/>
        </w:rPr>
        <w:t>delivery of S101</w:t>
      </w:r>
      <w:r w:rsidR="002733B7">
        <w:rPr>
          <w:rFonts w:ascii="Arial Narrow" w:eastAsia="Arial Narrow" w:hAnsi="Arial Narrow"/>
          <w:color w:val="000000"/>
        </w:rPr>
        <w:t xml:space="preserve"> ENCs in a</w:t>
      </w:r>
      <w:r w:rsidR="00CC0156" w:rsidRPr="00B66D30">
        <w:rPr>
          <w:rFonts w:ascii="Arial Narrow" w:eastAsia="Arial Narrow" w:hAnsi="Arial Narrow"/>
          <w:color w:val="000000"/>
        </w:rPr>
        <w:t xml:space="preserve"> SENC</w:t>
      </w:r>
      <w:r w:rsidRPr="00B66D30">
        <w:rPr>
          <w:rFonts w:ascii="Arial Narrow" w:eastAsia="Arial Narrow" w:hAnsi="Arial Narrow"/>
          <w:color w:val="000000"/>
        </w:rPr>
        <w:t xml:space="preserve"> </w:t>
      </w:r>
      <w:r w:rsidR="002733B7">
        <w:rPr>
          <w:rFonts w:ascii="Arial Narrow" w:eastAsia="Arial Narrow" w:hAnsi="Arial Narrow"/>
          <w:color w:val="000000"/>
        </w:rPr>
        <w:t xml:space="preserve">format </w:t>
      </w:r>
      <w:r w:rsidRPr="00B66D30">
        <w:rPr>
          <w:rFonts w:ascii="Arial Narrow" w:eastAsia="Arial Narrow" w:hAnsi="Arial Narrow"/>
          <w:color w:val="000000"/>
        </w:rPr>
        <w:t>produced ashore</w:t>
      </w:r>
      <w:r w:rsidR="00CC0156" w:rsidRPr="00B66D30">
        <w:rPr>
          <w:rFonts w:ascii="Arial Narrow" w:eastAsia="Arial Narrow" w:hAnsi="Arial Narrow"/>
          <w:color w:val="000000"/>
        </w:rPr>
        <w:t xml:space="preserve"> </w:t>
      </w:r>
      <w:r w:rsidR="002733B7">
        <w:rPr>
          <w:rFonts w:ascii="Arial Narrow" w:eastAsia="Arial Narrow" w:hAnsi="Arial Narrow"/>
          <w:color w:val="000000"/>
        </w:rPr>
        <w:t xml:space="preserve">would </w:t>
      </w:r>
      <w:r w:rsidR="00CC0156" w:rsidRPr="00B66D30">
        <w:rPr>
          <w:rFonts w:ascii="Arial Narrow" w:eastAsia="Arial Narrow" w:hAnsi="Arial Narrow"/>
          <w:color w:val="000000"/>
        </w:rPr>
        <w:t xml:space="preserve">raise cyber-security risks that S100 Part 15 - IHO Data Protection Scheme </w:t>
      </w:r>
      <w:r w:rsidRPr="00B66D30">
        <w:rPr>
          <w:rFonts w:ascii="Arial Narrow" w:eastAsia="Arial Narrow" w:hAnsi="Arial Narrow"/>
          <w:color w:val="000000"/>
        </w:rPr>
        <w:t xml:space="preserve">precisely </w:t>
      </w:r>
      <w:r w:rsidR="009B12FB">
        <w:rPr>
          <w:rFonts w:ascii="Arial Narrow" w:eastAsia="Arial Narrow" w:hAnsi="Arial Narrow"/>
          <w:color w:val="000000"/>
        </w:rPr>
        <w:t>endeavors</w:t>
      </w:r>
      <w:r w:rsidR="002733B7" w:rsidRPr="00B66D30">
        <w:rPr>
          <w:rFonts w:ascii="Arial Narrow" w:eastAsia="Arial Narrow" w:hAnsi="Arial Narrow"/>
          <w:color w:val="000000"/>
        </w:rPr>
        <w:t xml:space="preserve"> </w:t>
      </w:r>
      <w:r w:rsidR="00CC0156" w:rsidRPr="00B66D30">
        <w:rPr>
          <w:rFonts w:ascii="Arial Narrow" w:eastAsia="Arial Narrow" w:hAnsi="Arial Narrow"/>
          <w:color w:val="000000"/>
        </w:rPr>
        <w:t xml:space="preserve">to </w:t>
      </w:r>
      <w:r w:rsidR="002733B7">
        <w:rPr>
          <w:rFonts w:ascii="Arial Narrow" w:eastAsia="Arial Narrow" w:hAnsi="Arial Narrow"/>
          <w:color w:val="000000"/>
        </w:rPr>
        <w:t>prevent</w:t>
      </w:r>
      <w:r w:rsidR="00CC0156" w:rsidRPr="00B66D30">
        <w:rPr>
          <w:rFonts w:ascii="Arial Narrow" w:eastAsia="Arial Narrow" w:hAnsi="Arial Narrow"/>
          <w:color w:val="000000"/>
        </w:rPr>
        <w:t>.</w:t>
      </w:r>
      <w:r w:rsidRPr="00B66D30">
        <w:rPr>
          <w:rFonts w:ascii="Arial Narrow" w:eastAsia="Arial Narrow" w:hAnsi="Arial Narrow"/>
          <w:color w:val="000000"/>
        </w:rPr>
        <w:t xml:space="preserve"> </w:t>
      </w:r>
      <w:r w:rsidR="002733B7">
        <w:rPr>
          <w:rFonts w:ascii="Arial Narrow" w:eastAsia="Arial Narrow" w:hAnsi="Arial Narrow"/>
          <w:color w:val="000000"/>
        </w:rPr>
        <w:t>Indeed, i</w:t>
      </w:r>
      <w:r w:rsidR="00B04D4E" w:rsidRPr="00B66D30">
        <w:rPr>
          <w:rFonts w:ascii="Arial Narrow" w:eastAsia="Arial Narrow" w:hAnsi="Arial Narrow"/>
          <w:color w:val="000000"/>
        </w:rPr>
        <w:t>t would mean that between the S101 ENC and the ECDIS</w:t>
      </w:r>
      <w:r w:rsidR="000A19E6" w:rsidRPr="00B66D30">
        <w:rPr>
          <w:rFonts w:ascii="Arial Narrow" w:eastAsia="Arial Narrow" w:hAnsi="Arial Narrow"/>
          <w:color w:val="000000"/>
        </w:rPr>
        <w:t xml:space="preserve"> used at sea, </w:t>
      </w:r>
      <w:r w:rsidR="00CA6F3B" w:rsidRPr="00B66D30">
        <w:rPr>
          <w:rFonts w:ascii="Arial Narrow" w:eastAsia="Arial Narrow" w:hAnsi="Arial Narrow"/>
          <w:color w:val="000000"/>
        </w:rPr>
        <w:t xml:space="preserve">some </w:t>
      </w:r>
      <w:r w:rsidR="00CA6F3B">
        <w:rPr>
          <w:rFonts w:ascii="Arial Narrow" w:eastAsia="Arial Narrow" w:hAnsi="Arial Narrow"/>
          <w:color w:val="000000"/>
        </w:rPr>
        <w:t xml:space="preserve">major </w:t>
      </w:r>
      <w:r w:rsidR="00CA6F3B" w:rsidRPr="00B66D30">
        <w:rPr>
          <w:rFonts w:ascii="Arial Narrow" w:eastAsia="Arial Narrow" w:hAnsi="Arial Narrow"/>
          <w:color w:val="000000"/>
        </w:rPr>
        <w:t xml:space="preserve">operations (conversion and distribution) </w:t>
      </w:r>
      <w:r w:rsidR="000A19E6" w:rsidRPr="00B66D30">
        <w:rPr>
          <w:rFonts w:ascii="Arial Narrow" w:eastAsia="Arial Narrow" w:hAnsi="Arial Narrow"/>
          <w:color w:val="000000"/>
        </w:rPr>
        <w:t>would take place</w:t>
      </w:r>
      <w:r w:rsidR="00CA6F3B">
        <w:rPr>
          <w:rFonts w:ascii="Arial Narrow" w:eastAsia="Arial Narrow" w:hAnsi="Arial Narrow"/>
          <w:color w:val="000000"/>
        </w:rPr>
        <w:t>,</w:t>
      </w:r>
      <w:r w:rsidR="000A19E6" w:rsidRPr="00B66D30">
        <w:rPr>
          <w:rFonts w:ascii="Arial Narrow" w:eastAsia="Arial Narrow" w:hAnsi="Arial Narrow"/>
          <w:color w:val="000000"/>
        </w:rPr>
        <w:t xml:space="preserve"> outside the monitoring of Member States </w:t>
      </w:r>
      <w:r w:rsidR="00CA6F3B">
        <w:rPr>
          <w:rFonts w:ascii="Arial Narrow" w:eastAsia="Arial Narrow" w:hAnsi="Arial Narrow"/>
          <w:color w:val="000000"/>
        </w:rPr>
        <w:t xml:space="preserve">and thus in contradiction </w:t>
      </w:r>
      <w:r w:rsidR="002733B7">
        <w:rPr>
          <w:rFonts w:ascii="Arial Narrow" w:eastAsia="Arial Narrow" w:hAnsi="Arial Narrow"/>
          <w:color w:val="000000"/>
        </w:rPr>
        <w:t xml:space="preserve">with </w:t>
      </w:r>
      <w:r w:rsidR="00CA6F3B">
        <w:rPr>
          <w:rFonts w:ascii="Arial Narrow" w:eastAsia="Arial Narrow" w:hAnsi="Arial Narrow"/>
          <w:color w:val="000000"/>
        </w:rPr>
        <w:t>the WEND100 Principles.</w:t>
      </w:r>
      <w:r w:rsidR="000A19E6" w:rsidRPr="00B66D30">
        <w:rPr>
          <w:rFonts w:ascii="Arial Narrow" w:eastAsia="Arial Narrow" w:hAnsi="Arial Narrow"/>
          <w:color w:val="000000"/>
        </w:rPr>
        <w:t xml:space="preserve"> </w:t>
      </w:r>
    </w:p>
    <w:p w14:paraId="2BB6D3ED" w14:textId="77777777" w:rsidR="00714098" w:rsidRDefault="00714098" w:rsidP="00B04D4E">
      <w:pPr>
        <w:spacing w:before="58" w:line="252" w:lineRule="exact"/>
        <w:jc w:val="both"/>
        <w:textAlignment w:val="baseline"/>
        <w:rPr>
          <w:rFonts w:ascii="Arial Narrow" w:eastAsia="Arial Narrow" w:hAnsi="Arial Narrow"/>
          <w:color w:val="000000"/>
        </w:rPr>
      </w:pPr>
    </w:p>
    <w:p w14:paraId="1FECE911" w14:textId="77777777" w:rsidR="00714098" w:rsidRDefault="00714098" w:rsidP="00B04D4E">
      <w:pPr>
        <w:spacing w:before="58" w:line="252" w:lineRule="exact"/>
        <w:jc w:val="both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b/>
          <w:color w:val="000000"/>
        </w:rPr>
        <w:t>Recommendation</w:t>
      </w:r>
      <w:r w:rsidR="009D20C8">
        <w:rPr>
          <w:rFonts w:ascii="Arial Narrow" w:eastAsia="Arial Narrow" w:hAnsi="Arial Narrow"/>
          <w:b/>
          <w:color w:val="000000"/>
        </w:rPr>
        <w:t>s</w:t>
      </w:r>
    </w:p>
    <w:p w14:paraId="5EB5ECF8" w14:textId="77777777" w:rsidR="00200EE0" w:rsidRDefault="00F2797D" w:rsidP="00B04D4E">
      <w:pPr>
        <w:spacing w:before="58" w:line="252" w:lineRule="exact"/>
        <w:jc w:val="both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The mention of SENC in IHO documents (specifically the</w:t>
      </w:r>
      <w:r w:rsidR="00CC0156">
        <w:rPr>
          <w:rFonts w:ascii="Arial Narrow" w:eastAsia="Arial Narrow" w:hAnsi="Arial Narrow"/>
          <w:color w:val="000000"/>
        </w:rPr>
        <w:t xml:space="preserve"> future</w:t>
      </w:r>
      <w:r>
        <w:rPr>
          <w:rFonts w:ascii="Arial Narrow" w:eastAsia="Arial Narrow" w:hAnsi="Arial Narrow"/>
          <w:color w:val="000000"/>
        </w:rPr>
        <w:t xml:space="preserve"> ‘Governance</w:t>
      </w:r>
      <w:r w:rsidR="00200EE0">
        <w:rPr>
          <w:rFonts w:ascii="Arial Narrow" w:eastAsia="Arial Narrow" w:hAnsi="Arial Narrow"/>
          <w:color w:val="000000"/>
        </w:rPr>
        <w:t xml:space="preserve"> </w:t>
      </w:r>
      <w:r>
        <w:rPr>
          <w:rFonts w:ascii="Arial Narrow" w:eastAsia="Arial Narrow" w:hAnsi="Arial Narrow"/>
          <w:color w:val="000000"/>
        </w:rPr>
        <w:t xml:space="preserve">document on Dual-Fuel ECDIS’) must not be taken as an endorsement of ‘SENC </w:t>
      </w:r>
      <w:r w:rsidR="00CC0156">
        <w:rPr>
          <w:rFonts w:ascii="Arial Narrow" w:eastAsia="Arial Narrow" w:hAnsi="Arial Narrow"/>
          <w:color w:val="000000"/>
        </w:rPr>
        <w:t>delivery</w:t>
      </w:r>
      <w:r>
        <w:rPr>
          <w:rFonts w:ascii="Arial Narrow" w:eastAsia="Arial Narrow" w:hAnsi="Arial Narrow"/>
          <w:color w:val="000000"/>
        </w:rPr>
        <w:t>’</w:t>
      </w:r>
      <w:r w:rsidR="00F8298F">
        <w:rPr>
          <w:rFonts w:ascii="Arial Narrow" w:eastAsia="Arial Narrow" w:hAnsi="Arial Narrow"/>
          <w:color w:val="000000"/>
        </w:rPr>
        <w:t>. Therefore ‘SENC’ should be used with care, if not avoided entirely in a S101 context</w:t>
      </w:r>
      <w:r>
        <w:rPr>
          <w:rFonts w:ascii="Arial Narrow" w:eastAsia="Arial Narrow" w:hAnsi="Arial Narrow"/>
          <w:color w:val="000000"/>
        </w:rPr>
        <w:t>.</w:t>
      </w:r>
    </w:p>
    <w:p w14:paraId="0450BDFD" w14:textId="024C8640" w:rsidR="00A2450D" w:rsidRDefault="00CA6F3B" w:rsidP="00B04D4E">
      <w:pPr>
        <w:spacing w:before="58" w:line="252" w:lineRule="exact"/>
        <w:jc w:val="both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 xml:space="preserve">More generally, </w:t>
      </w:r>
      <w:r w:rsidR="002733B7">
        <w:rPr>
          <w:rFonts w:ascii="Arial Narrow" w:eastAsia="Arial Narrow" w:hAnsi="Arial Narrow"/>
          <w:color w:val="000000"/>
        </w:rPr>
        <w:t xml:space="preserve">due to the lack of a common understanding of MS of what is </w:t>
      </w:r>
      <w:r w:rsidR="00BC6325">
        <w:rPr>
          <w:rFonts w:ascii="Arial Narrow" w:eastAsia="Arial Narrow" w:hAnsi="Arial Narrow"/>
          <w:color w:val="000000"/>
        </w:rPr>
        <w:t>the “</w:t>
      </w:r>
      <w:r w:rsidR="002733B7">
        <w:rPr>
          <w:rFonts w:ascii="Arial Narrow" w:eastAsia="Arial Narrow" w:hAnsi="Arial Narrow"/>
          <w:color w:val="000000"/>
        </w:rPr>
        <w:t>dual fuel</w:t>
      </w:r>
      <w:r w:rsidR="00BC6325">
        <w:rPr>
          <w:rFonts w:ascii="Arial Narrow" w:eastAsia="Arial Narrow" w:hAnsi="Arial Narrow"/>
          <w:color w:val="000000"/>
        </w:rPr>
        <w:t>” concept</w:t>
      </w:r>
      <w:r w:rsidR="002733B7">
        <w:rPr>
          <w:rFonts w:ascii="Arial Narrow" w:eastAsia="Arial Narrow" w:hAnsi="Arial Narrow"/>
          <w:color w:val="000000"/>
        </w:rPr>
        <w:t xml:space="preserve"> at this time, </w:t>
      </w:r>
      <w:r>
        <w:rPr>
          <w:rFonts w:ascii="Arial Narrow" w:eastAsia="Arial Narrow" w:hAnsi="Arial Narrow"/>
          <w:color w:val="000000"/>
        </w:rPr>
        <w:t xml:space="preserve">it should be made clear that the </w:t>
      </w:r>
      <w:r w:rsidR="0000223D">
        <w:rPr>
          <w:rFonts w:ascii="Arial Narrow" w:eastAsia="Arial Narrow" w:hAnsi="Arial Narrow"/>
          <w:color w:val="000000"/>
        </w:rPr>
        <w:t>first redaction of the</w:t>
      </w:r>
      <w:r>
        <w:rPr>
          <w:rFonts w:ascii="Arial Narrow" w:eastAsia="Arial Narrow" w:hAnsi="Arial Narrow"/>
          <w:color w:val="000000"/>
        </w:rPr>
        <w:t xml:space="preserve"> Governance document on Dual-Fuel ECDIS</w:t>
      </w:r>
      <w:r w:rsidR="0000223D">
        <w:rPr>
          <w:rFonts w:ascii="Arial Narrow" w:eastAsia="Arial Narrow" w:hAnsi="Arial Narrow"/>
          <w:color w:val="000000"/>
        </w:rPr>
        <w:t xml:space="preserve"> will be a working document and an opportunity to open the debate and </w:t>
      </w:r>
      <w:r w:rsidR="00BC6325">
        <w:rPr>
          <w:rFonts w:ascii="Arial Narrow" w:eastAsia="Arial Narrow" w:hAnsi="Arial Narrow"/>
          <w:color w:val="000000"/>
        </w:rPr>
        <w:t>in any case</w:t>
      </w:r>
      <w:r w:rsidR="00AE6D2B">
        <w:rPr>
          <w:rFonts w:ascii="Arial Narrow" w:eastAsia="Arial Narrow" w:hAnsi="Arial Narrow"/>
          <w:color w:val="000000"/>
        </w:rPr>
        <w:t xml:space="preserve"> not</w:t>
      </w:r>
      <w:r w:rsidR="00BC6325">
        <w:rPr>
          <w:rFonts w:ascii="Arial Narrow" w:eastAsia="Arial Narrow" w:hAnsi="Arial Narrow"/>
          <w:color w:val="000000"/>
        </w:rPr>
        <w:t xml:space="preserve"> a </w:t>
      </w:r>
      <w:r w:rsidR="0000223D">
        <w:rPr>
          <w:rFonts w:ascii="Arial Narrow" w:eastAsia="Arial Narrow" w:hAnsi="Arial Narrow"/>
          <w:color w:val="000000"/>
        </w:rPr>
        <w:t>finalized description of what is a DF ECDIS.</w:t>
      </w:r>
    </w:p>
    <w:p w14:paraId="0218F15F" w14:textId="77777777" w:rsidR="003466A9" w:rsidRDefault="003466A9" w:rsidP="003466A9">
      <w:pPr>
        <w:spacing w:before="244" w:line="252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Action required of HSSC</w:t>
      </w:r>
    </w:p>
    <w:p w14:paraId="11F08E00" w14:textId="77777777" w:rsidR="003466A9" w:rsidRDefault="003466A9" w:rsidP="003466A9">
      <w:pPr>
        <w:spacing w:before="3" w:line="249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The HSSC is invited to:</w:t>
      </w:r>
    </w:p>
    <w:p w14:paraId="54844A3A" w14:textId="2F08F6A2" w:rsidR="003466A9" w:rsidRDefault="003466A9" w:rsidP="003466A9">
      <w:pPr>
        <w:pStyle w:val="Paragraphedeliste"/>
        <w:numPr>
          <w:ilvl w:val="0"/>
          <w:numId w:val="6"/>
        </w:num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note th</w:t>
      </w:r>
      <w:r w:rsidR="004A1621">
        <w:rPr>
          <w:rFonts w:ascii="Arial Narrow" w:eastAsia="Arial Narrow" w:hAnsi="Arial Narrow"/>
          <w:color w:val="000000"/>
        </w:rPr>
        <w:t>is</w:t>
      </w:r>
      <w:r>
        <w:rPr>
          <w:rFonts w:ascii="Arial Narrow" w:eastAsia="Arial Narrow" w:hAnsi="Arial Narrow"/>
          <w:color w:val="000000"/>
        </w:rPr>
        <w:t xml:space="preserve"> paper</w:t>
      </w:r>
    </w:p>
    <w:p w14:paraId="6229EADD" w14:textId="0BE1689A" w:rsidR="00167B58" w:rsidRDefault="000E483A" w:rsidP="003466A9">
      <w:pPr>
        <w:pStyle w:val="Paragraphedeliste"/>
        <w:numPr>
          <w:ilvl w:val="0"/>
          <w:numId w:val="6"/>
        </w:num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 xml:space="preserve">confirm that </w:t>
      </w:r>
      <w:r w:rsidR="006B780D">
        <w:rPr>
          <w:rFonts w:ascii="Arial Narrow" w:eastAsia="Arial Narrow" w:hAnsi="Arial Narrow"/>
          <w:color w:val="000000"/>
        </w:rPr>
        <w:t>a clear position in regards to</w:t>
      </w:r>
      <w:r>
        <w:rPr>
          <w:rFonts w:ascii="Arial Narrow" w:eastAsia="Arial Narrow" w:hAnsi="Arial Narrow"/>
          <w:color w:val="000000"/>
        </w:rPr>
        <w:t xml:space="preserve"> </w:t>
      </w:r>
      <w:r w:rsidRPr="006B780D">
        <w:rPr>
          <w:rFonts w:ascii="Arial Narrow" w:eastAsia="Arial Narrow" w:hAnsi="Arial Narrow"/>
          <w:color w:val="000000"/>
        </w:rPr>
        <w:t>SENC</w:t>
      </w:r>
      <w:r w:rsidR="00BB2EA3" w:rsidRPr="006B780D">
        <w:rPr>
          <w:rFonts w:ascii="Arial Narrow" w:eastAsia="Arial Narrow" w:hAnsi="Arial Narrow"/>
          <w:color w:val="000000"/>
        </w:rPr>
        <w:t xml:space="preserve"> </w:t>
      </w:r>
      <w:r w:rsidR="00CA6F3B" w:rsidRPr="006B780D">
        <w:rPr>
          <w:rFonts w:ascii="Arial Narrow" w:eastAsia="Arial Narrow" w:hAnsi="Arial Narrow"/>
          <w:color w:val="000000"/>
        </w:rPr>
        <w:t>delivery</w:t>
      </w:r>
      <w:r w:rsidR="006B780D">
        <w:rPr>
          <w:rFonts w:ascii="Arial Narrow" w:eastAsia="Arial Narrow" w:hAnsi="Arial Narrow"/>
          <w:color w:val="000000"/>
        </w:rPr>
        <w:t xml:space="preserve"> </w:t>
      </w:r>
      <w:r>
        <w:rPr>
          <w:rFonts w:ascii="Arial Narrow" w:eastAsia="Arial Narrow" w:hAnsi="Arial Narrow"/>
          <w:color w:val="000000"/>
        </w:rPr>
        <w:t>is needed</w:t>
      </w:r>
    </w:p>
    <w:p w14:paraId="6CF6B8FA" w14:textId="77777777" w:rsidR="003466A9" w:rsidRDefault="00CA6F3B" w:rsidP="003466A9">
      <w:pPr>
        <w:pStyle w:val="Paragraphedeliste"/>
        <w:numPr>
          <w:ilvl w:val="0"/>
          <w:numId w:val="6"/>
        </w:num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instruct S100WG accordingly</w:t>
      </w:r>
      <w:r w:rsidR="003466A9">
        <w:rPr>
          <w:rFonts w:ascii="Arial Narrow" w:eastAsia="Arial Narrow" w:hAnsi="Arial Narrow"/>
          <w:color w:val="000000"/>
        </w:rPr>
        <w:t>.</w:t>
      </w:r>
    </w:p>
    <w:p w14:paraId="74E37333" w14:textId="77777777" w:rsidR="00B04D4E" w:rsidRPr="00B04D4E" w:rsidRDefault="00B04D4E">
      <w:pPr>
        <w:rPr>
          <w:lang w:val="en-GB"/>
        </w:rPr>
      </w:pPr>
    </w:p>
    <w:sectPr w:rsidR="00B04D4E" w:rsidRPr="00B04D4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1E04"/>
    <w:multiLevelType w:val="hybridMultilevel"/>
    <w:tmpl w:val="2C4A7128"/>
    <w:lvl w:ilvl="0" w:tplc="AA4484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4374"/>
    <w:multiLevelType w:val="hybridMultilevel"/>
    <w:tmpl w:val="DDDE26CC"/>
    <w:lvl w:ilvl="0" w:tplc="BA528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5053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E2AE4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85CD3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9E57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F29E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541F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D0A7F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BEF1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5D124BC"/>
    <w:multiLevelType w:val="hybridMultilevel"/>
    <w:tmpl w:val="FFDC3A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91515"/>
    <w:multiLevelType w:val="hybridMultilevel"/>
    <w:tmpl w:val="DE24CC1A"/>
    <w:lvl w:ilvl="0" w:tplc="AC98A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5A08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1E44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140D7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4229F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6B6A1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06EED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898EA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4C05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A6F64B4"/>
    <w:multiLevelType w:val="hybridMultilevel"/>
    <w:tmpl w:val="26C6BEF2"/>
    <w:lvl w:ilvl="0" w:tplc="C7BAA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B49C58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D5A6D53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3B08D7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BB61F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87C508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F46E00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843450A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1307AD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6CDD2A6B"/>
    <w:multiLevelType w:val="hybridMultilevel"/>
    <w:tmpl w:val="0ED2DBDE"/>
    <w:lvl w:ilvl="0" w:tplc="73608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A02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ECAF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84B0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842C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A262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8C099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AA52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A90F9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92C5965"/>
    <w:multiLevelType w:val="hybridMultilevel"/>
    <w:tmpl w:val="9AA66566"/>
    <w:lvl w:ilvl="0" w:tplc="A0462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06996"/>
    <w:multiLevelType w:val="hybridMultilevel"/>
    <w:tmpl w:val="BF2699FA"/>
    <w:lvl w:ilvl="0" w:tplc="9A066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D84F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8FEFA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05487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4CEB4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39EB1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E1A80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229B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F76B3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8B"/>
    <w:rsid w:val="0000223D"/>
    <w:rsid w:val="00004C74"/>
    <w:rsid w:val="000845FE"/>
    <w:rsid w:val="00095E89"/>
    <w:rsid w:val="000A19E6"/>
    <w:rsid w:val="000C5294"/>
    <w:rsid w:val="000D1BEB"/>
    <w:rsid w:val="000E483A"/>
    <w:rsid w:val="001102FF"/>
    <w:rsid w:val="00160B62"/>
    <w:rsid w:val="00167B58"/>
    <w:rsid w:val="001979AF"/>
    <w:rsid w:val="001D4C96"/>
    <w:rsid w:val="00200EE0"/>
    <w:rsid w:val="0020438B"/>
    <w:rsid w:val="002114DD"/>
    <w:rsid w:val="00222EB0"/>
    <w:rsid w:val="002313F3"/>
    <w:rsid w:val="002733B7"/>
    <w:rsid w:val="003466A9"/>
    <w:rsid w:val="00390676"/>
    <w:rsid w:val="0041761F"/>
    <w:rsid w:val="0042163F"/>
    <w:rsid w:val="004A1621"/>
    <w:rsid w:val="004B66A0"/>
    <w:rsid w:val="004D0DBE"/>
    <w:rsid w:val="004E1FF2"/>
    <w:rsid w:val="0051486E"/>
    <w:rsid w:val="005D07A9"/>
    <w:rsid w:val="005E17F4"/>
    <w:rsid w:val="00605644"/>
    <w:rsid w:val="00650C0F"/>
    <w:rsid w:val="006B780D"/>
    <w:rsid w:val="00714098"/>
    <w:rsid w:val="00753A50"/>
    <w:rsid w:val="00814D08"/>
    <w:rsid w:val="00841710"/>
    <w:rsid w:val="00862A62"/>
    <w:rsid w:val="00892260"/>
    <w:rsid w:val="008D016F"/>
    <w:rsid w:val="00932492"/>
    <w:rsid w:val="009627B2"/>
    <w:rsid w:val="00963AC5"/>
    <w:rsid w:val="009B12FB"/>
    <w:rsid w:val="009D0F9A"/>
    <w:rsid w:val="009D20C8"/>
    <w:rsid w:val="009E0EF6"/>
    <w:rsid w:val="00A2450D"/>
    <w:rsid w:val="00A7410E"/>
    <w:rsid w:val="00AA061B"/>
    <w:rsid w:val="00AA144F"/>
    <w:rsid w:val="00AE6D2B"/>
    <w:rsid w:val="00B04D4E"/>
    <w:rsid w:val="00B21F37"/>
    <w:rsid w:val="00B46BBF"/>
    <w:rsid w:val="00B66D30"/>
    <w:rsid w:val="00BB2EA3"/>
    <w:rsid w:val="00BB3F42"/>
    <w:rsid w:val="00BC6325"/>
    <w:rsid w:val="00BF1757"/>
    <w:rsid w:val="00C235D4"/>
    <w:rsid w:val="00C57DAB"/>
    <w:rsid w:val="00CA5FDE"/>
    <w:rsid w:val="00CA6F3B"/>
    <w:rsid w:val="00CC0156"/>
    <w:rsid w:val="00CC20FB"/>
    <w:rsid w:val="00CD3AAE"/>
    <w:rsid w:val="00D03485"/>
    <w:rsid w:val="00D471DC"/>
    <w:rsid w:val="00DB75CD"/>
    <w:rsid w:val="00E57317"/>
    <w:rsid w:val="00E73BA5"/>
    <w:rsid w:val="00F2473D"/>
    <w:rsid w:val="00F2797D"/>
    <w:rsid w:val="00F33114"/>
    <w:rsid w:val="00F65963"/>
    <w:rsid w:val="00F8298F"/>
    <w:rsid w:val="00FD5278"/>
    <w:rsid w:val="00FE1887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127802"/>
  <w15:docId w15:val="{3071E8AB-6B42-4183-88B5-784193CA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6A9"/>
    <w:rPr>
      <w:rFonts w:eastAsia="PMingLiU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3466A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04C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4C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4C74"/>
    <w:rPr>
      <w:rFonts w:eastAsia="PMingLiU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4C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4C74"/>
    <w:rPr>
      <w:rFonts w:eastAsia="PMingLiU"/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C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C74"/>
    <w:rPr>
      <w:rFonts w:ascii="Tahoma" w:eastAsia="PMingLiU" w:hAnsi="Tahoma" w:cs="Tahoma"/>
      <w:sz w:val="16"/>
      <w:szCs w:val="16"/>
      <w:lang w:val="en-US" w:eastAsia="en-US"/>
    </w:rPr>
  </w:style>
  <w:style w:type="paragraph" w:customStyle="1" w:styleId="Body">
    <w:name w:val="Body"/>
    <w:rsid w:val="00FF7F0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Bundesamt für Seeschifffahrt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Ronan Pronost, DOPS/STM</cp:lastModifiedBy>
  <cp:revision>2</cp:revision>
  <dcterms:created xsi:type="dcterms:W3CDTF">2021-04-19T15:04:00Z</dcterms:created>
  <dcterms:modified xsi:type="dcterms:W3CDTF">2021-04-19T15:04:00Z</dcterms:modified>
</cp:coreProperties>
</file>