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43" w:rsidRPr="007202A7" w:rsidRDefault="00A90743" w:rsidP="00A90743">
      <w:pPr>
        <w:pStyle w:val="Heading2"/>
        <w:pageBreakBefore/>
      </w:pPr>
      <w:r w:rsidRPr="007202A7">
        <w:t>9.</w:t>
      </w:r>
      <w:r>
        <w:tab/>
      </w:r>
      <w:bookmarkStart w:id="0" w:name="DQWG"/>
      <w:bookmarkEnd w:id="0"/>
      <w:r w:rsidRPr="007202A7">
        <w:t>DQWG</w:t>
      </w:r>
      <w:r w:rsidRPr="007202A7">
        <w:rPr>
          <w:spacing w:val="9"/>
        </w:rPr>
        <w:t xml:space="preserve"> </w:t>
      </w:r>
      <w:r w:rsidRPr="007202A7">
        <w:t>WORK</w:t>
      </w:r>
      <w:r w:rsidRPr="007202A7">
        <w:rPr>
          <w:spacing w:val="-1"/>
        </w:rPr>
        <w:t xml:space="preserve"> </w:t>
      </w:r>
      <w:r w:rsidRPr="007202A7">
        <w:t>PL</w:t>
      </w:r>
      <w:r w:rsidRPr="007202A7">
        <w:rPr>
          <w:spacing w:val="-1"/>
        </w:rPr>
        <w:t>A</w:t>
      </w:r>
      <w:r w:rsidRPr="007202A7">
        <w:t>N</w:t>
      </w:r>
      <w:r w:rsidRPr="007202A7">
        <w:rPr>
          <w:spacing w:val="1"/>
        </w:rPr>
        <w:t xml:space="preserve"> </w:t>
      </w:r>
      <w:r w:rsidR="000E72CA">
        <w:t>2022-23</w:t>
      </w:r>
    </w:p>
    <w:p w:rsidR="00A90743" w:rsidRPr="0087741A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>
        <w:rPr>
          <w:rFonts w:ascii="Arial Narrow" w:hAnsi="Arial Narrow"/>
          <w:lang w:val="en-AU"/>
        </w:rPr>
        <w:t xml:space="preserve"> 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8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>
        <w:rPr>
          <w:rFonts w:ascii="Arial Narrow" w:hAnsi="Arial Narrow"/>
          <w:lang w:val="en-AU"/>
        </w:rPr>
        <w:t xml:space="preserve"> 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3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>
        <w:rPr>
          <w:rFonts w:ascii="Arial Narrow" w:hAnsi="Arial Narrow"/>
          <w:lang w:val="en-AU"/>
        </w:rPr>
        <w:t xml:space="preserve"> 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8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>
        <w:rPr>
          <w:rFonts w:ascii="Arial Narrow" w:hAnsi="Arial Narrow"/>
          <w:lang w:val="en-AU"/>
        </w:rPr>
        <w:t xml:space="preserve"> 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1 and 2.5.1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>
        <w:rPr>
          <w:rFonts w:ascii="Arial Narrow" w:hAnsi="Arial Narrow"/>
          <w:lang w:val="en-AU"/>
        </w:rPr>
        <w:t xml:space="preserve"> 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4.9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>
        <w:rPr>
          <w:rFonts w:ascii="Arial Narrow" w:hAnsi="Arial Narrow"/>
          <w:lang w:val="en-AU"/>
        </w:rPr>
        <w:t xml:space="preserve"> 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1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>
        <w:rPr>
          <w:rFonts w:ascii="Arial Narrow" w:hAnsi="Arial Narrow"/>
          <w:lang w:val="en-AU"/>
        </w:rPr>
        <w:t xml:space="preserve"> 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8</w:t>
      </w:r>
      <w:r w:rsidRPr="00133155">
        <w:rPr>
          <w:rFonts w:ascii="Arial Narrow" w:hAnsi="Arial Narrow"/>
          <w:lang w:val="en-US"/>
        </w:rPr>
        <w:t>)</w:t>
      </w: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:rsidR="00A90743" w:rsidRPr="00A52EBC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TableGrid"/>
        <w:tblW w:w="14698" w:type="dxa"/>
        <w:tblLook w:val="04A0" w:firstRow="1" w:lastRow="0" w:firstColumn="1" w:lastColumn="0" w:noHBand="0" w:noVBand="1"/>
      </w:tblPr>
      <w:tblGrid>
        <w:gridCol w:w="588"/>
        <w:gridCol w:w="5641"/>
        <w:gridCol w:w="1064"/>
        <w:gridCol w:w="1243"/>
        <w:gridCol w:w="586"/>
        <w:gridCol w:w="578"/>
        <w:gridCol w:w="1213"/>
        <w:gridCol w:w="802"/>
        <w:gridCol w:w="1608"/>
        <w:gridCol w:w="1375"/>
      </w:tblGrid>
      <w:tr w:rsidR="00A90743" w:rsidRPr="00981BB4" w:rsidTr="005052FE">
        <w:trPr>
          <w:trHeight w:val="1380"/>
        </w:trPr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Task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Work 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Priority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H=High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M= Medium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L=Low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Milestones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Start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End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Status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P=planned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O=Ongoing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C=Completed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Contact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Affected Pubs/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Standards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Remarks</w:t>
            </w:r>
          </w:p>
        </w:tc>
      </w:tr>
      <w:tr w:rsidR="00A90743" w:rsidTr="005052FE">
        <w:trPr>
          <w:trHeight w:val="360"/>
        </w:trPr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B.2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Development of a minimum standard for Data Validation in S-1xx based products.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 Ed.2.0.0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2018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A90743" w:rsidTr="005052FE">
        <w:trPr>
          <w:trHeight w:val="345"/>
        </w:trPr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B.3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S-1xx based PS (Ed.1.0.0 or higher)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:rsidR="00A90743" w:rsidRDefault="000E72CA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72CA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:rsidR="00A90743" w:rsidRPr="00151CD2" w:rsidRDefault="000E72CA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72CA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 17-04.1A</w:t>
            </w:r>
          </w:p>
        </w:tc>
      </w:tr>
      <w:tr w:rsidR="00A90743" w:rsidTr="005052FE">
        <w:trPr>
          <w:trHeight w:val="345"/>
        </w:trPr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B.4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S-1xx Feature Catalogues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 Ed.1.1.0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:rsidR="00A90743" w:rsidRDefault="000E72CA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A90743" w:rsidTr="005052FE">
        <w:trPr>
          <w:trHeight w:val="345"/>
        </w:trPr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C.1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S-100 Section 4C.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L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S-100 Ed 5.0.0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:rsidR="00A90743" w:rsidRPr="00151CD2" w:rsidRDefault="000E72CA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72CA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S-100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DQWG15-04.4B</w:t>
            </w:r>
          </w:p>
        </w:tc>
      </w:tr>
      <w:tr w:rsidR="00A90743" w:rsidTr="005052FE">
        <w:trPr>
          <w:trHeight w:val="345"/>
        </w:trPr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D.2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Provide guidance documentation how to populate CATZOC values.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:rsidR="00A90743" w:rsidRPr="00151CD2" w:rsidRDefault="000E72CA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0E72CA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 DCEG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A90743" w:rsidTr="005052FE">
        <w:trPr>
          <w:trHeight w:val="345"/>
        </w:trPr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G.1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Monitor development of autonomous shipping by the industry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2020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S-101, S-102, S-104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</w:tbl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:rsidR="000C5CFD" w:rsidRDefault="00143B76">
      <w:bookmarkStart w:id="1" w:name="_GoBack"/>
      <w:bookmarkEnd w:id="1"/>
    </w:p>
    <w:sectPr w:rsidR="000C5CFD" w:rsidSect="00A9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76" w:rsidRDefault="00143B76" w:rsidP="00A90743">
      <w:pPr>
        <w:spacing w:after="0" w:line="240" w:lineRule="auto"/>
      </w:pPr>
      <w:r>
        <w:separator/>
      </w:r>
    </w:p>
  </w:endnote>
  <w:endnote w:type="continuationSeparator" w:id="0">
    <w:p w:rsidR="00143B76" w:rsidRDefault="00143B76" w:rsidP="00A9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43" w:rsidRDefault="00A90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43" w:rsidRDefault="00A90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43" w:rsidRDefault="00A9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76" w:rsidRDefault="00143B76" w:rsidP="00A90743">
      <w:pPr>
        <w:spacing w:after="0" w:line="240" w:lineRule="auto"/>
      </w:pPr>
      <w:r>
        <w:separator/>
      </w:r>
    </w:p>
  </w:footnote>
  <w:footnote w:type="continuationSeparator" w:id="0">
    <w:p w:rsidR="00143B76" w:rsidRDefault="00143B76" w:rsidP="00A9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43" w:rsidRDefault="00A90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43" w:rsidRDefault="00A90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43" w:rsidRDefault="00A90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43"/>
    <w:rsid w:val="000E72CA"/>
    <w:rsid w:val="00143B76"/>
    <w:rsid w:val="001D1B87"/>
    <w:rsid w:val="007E28F4"/>
    <w:rsid w:val="00A90743"/>
    <w:rsid w:val="00D76C1D"/>
    <w:rsid w:val="00E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EDA"/>
  <w15:chartTrackingRefBased/>
  <w15:docId w15:val="{1F2BE35D-6184-4E60-87DA-B50D79A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43"/>
    <w:pPr>
      <w:spacing w:after="200" w:line="276" w:lineRule="auto"/>
    </w:pPr>
    <w:rPr>
      <w:rFonts w:ascii="Calibri" w:eastAsiaTheme="minorEastAsia" w:hAnsi="Calibri" w:cs="Times New Roman"/>
      <w:lang w:val="fr-MC" w:eastAsia="fr-MC"/>
    </w:rPr>
  </w:style>
  <w:style w:type="paragraph" w:styleId="Heading2">
    <w:name w:val="heading 2"/>
    <w:basedOn w:val="Normal"/>
    <w:next w:val="Normal"/>
    <w:link w:val="Heading2Char"/>
    <w:uiPriority w:val="1"/>
    <w:qFormat/>
    <w:rsid w:val="00A90743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0743"/>
    <w:rPr>
      <w:rFonts w:ascii="Arial Narrow" w:eastAsiaTheme="minorEastAsia" w:hAnsi="Arial Narrow" w:cs="Times New Roman"/>
      <w:b/>
      <w:iCs/>
      <w:snapToGrid w:val="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9074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A907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A9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43"/>
    <w:rPr>
      <w:rFonts w:ascii="Calibri" w:eastAsiaTheme="minorEastAsia" w:hAnsi="Calibri" w:cs="Times New Roman"/>
      <w:lang w:val="fr-MC" w:eastAsia="fr-MC"/>
    </w:rPr>
  </w:style>
  <w:style w:type="paragraph" w:styleId="Footer">
    <w:name w:val="footer"/>
    <w:basedOn w:val="Normal"/>
    <w:link w:val="FooterChar"/>
    <w:uiPriority w:val="99"/>
    <w:unhideWhenUsed/>
    <w:rsid w:val="00A9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43"/>
    <w:rPr>
      <w:rFonts w:ascii="Calibri" w:eastAsiaTheme="minorEastAsia" w:hAnsi="Calibri" w:cs="Times New Roman"/>
      <w:lang w:val="fr-MC"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Hands</dc:creator>
  <cp:keywords/>
  <dc:description/>
  <cp:lastModifiedBy>Edward Hands</cp:lastModifiedBy>
  <cp:revision>2</cp:revision>
  <dcterms:created xsi:type="dcterms:W3CDTF">2022-03-23T07:53:00Z</dcterms:created>
  <dcterms:modified xsi:type="dcterms:W3CDTF">2022-03-23T07:53:00Z</dcterms:modified>
</cp:coreProperties>
</file>