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CE3A" w14:textId="77777777" w:rsidR="002C76A0" w:rsidRDefault="002C76A0">
      <w:pPr>
        <w:pStyle w:val="BodyText"/>
        <w:spacing w:before="6"/>
        <w:rPr>
          <w:b/>
          <w:sz w:val="15"/>
        </w:rPr>
      </w:pPr>
      <w:bookmarkStart w:id="0" w:name="_GoBack"/>
      <w:bookmarkEnd w:id="0"/>
    </w:p>
    <w:p w14:paraId="650F7244" w14:textId="72DA4711" w:rsidR="007F07C5" w:rsidRPr="00D436BE" w:rsidRDefault="007F07C5" w:rsidP="007F07C5">
      <w:pPr>
        <w:spacing w:after="60"/>
        <w:jc w:val="center"/>
        <w:rPr>
          <w:b/>
          <w:lang w:val="en-GB"/>
        </w:rPr>
      </w:pPr>
      <w:r>
        <w:rPr>
          <w:b/>
          <w:lang w:val="en-GB"/>
        </w:rPr>
        <w:t xml:space="preserve">Paper for </w:t>
      </w:r>
      <w:r w:rsidRPr="00D436BE">
        <w:rPr>
          <w:b/>
          <w:lang w:val="en-GB"/>
        </w:rPr>
        <w:t xml:space="preserve">Consideration by </w:t>
      </w:r>
      <w:r>
        <w:rPr>
          <w:b/>
          <w:lang w:val="en-GB"/>
        </w:rPr>
        <w:t>N</w:t>
      </w:r>
      <w:r w:rsidRPr="00D436BE">
        <w:rPr>
          <w:b/>
          <w:lang w:val="en-GB"/>
        </w:rPr>
        <w:t>CWG</w:t>
      </w:r>
      <w:r w:rsidR="000D3D8D">
        <w:rPr>
          <w:b/>
          <w:lang w:val="en-GB"/>
        </w:rPr>
        <w:t>7</w:t>
      </w:r>
    </w:p>
    <w:p w14:paraId="1C9F76B8" w14:textId="553BECF0" w:rsidR="007F07C5" w:rsidRPr="00D436BE" w:rsidRDefault="00676923" w:rsidP="007F07C5">
      <w:pPr>
        <w:spacing w:after="60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Retiring </w:t>
      </w:r>
      <w:r w:rsidR="004416CE">
        <w:rPr>
          <w:b/>
          <w:szCs w:val="24"/>
          <w:lang w:val="en-GB"/>
        </w:rPr>
        <w:t>stump symbol</w:t>
      </w:r>
    </w:p>
    <w:p w14:paraId="2C9A266B" w14:textId="77777777" w:rsidR="007F07C5" w:rsidRPr="00D436BE" w:rsidRDefault="007F07C5" w:rsidP="007F07C5">
      <w:pPr>
        <w:jc w:val="center"/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7F07C5" w:rsidRPr="00D436BE" w14:paraId="457EC6E1" w14:textId="77777777" w:rsidTr="002140A0">
        <w:trPr>
          <w:jc w:val="center"/>
        </w:trPr>
        <w:tc>
          <w:tcPr>
            <w:tcW w:w="2634" w:type="dxa"/>
          </w:tcPr>
          <w:p w14:paraId="30C0ABD7" w14:textId="77777777" w:rsidR="007F07C5" w:rsidRPr="00D436BE" w:rsidRDefault="007F07C5" w:rsidP="002140A0">
            <w:pPr>
              <w:rPr>
                <w:b/>
                <w:i/>
                <w:lang w:val="en-GB"/>
              </w:rPr>
            </w:pPr>
            <w:r w:rsidRPr="00D436BE">
              <w:rPr>
                <w:lang w:val="en-GB"/>
              </w:rPr>
              <w:br w:type="page"/>
            </w:r>
            <w:r w:rsidRPr="00D436BE">
              <w:rPr>
                <w:b/>
                <w:i/>
                <w:lang w:val="en-GB"/>
              </w:rPr>
              <w:t>Submitted by:</w:t>
            </w:r>
          </w:p>
        </w:tc>
        <w:tc>
          <w:tcPr>
            <w:tcW w:w="6271" w:type="dxa"/>
          </w:tcPr>
          <w:p w14:paraId="6A8D3031" w14:textId="48B693C9" w:rsidR="007F07C5" w:rsidRPr="00D436BE" w:rsidRDefault="00676923" w:rsidP="002140A0">
            <w:pPr>
              <w:rPr>
                <w:lang w:val="en-GB"/>
              </w:rPr>
            </w:pPr>
            <w:r>
              <w:rPr>
                <w:lang w:val="en-GB"/>
              </w:rPr>
              <w:t>BSH</w:t>
            </w:r>
            <w:r w:rsidR="00A6372D">
              <w:rPr>
                <w:lang w:val="en-GB"/>
              </w:rPr>
              <w:t xml:space="preserve"> (Germany)</w:t>
            </w:r>
          </w:p>
        </w:tc>
      </w:tr>
      <w:tr w:rsidR="007F07C5" w:rsidRPr="00D436BE" w14:paraId="71423893" w14:textId="77777777" w:rsidTr="002140A0">
        <w:trPr>
          <w:jc w:val="center"/>
        </w:trPr>
        <w:tc>
          <w:tcPr>
            <w:tcW w:w="2634" w:type="dxa"/>
          </w:tcPr>
          <w:p w14:paraId="2BA081FA" w14:textId="77777777" w:rsidR="007F07C5" w:rsidRPr="00D436BE" w:rsidRDefault="007F07C5" w:rsidP="002140A0">
            <w:pPr>
              <w:rPr>
                <w:b/>
                <w:i/>
                <w:lang w:val="en-GB"/>
              </w:rPr>
            </w:pPr>
            <w:r w:rsidRPr="00D436BE">
              <w:rPr>
                <w:b/>
                <w:i/>
                <w:lang w:val="en-GB"/>
              </w:rPr>
              <w:t>Executive Summary:</w:t>
            </w:r>
          </w:p>
        </w:tc>
        <w:tc>
          <w:tcPr>
            <w:tcW w:w="6271" w:type="dxa"/>
          </w:tcPr>
          <w:p w14:paraId="47A71E4D" w14:textId="6F3203B4" w:rsidR="007F07C5" w:rsidRPr="00D436BE" w:rsidRDefault="00676923" w:rsidP="007C7311">
            <w:pPr>
              <w:rPr>
                <w:lang w:val="en-GB"/>
              </w:rPr>
            </w:pPr>
            <w:r>
              <w:rPr>
                <w:lang w:val="en-GB"/>
              </w:rPr>
              <w:t>Harmonising/Standardising INT1 symbology by retiring a rarely/only locally used version of symbol K43.1</w:t>
            </w:r>
            <w:r w:rsidR="007872C1">
              <w:rPr>
                <w:lang w:val="en-GB"/>
              </w:rPr>
              <w:t xml:space="preserve"> and K43.2</w:t>
            </w:r>
          </w:p>
        </w:tc>
      </w:tr>
      <w:tr w:rsidR="007F07C5" w:rsidRPr="00D436BE" w14:paraId="76031E06" w14:textId="77777777" w:rsidTr="002140A0">
        <w:trPr>
          <w:jc w:val="center"/>
        </w:trPr>
        <w:tc>
          <w:tcPr>
            <w:tcW w:w="2634" w:type="dxa"/>
          </w:tcPr>
          <w:p w14:paraId="14815FFB" w14:textId="77777777" w:rsidR="007F07C5" w:rsidRPr="00D436BE" w:rsidRDefault="007F07C5" w:rsidP="002140A0">
            <w:pPr>
              <w:rPr>
                <w:b/>
                <w:i/>
                <w:lang w:val="en-GB"/>
              </w:rPr>
            </w:pPr>
            <w:r w:rsidRPr="00D436BE">
              <w:rPr>
                <w:b/>
                <w:i/>
                <w:lang w:val="en-GB"/>
              </w:rPr>
              <w:t>Related Documents:</w:t>
            </w:r>
          </w:p>
        </w:tc>
        <w:tc>
          <w:tcPr>
            <w:tcW w:w="6271" w:type="dxa"/>
          </w:tcPr>
          <w:p w14:paraId="424BEE56" w14:textId="644F73DC" w:rsidR="007F07C5" w:rsidRPr="00D436BE" w:rsidRDefault="00676923" w:rsidP="007C7311">
            <w:pPr>
              <w:rPr>
                <w:lang w:val="en-GB"/>
              </w:rPr>
            </w:pPr>
            <w:r>
              <w:rPr>
                <w:lang w:val="en-GB"/>
              </w:rPr>
              <w:t>INT1 K43.1</w:t>
            </w:r>
            <w:r w:rsidR="007872C1">
              <w:rPr>
                <w:lang w:val="en-GB"/>
              </w:rPr>
              <w:t>/K43.2</w:t>
            </w:r>
            <w:r>
              <w:rPr>
                <w:lang w:val="en-GB"/>
              </w:rPr>
              <w:t>; S</w:t>
            </w:r>
            <w:r w:rsidR="00DC07B1">
              <w:rPr>
                <w:lang w:val="en-GB"/>
              </w:rPr>
              <w:t>-</w:t>
            </w:r>
            <w:r>
              <w:rPr>
                <w:lang w:val="en-GB"/>
              </w:rPr>
              <w:t xml:space="preserve">4 </w:t>
            </w:r>
            <w:r w:rsidR="00DC07B1">
              <w:rPr>
                <w:lang w:val="en-GB"/>
              </w:rPr>
              <w:t>B-</w:t>
            </w:r>
            <w:r>
              <w:rPr>
                <w:lang w:val="en-GB"/>
              </w:rPr>
              <w:t>422.9</w:t>
            </w:r>
          </w:p>
        </w:tc>
      </w:tr>
      <w:tr w:rsidR="007F07C5" w:rsidRPr="00D436BE" w14:paraId="1BB379FB" w14:textId="77777777" w:rsidTr="002140A0">
        <w:trPr>
          <w:jc w:val="center"/>
        </w:trPr>
        <w:tc>
          <w:tcPr>
            <w:tcW w:w="2634" w:type="dxa"/>
          </w:tcPr>
          <w:p w14:paraId="70A3C2A4" w14:textId="77777777" w:rsidR="007F07C5" w:rsidRPr="00D436BE" w:rsidRDefault="007F07C5" w:rsidP="002140A0">
            <w:pPr>
              <w:rPr>
                <w:b/>
                <w:i/>
                <w:lang w:val="en-GB"/>
              </w:rPr>
            </w:pPr>
            <w:r w:rsidRPr="00D436BE">
              <w:rPr>
                <w:b/>
                <w:i/>
                <w:lang w:val="en-GB"/>
              </w:rPr>
              <w:t>Related Projects:</w:t>
            </w:r>
          </w:p>
        </w:tc>
        <w:tc>
          <w:tcPr>
            <w:tcW w:w="6271" w:type="dxa"/>
          </w:tcPr>
          <w:p w14:paraId="556EEE29" w14:textId="370E17E5" w:rsidR="007F07C5" w:rsidRPr="00D436BE" w:rsidRDefault="005F3510" w:rsidP="002140A0">
            <w:pPr>
              <w:rPr>
                <w:lang w:val="en-GB"/>
              </w:rPr>
            </w:pPr>
            <w:r w:rsidRPr="007C7311">
              <w:rPr>
                <w:lang w:val="en-GB"/>
              </w:rPr>
              <w:t>None</w:t>
            </w:r>
          </w:p>
        </w:tc>
      </w:tr>
    </w:tbl>
    <w:p w14:paraId="1EA041C9" w14:textId="77777777" w:rsidR="007F07C5" w:rsidRDefault="007F07C5" w:rsidP="007F07C5">
      <w:pPr>
        <w:rPr>
          <w:b/>
          <w:lang w:val="en-GB"/>
        </w:rPr>
      </w:pPr>
    </w:p>
    <w:p w14:paraId="7E6EF4D3" w14:textId="2066B0FB" w:rsidR="007F07C5" w:rsidRPr="00D436BE" w:rsidRDefault="007F07C5" w:rsidP="007F07C5">
      <w:pPr>
        <w:rPr>
          <w:b/>
          <w:lang w:val="en-GB"/>
        </w:rPr>
      </w:pPr>
      <w:r w:rsidRPr="00D436BE">
        <w:rPr>
          <w:b/>
          <w:lang w:val="en-GB"/>
        </w:rPr>
        <w:t>Introduction / Background</w:t>
      </w:r>
    </w:p>
    <w:p w14:paraId="01B35178" w14:textId="71D0D8B7" w:rsidR="007F07C5" w:rsidRPr="00D436BE" w:rsidRDefault="00676923" w:rsidP="0097172A">
      <w:pPr>
        <w:jc w:val="both"/>
      </w:pPr>
      <w:proofErr w:type="spellStart"/>
      <w:r>
        <w:t>Standardising</w:t>
      </w:r>
      <w:proofErr w:type="spellEnd"/>
      <w:r>
        <w:t xml:space="preserve"> chart symbols helps to facilitate reading and interpreting charts. Though there is the INT1, some listed </w:t>
      </w:r>
      <w:r w:rsidR="00E77015">
        <w:t xml:space="preserve">versions of </w:t>
      </w:r>
      <w:r>
        <w:t xml:space="preserve">chart symbols are only common </w:t>
      </w:r>
      <w:r w:rsidR="00E77015">
        <w:t>for specific regions. In many cases these versions of chart symbols are more complex than their alternatives and often hinder automatic usage of chart symbols in chart production</w:t>
      </w:r>
      <w:r w:rsidR="00721DDC">
        <w:t xml:space="preserve"> due to their complexity</w:t>
      </w:r>
      <w:r w:rsidR="005F3510">
        <w:t>.</w:t>
      </w:r>
      <w:r w:rsidR="00C12F99">
        <w:t xml:space="preserve"> NCWG and INT1-SubWG striv</w:t>
      </w:r>
      <w:r w:rsidR="00527A61">
        <w:t>e to reduce the number of those chart symbols to improve readability of charts for a safer navigation.</w:t>
      </w:r>
    </w:p>
    <w:p w14:paraId="57492429" w14:textId="2505AB56" w:rsidR="007F07C5" w:rsidRDefault="007F07C5" w:rsidP="007F07C5">
      <w:pPr>
        <w:spacing w:before="120"/>
        <w:rPr>
          <w:b/>
          <w:lang w:val="en-GB"/>
        </w:rPr>
      </w:pPr>
      <w:r w:rsidRPr="00D436BE">
        <w:rPr>
          <w:b/>
          <w:lang w:val="en-GB"/>
        </w:rPr>
        <w:t>Analysis / Discussion</w:t>
      </w:r>
    </w:p>
    <w:p w14:paraId="180227A5" w14:textId="4A48609B" w:rsidR="00D97822" w:rsidRDefault="007872C1" w:rsidP="0097172A">
      <w:pPr>
        <w:jc w:val="both"/>
      </w:pPr>
      <w:r>
        <w:t>Some</w:t>
      </w:r>
      <w:r w:rsidR="00D97822">
        <w:t xml:space="preserve"> of the</w:t>
      </w:r>
      <w:r>
        <w:t>se</w:t>
      </w:r>
      <w:r w:rsidR="00D97822">
        <w:t xml:space="preserve"> chart symbols</w:t>
      </w:r>
      <w:r w:rsidR="00245C19">
        <w:t xml:space="preserve"> described above</w:t>
      </w:r>
      <w:r w:rsidR="00D97822">
        <w:t xml:space="preserve"> </w:t>
      </w:r>
      <w:r>
        <w:t>are</w:t>
      </w:r>
      <w:r w:rsidR="00D97822">
        <w:t xml:space="preserve"> INT1 symbol</w:t>
      </w:r>
      <w:r>
        <w:t>s</w:t>
      </w:r>
      <w:r w:rsidR="00D97822">
        <w:t xml:space="preserve"> K43.1</w:t>
      </w:r>
      <w:r>
        <w:t xml:space="preserve"> and K43.2</w:t>
      </w:r>
      <w:r w:rsidR="005F3510">
        <w:t xml:space="preserve"> </w:t>
      </w:r>
      <w:r w:rsidR="00D97822">
        <w:t xml:space="preserve">which </w:t>
      </w:r>
      <w:r>
        <w:t>are</w:t>
      </w:r>
      <w:r w:rsidR="00D97822">
        <w:t xml:space="preserve"> used to depict stumps of posts or piles which are wholly submerged (OBSTRN, CATOBS=1 snag/stump, WATLEV=3 always under water/submerged).</w:t>
      </w:r>
      <w:r>
        <w:t xml:space="preserve"> While K43.1 is used for a more general depiction, K43.2 shows the exact position of the object.</w:t>
      </w:r>
      <w:r w:rsidR="00D97822">
        <w:t xml:space="preserve"> </w:t>
      </w:r>
      <w:r w:rsidR="00C2300D">
        <w:t>Currently t</w:t>
      </w:r>
      <w:r w:rsidR="00D97822">
        <w:t xml:space="preserve">here are two versions of </w:t>
      </w:r>
      <w:r>
        <w:t>K43.1</w:t>
      </w:r>
      <w:r w:rsidR="00C2300D">
        <w:t xml:space="preserve"> (see figure 1)</w:t>
      </w:r>
      <w:r w:rsidR="00D97822">
        <w:t>: a set of stump symbols grouped together</w:t>
      </w:r>
      <w:r w:rsidR="00C2300D">
        <w:t xml:space="preserve"> (version 1)</w:t>
      </w:r>
      <w:r w:rsidR="00D97822">
        <w:t xml:space="preserve"> and a dotted circle with an added c</w:t>
      </w:r>
      <w:r w:rsidR="00245C19">
        <w:t>ategory description</w:t>
      </w:r>
      <w:r w:rsidR="00C2300D">
        <w:t xml:space="preserve"> (version 2)</w:t>
      </w:r>
      <w:r w:rsidR="00245C19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080"/>
      </w:tblGrid>
      <w:tr w:rsidR="00245C19" w14:paraId="5801B516" w14:textId="77777777" w:rsidTr="00C2300D">
        <w:tc>
          <w:tcPr>
            <w:tcW w:w="5080" w:type="dxa"/>
            <w:vAlign w:val="center"/>
          </w:tcPr>
          <w:p w14:paraId="5A80AF27" w14:textId="1CA411BD" w:rsidR="00245C19" w:rsidRDefault="00245C19" w:rsidP="00C2300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D493263" wp14:editId="5C1ED8AE">
                  <wp:extent cx="691200" cy="45000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43_1_V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vAlign w:val="center"/>
          </w:tcPr>
          <w:p w14:paraId="15CC41B7" w14:textId="016C7143" w:rsidR="00245C19" w:rsidRDefault="00245C19" w:rsidP="00C2300D">
            <w:r>
              <w:rPr>
                <w:noProof/>
              </w:rPr>
              <w:drawing>
                <wp:inline distT="0" distB="0" distL="0" distR="0" wp14:anchorId="3841B995" wp14:editId="57543742">
                  <wp:extent cx="673200" cy="3852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43_1_V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19" w14:paraId="49776F18" w14:textId="77777777" w:rsidTr="005560BE">
        <w:tc>
          <w:tcPr>
            <w:tcW w:w="10160" w:type="dxa"/>
            <w:gridSpan w:val="2"/>
          </w:tcPr>
          <w:p w14:paraId="409C5BB8" w14:textId="2DD016F9" w:rsidR="00245C19" w:rsidRPr="00C2300D" w:rsidRDefault="00245C19" w:rsidP="005560BE">
            <w:pPr>
              <w:jc w:val="center"/>
              <w:rPr>
                <w:i/>
              </w:rPr>
            </w:pPr>
            <w:r w:rsidRPr="00C2300D">
              <w:rPr>
                <w:i/>
              </w:rPr>
              <w:t>Fig. 1: Current versions of INT1 symbol K43.1</w:t>
            </w:r>
          </w:p>
        </w:tc>
      </w:tr>
    </w:tbl>
    <w:p w14:paraId="08AA5021" w14:textId="77777777" w:rsidR="005560BE" w:rsidRDefault="005560BE" w:rsidP="002B4077">
      <w:pPr>
        <w:spacing w:before="120"/>
      </w:pPr>
    </w:p>
    <w:p w14:paraId="0C9D3228" w14:textId="2A9747CD" w:rsidR="00245C19" w:rsidRDefault="007872C1" w:rsidP="002B4077">
      <w:pPr>
        <w:spacing w:before="120"/>
      </w:pPr>
      <w:r>
        <w:t>For K43.2 there is only one version (see figure 2).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7872C1" w14:paraId="422EF029" w14:textId="77777777" w:rsidTr="002B4077">
        <w:tc>
          <w:tcPr>
            <w:tcW w:w="10160" w:type="dxa"/>
          </w:tcPr>
          <w:p w14:paraId="205A45A8" w14:textId="2D5E0DC8" w:rsidR="007872C1" w:rsidRDefault="007872C1" w:rsidP="002B40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438EF2" wp14:editId="5DDD9668">
                  <wp:extent cx="597600" cy="4644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43_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2C1" w14:paraId="6E07B3E9" w14:textId="77777777" w:rsidTr="002B4077">
        <w:tc>
          <w:tcPr>
            <w:tcW w:w="10160" w:type="dxa"/>
          </w:tcPr>
          <w:p w14:paraId="1DC01C3B" w14:textId="796CC249" w:rsidR="007872C1" w:rsidRDefault="002B4077" w:rsidP="002B4077">
            <w:pPr>
              <w:jc w:val="center"/>
            </w:pPr>
            <w:r w:rsidRPr="00C2300D">
              <w:rPr>
                <w:i/>
              </w:rPr>
              <w:t xml:space="preserve">Fig. </w:t>
            </w:r>
            <w:r>
              <w:rPr>
                <w:i/>
              </w:rPr>
              <w:t>2</w:t>
            </w:r>
            <w:r w:rsidRPr="00C2300D">
              <w:rPr>
                <w:i/>
              </w:rPr>
              <w:t xml:space="preserve">: Current version of INT1 </w:t>
            </w:r>
            <w:r>
              <w:rPr>
                <w:i/>
              </w:rPr>
              <w:t>symbol K43.2</w:t>
            </w:r>
          </w:p>
        </w:tc>
      </w:tr>
    </w:tbl>
    <w:p w14:paraId="1CB68D78" w14:textId="77777777" w:rsidR="007872C1" w:rsidRPr="00D436BE" w:rsidRDefault="007872C1" w:rsidP="00D97822"/>
    <w:p w14:paraId="2B4194DE" w14:textId="65FE9656" w:rsidR="007F70BA" w:rsidRDefault="00C2300D" w:rsidP="0097172A">
      <w:pPr>
        <w:spacing w:before="120"/>
        <w:jc w:val="both"/>
      </w:pPr>
      <w:r>
        <w:t>Version</w:t>
      </w:r>
      <w:r w:rsidR="000D3D8D">
        <w:t>s</w:t>
      </w:r>
      <w:r>
        <w:t xml:space="preserve"> 1</w:t>
      </w:r>
      <w:r w:rsidR="002B4077">
        <w:t xml:space="preserve"> of K43.1 and K43.2</w:t>
      </w:r>
      <w:r>
        <w:t xml:space="preserve"> </w:t>
      </w:r>
      <w:r w:rsidR="002B4077">
        <w:t>are</w:t>
      </w:r>
      <w:r>
        <w:t xml:space="preserve"> not found in</w:t>
      </w:r>
      <w:r w:rsidR="005F3510" w:rsidRPr="005F3510">
        <w:t xml:space="preserve"> </w:t>
      </w:r>
      <w:r w:rsidR="004416CE">
        <w:t xml:space="preserve">ordinary </w:t>
      </w:r>
      <w:r>
        <w:t>A</w:t>
      </w:r>
      <w:r w:rsidR="005F3510" w:rsidRPr="005F3510">
        <w:t>dmiralty charts</w:t>
      </w:r>
      <w:r>
        <w:t>.</w:t>
      </w:r>
      <w:r w:rsidR="005F3510" w:rsidRPr="005F3510">
        <w:t xml:space="preserve"> </w:t>
      </w:r>
      <w:r w:rsidR="002B4077">
        <w:t>They</w:t>
      </w:r>
      <w:r>
        <w:t xml:space="preserve"> </w:t>
      </w:r>
      <w:r w:rsidR="004416CE">
        <w:t xml:space="preserve">may </w:t>
      </w:r>
      <w:r>
        <w:t xml:space="preserve">only appear in </w:t>
      </w:r>
      <w:r w:rsidR="005F3510" w:rsidRPr="005F3510">
        <w:t>adopted charts</w:t>
      </w:r>
      <w:r w:rsidR="007C7311">
        <w:t xml:space="preserve"> (UKHO INT1 Edition 8, 2020)</w:t>
      </w:r>
      <w:r w:rsidR="005F3510" w:rsidRPr="005F3510">
        <w:t>.</w:t>
      </w:r>
      <w:r w:rsidR="00C12F99">
        <w:t xml:space="preserve"> However, NOAA (and NGA) </w:t>
      </w:r>
      <w:r w:rsidR="0097172A">
        <w:t>list</w:t>
      </w:r>
      <w:r w:rsidR="004416CE">
        <w:t>s besides these</w:t>
      </w:r>
      <w:r w:rsidR="00CF2615">
        <w:t xml:space="preserve"> both </w:t>
      </w:r>
      <w:r w:rsidR="004416CE">
        <w:t xml:space="preserve">INT 1 </w:t>
      </w:r>
      <w:r w:rsidR="00CF2615">
        <w:t>versions</w:t>
      </w:r>
      <w:r w:rsidR="0097172A">
        <w:t xml:space="preserve"> of K43.1 and K43.2 </w:t>
      </w:r>
      <w:r w:rsidR="00CF2615">
        <w:t xml:space="preserve">in its </w:t>
      </w:r>
      <w:r w:rsidR="0097172A">
        <w:t xml:space="preserve">ChartNo1 a completely different set of chart symbols for </w:t>
      </w:r>
      <w:r w:rsidR="007F70BA">
        <w:t xml:space="preserve">this issue </w:t>
      </w:r>
      <w:r w:rsidR="007C7311">
        <w:t>(Edition 13, 2019)</w:t>
      </w:r>
      <w:r w:rsidR="00CF2615">
        <w:t>.</w:t>
      </w:r>
      <w:r w:rsidR="008F6FDC">
        <w:t xml:space="preserve"> </w:t>
      </w:r>
    </w:p>
    <w:p w14:paraId="1CE27772" w14:textId="77777777" w:rsidR="007F70BA" w:rsidRDefault="008F6FDC" w:rsidP="0097172A">
      <w:pPr>
        <w:spacing w:before="120"/>
        <w:jc w:val="both"/>
      </w:pPr>
      <w:r>
        <w:t>S-52 uses version 2 of the chart symbol.</w:t>
      </w:r>
      <w:r w:rsidR="0097172A">
        <w:t xml:space="preserve"> In S-52 there is no distinction between a general depiction and showing the exact position of an object.</w:t>
      </w:r>
    </w:p>
    <w:p w14:paraId="658AC706" w14:textId="370D0354" w:rsidR="00D97822" w:rsidRPr="005F3510" w:rsidRDefault="00C12F99" w:rsidP="0097172A">
      <w:pPr>
        <w:spacing w:before="120"/>
        <w:jc w:val="both"/>
      </w:pPr>
      <w:r>
        <w:t xml:space="preserve">It should be considered that chart symbol K43.2 does not take up as much space as version 2 of K43.1 </w:t>
      </w:r>
      <w:proofErr w:type="gramStart"/>
      <w:r>
        <w:t>and</w:t>
      </w:r>
      <w:proofErr w:type="gramEnd"/>
      <w:r>
        <w:t xml:space="preserve"> can easily be placed automatically in the chart during chart production.</w:t>
      </w:r>
    </w:p>
    <w:p w14:paraId="540A1455" w14:textId="77777777" w:rsidR="007F07C5" w:rsidRPr="00D436BE" w:rsidRDefault="007F07C5" w:rsidP="007F07C5">
      <w:pPr>
        <w:spacing w:before="120"/>
        <w:rPr>
          <w:b/>
          <w:lang w:val="en-GB"/>
        </w:rPr>
      </w:pPr>
      <w:r w:rsidRPr="00D436BE">
        <w:rPr>
          <w:b/>
          <w:lang w:val="en-GB"/>
        </w:rPr>
        <w:t>Conclusions</w:t>
      </w:r>
    </w:p>
    <w:p w14:paraId="1E3235A6" w14:textId="35BCC92E" w:rsidR="00617133" w:rsidRDefault="00617133" w:rsidP="0097172A">
      <w:pPr>
        <w:jc w:val="both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Retiring </w:t>
      </w:r>
      <w:r>
        <w:t xml:space="preserve">version 1 of INT1 symbol K43.1 (set of stump symbols grouped together) </w:t>
      </w:r>
      <w:r w:rsidR="0097172A">
        <w:t xml:space="preserve">and K43.2 </w:t>
      </w:r>
      <w:r>
        <w:rPr>
          <w:rFonts w:eastAsia="Times New Roman"/>
          <w:lang w:val="en-AU"/>
        </w:rPr>
        <w:t>will facilitate the usage of ENC and Paper Chart as there will no longer be a different symbolisation of identical objects.</w:t>
      </w:r>
    </w:p>
    <w:p w14:paraId="267EB876" w14:textId="0FD36F3A" w:rsidR="004416CE" w:rsidRDefault="004416CE" w:rsidP="0097172A">
      <w:pPr>
        <w:jc w:val="both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Before that we need to know in which MS charts they are still common use.</w:t>
      </w:r>
    </w:p>
    <w:p w14:paraId="3D5EADF5" w14:textId="23837E3B" w:rsidR="004416CE" w:rsidRPr="00194F3E" w:rsidRDefault="007F70BA" w:rsidP="0097172A">
      <w:pPr>
        <w:jc w:val="both"/>
        <w:rPr>
          <w:rFonts w:eastAsia="Times New Roman"/>
          <w:lang w:val="en-AU"/>
        </w:rPr>
      </w:pPr>
      <w:r>
        <w:rPr>
          <w:rFonts w:eastAsia="Times New Roman"/>
          <w:lang w:val="en-AU"/>
        </w:rPr>
        <w:t>Although</w:t>
      </w:r>
      <w:r w:rsidR="004416CE">
        <w:rPr>
          <w:rFonts w:eastAsia="Times New Roman"/>
          <w:lang w:val="en-AU"/>
        </w:rPr>
        <w:t xml:space="preserve"> the positional symbol takes less place than the obstruction circle</w:t>
      </w:r>
      <w:r>
        <w:rPr>
          <w:rFonts w:eastAsia="Times New Roman"/>
          <w:lang w:val="en-AU"/>
        </w:rPr>
        <w:t>, it makes rare sense to keep it.</w:t>
      </w:r>
    </w:p>
    <w:p w14:paraId="1779E120" w14:textId="77777777" w:rsidR="007F07C5" w:rsidRPr="00D436BE" w:rsidRDefault="007F07C5" w:rsidP="007F07C5">
      <w:pPr>
        <w:spacing w:before="120"/>
        <w:rPr>
          <w:b/>
          <w:lang w:val="en-GB"/>
        </w:rPr>
      </w:pPr>
      <w:r w:rsidRPr="00D436BE">
        <w:rPr>
          <w:b/>
          <w:lang w:val="en-GB"/>
        </w:rPr>
        <w:t>Recommendations</w:t>
      </w:r>
    </w:p>
    <w:p w14:paraId="7B3A2301" w14:textId="5B73ECDA" w:rsidR="00617133" w:rsidRPr="00D436BE" w:rsidRDefault="00617133" w:rsidP="0097172A">
      <w:pPr>
        <w:jc w:val="both"/>
      </w:pPr>
      <w:r>
        <w:t xml:space="preserve">It is recommended to either retire version 1 of INT1 symbol K43.1 (set of stump symbols grouped together) </w:t>
      </w:r>
      <w:r w:rsidR="0097172A">
        <w:t xml:space="preserve">and K43.2 </w:t>
      </w:r>
      <w:r>
        <w:t>or to mark</w:t>
      </w:r>
      <w:r w:rsidR="0097172A">
        <w:t xml:space="preserve"> them</w:t>
      </w:r>
      <w:r>
        <w:t xml:space="preserve"> as obsolescent (depending on feedback from other member states).</w:t>
      </w:r>
      <w:r w:rsidR="007F70BA">
        <w:t xml:space="preserve"> To allow </w:t>
      </w:r>
      <w:r w:rsidR="008F6FDC">
        <w:t xml:space="preserve">a better characterization of the depicted object the information stored in CATOBS should be </w:t>
      </w:r>
      <w:r w:rsidR="007C7311">
        <w:t>used</w:t>
      </w:r>
      <w:r w:rsidR="008F6FDC">
        <w:t xml:space="preserve"> to </w:t>
      </w:r>
      <w:r w:rsidR="007C7311">
        <w:t xml:space="preserve">label </w:t>
      </w:r>
      <w:r w:rsidR="007C7311">
        <w:lastRenderedPageBreak/>
        <w:t>the</w:t>
      </w:r>
      <w:r w:rsidR="008F6FDC">
        <w:t xml:space="preserve"> chart symbol</w:t>
      </w:r>
      <w:r w:rsidR="005560BE">
        <w:t xml:space="preserve"> (similar to the suggestion in S</w:t>
      </w:r>
      <w:r w:rsidR="007F70BA">
        <w:t>-</w:t>
      </w:r>
      <w:r w:rsidR="005560BE">
        <w:t>4 B-422.9)</w:t>
      </w:r>
      <w:r w:rsidR="008F6FDC">
        <w:t>.</w:t>
      </w:r>
    </w:p>
    <w:p w14:paraId="50E99091" w14:textId="77777777" w:rsidR="007F07C5" w:rsidRPr="00D436BE" w:rsidRDefault="007F07C5" w:rsidP="007F07C5">
      <w:pPr>
        <w:spacing w:before="120"/>
        <w:rPr>
          <w:b/>
          <w:lang w:val="en-GB"/>
        </w:rPr>
      </w:pPr>
      <w:r w:rsidRPr="00D436BE">
        <w:rPr>
          <w:b/>
          <w:lang w:val="en-GB"/>
        </w:rPr>
        <w:t>Justification and Impacts</w:t>
      </w:r>
    </w:p>
    <w:p w14:paraId="144547D2" w14:textId="2DBAAE6B" w:rsidR="007C7311" w:rsidRDefault="008F6FDC" w:rsidP="0097172A">
      <w:pPr>
        <w:pStyle w:val="subpara"/>
        <w:spacing w:before="80" w:after="0"/>
        <w:ind w:left="0" w:firstLine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Reducing the number of available versions of </w:t>
      </w:r>
      <w:r w:rsidRPr="008F6FDC">
        <w:rPr>
          <w:rFonts w:ascii="Arial" w:hAnsi="Arial" w:cs="Arial"/>
        </w:rPr>
        <w:t xml:space="preserve">INT1 symbol </w:t>
      </w:r>
      <w:r w:rsidRPr="0097172A">
        <w:rPr>
          <w:rFonts w:ascii="Arial" w:hAnsi="Arial" w:cs="Arial"/>
        </w:rPr>
        <w:t xml:space="preserve">K43.1 </w:t>
      </w:r>
      <w:r w:rsidR="0097172A" w:rsidRPr="0097172A">
        <w:rPr>
          <w:rFonts w:ascii="Arial" w:hAnsi="Arial" w:cs="Arial"/>
        </w:rPr>
        <w:t>and retiring</w:t>
      </w:r>
      <w:r w:rsidR="0097172A">
        <w:rPr>
          <w:rFonts w:ascii="Arial" w:hAnsi="Arial" w:cs="Arial"/>
        </w:rPr>
        <w:t xml:space="preserve"> K43.2 </w:t>
      </w:r>
      <w:r w:rsidRPr="0097172A">
        <w:rPr>
          <w:rFonts w:ascii="Arial" w:hAnsi="Arial" w:cs="Arial"/>
          <w:szCs w:val="22"/>
          <w:lang w:val="en-GB"/>
        </w:rPr>
        <w:t>will</w:t>
      </w:r>
      <w:r>
        <w:rPr>
          <w:rFonts w:ascii="Arial" w:hAnsi="Arial" w:cs="Arial"/>
          <w:szCs w:val="22"/>
          <w:lang w:val="en-GB"/>
        </w:rPr>
        <w:t xml:space="preserve"> facilitate chart usage and </w:t>
      </w:r>
      <w:r w:rsidR="007F70BA">
        <w:rPr>
          <w:rFonts w:ascii="Arial" w:hAnsi="Arial" w:cs="Arial"/>
          <w:szCs w:val="22"/>
          <w:lang w:val="en-GB"/>
        </w:rPr>
        <w:t>harmonise depiction in ENC and paper c</w:t>
      </w:r>
      <w:r>
        <w:rPr>
          <w:rFonts w:ascii="Arial" w:hAnsi="Arial" w:cs="Arial"/>
          <w:szCs w:val="22"/>
          <w:lang w:val="en-GB"/>
        </w:rPr>
        <w:t xml:space="preserve">hart. </w:t>
      </w:r>
    </w:p>
    <w:p w14:paraId="443357AF" w14:textId="5703004E" w:rsidR="008F6FDC" w:rsidRDefault="008F6FDC" w:rsidP="0097172A">
      <w:pPr>
        <w:pStyle w:val="subpara"/>
        <w:spacing w:before="80" w:after="0"/>
        <w:ind w:left="0" w:firstLine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proposed change will impact chart production guidelines in </w:t>
      </w:r>
      <w:r w:rsidR="007F70BA">
        <w:rPr>
          <w:rFonts w:ascii="Arial" w:hAnsi="Arial" w:cs="Arial"/>
          <w:szCs w:val="22"/>
          <w:lang w:val="en-GB"/>
        </w:rPr>
        <w:t>MS</w:t>
      </w:r>
      <w:r>
        <w:rPr>
          <w:rFonts w:ascii="Arial" w:hAnsi="Arial" w:cs="Arial"/>
          <w:szCs w:val="22"/>
          <w:lang w:val="en-GB"/>
        </w:rPr>
        <w:t xml:space="preserve"> still using version </w:t>
      </w:r>
      <w:r w:rsidRPr="007C7311">
        <w:rPr>
          <w:rFonts w:ascii="Arial" w:hAnsi="Arial" w:cs="Arial"/>
          <w:szCs w:val="22"/>
          <w:lang w:val="en-GB"/>
        </w:rPr>
        <w:t>1</w:t>
      </w:r>
      <w:r w:rsidR="007C7311" w:rsidRPr="007C7311">
        <w:rPr>
          <w:rFonts w:ascii="Arial" w:hAnsi="Arial" w:cs="Arial"/>
        </w:rPr>
        <w:t xml:space="preserve"> of INT1 symbol K43.1 (set of stump symbols grouped together)</w:t>
      </w:r>
      <w:r w:rsidR="0097172A">
        <w:rPr>
          <w:rFonts w:ascii="Arial" w:hAnsi="Arial" w:cs="Arial"/>
        </w:rPr>
        <w:t xml:space="preserve"> and K43.2</w:t>
      </w:r>
      <w:r w:rsidR="007C7311">
        <w:rPr>
          <w:rFonts w:ascii="Arial" w:hAnsi="Arial" w:cs="Arial"/>
        </w:rPr>
        <w:t>. Considering the positive effect that will be achieved</w:t>
      </w:r>
      <w:r w:rsidR="0097172A">
        <w:rPr>
          <w:rFonts w:ascii="Arial" w:hAnsi="Arial" w:cs="Arial"/>
        </w:rPr>
        <w:t xml:space="preserve"> by the proposed change</w:t>
      </w:r>
      <w:r w:rsidR="007C7311">
        <w:rPr>
          <w:rFonts w:ascii="Arial" w:hAnsi="Arial" w:cs="Arial"/>
        </w:rPr>
        <w:t xml:space="preserve"> this is deemed to be justified.</w:t>
      </w:r>
    </w:p>
    <w:p w14:paraId="2E4032DC" w14:textId="725D42BC" w:rsidR="007F07C5" w:rsidRPr="00D436BE" w:rsidRDefault="007C7311" w:rsidP="0097172A">
      <w:pPr>
        <w:pStyle w:val="subpara"/>
        <w:spacing w:before="80" w:after="0"/>
        <w:ind w:left="0" w:firstLine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</w:t>
      </w:r>
      <w:r w:rsidR="007F07C5" w:rsidRPr="00D436BE">
        <w:rPr>
          <w:rFonts w:ascii="Arial" w:hAnsi="Arial" w:cs="Arial"/>
          <w:szCs w:val="22"/>
          <w:lang w:val="en-GB"/>
        </w:rPr>
        <w:t>he proposed priority</w:t>
      </w:r>
      <w:r>
        <w:rPr>
          <w:rFonts w:ascii="Arial" w:hAnsi="Arial" w:cs="Arial"/>
          <w:szCs w:val="22"/>
          <w:lang w:val="en-GB"/>
        </w:rPr>
        <w:t xml:space="preserve"> is</w:t>
      </w:r>
      <w:r w:rsidR="007F07C5" w:rsidRPr="00D436BE">
        <w:rPr>
          <w:rFonts w:ascii="Arial" w:hAnsi="Arial" w:cs="Arial"/>
          <w:szCs w:val="22"/>
          <w:lang w:val="en-GB"/>
        </w:rPr>
        <w:t xml:space="preserve"> medium</w:t>
      </w:r>
      <w:r>
        <w:rPr>
          <w:rFonts w:ascii="Arial" w:hAnsi="Arial" w:cs="Arial"/>
          <w:szCs w:val="22"/>
          <w:lang w:val="en-GB"/>
        </w:rPr>
        <w:t>.</w:t>
      </w:r>
    </w:p>
    <w:p w14:paraId="4B70F626" w14:textId="77777777" w:rsidR="007F07C5" w:rsidRPr="00D436BE" w:rsidRDefault="007F07C5" w:rsidP="007F07C5">
      <w:pPr>
        <w:spacing w:before="120"/>
        <w:rPr>
          <w:b/>
          <w:lang w:val="en-GB"/>
        </w:rPr>
      </w:pPr>
      <w:r w:rsidRPr="00D436BE">
        <w:rPr>
          <w:b/>
          <w:lang w:val="en-GB"/>
        </w:rPr>
        <w:t xml:space="preserve">Action required of </w:t>
      </w:r>
      <w:r>
        <w:rPr>
          <w:b/>
          <w:lang w:val="en-GB"/>
        </w:rPr>
        <w:t>N</w:t>
      </w:r>
      <w:r w:rsidRPr="00D436BE">
        <w:rPr>
          <w:b/>
          <w:lang w:val="en-GB"/>
        </w:rPr>
        <w:t>CWG</w:t>
      </w:r>
    </w:p>
    <w:p w14:paraId="479FF123" w14:textId="77777777" w:rsidR="007F07C5" w:rsidRPr="00D436BE" w:rsidRDefault="007F07C5" w:rsidP="007F07C5">
      <w:pPr>
        <w:rPr>
          <w:lang w:val="en-GB"/>
        </w:rPr>
      </w:pPr>
      <w:r w:rsidRPr="00D436BE">
        <w:rPr>
          <w:lang w:val="en-GB"/>
        </w:rPr>
        <w:t xml:space="preserve">The </w:t>
      </w:r>
      <w:r>
        <w:rPr>
          <w:lang w:val="en-GB"/>
        </w:rPr>
        <w:t>N</w:t>
      </w:r>
      <w:r w:rsidRPr="00D436BE">
        <w:rPr>
          <w:lang w:val="en-GB"/>
        </w:rPr>
        <w:t>CWG is invited to:</w:t>
      </w:r>
    </w:p>
    <w:p w14:paraId="7E695A87" w14:textId="41720BB5" w:rsidR="004416CE" w:rsidRDefault="004416CE" w:rsidP="00194F3E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a</w:t>
      </w:r>
      <w:proofErr w:type="gramEnd"/>
      <w:r w:rsidR="00194F3E">
        <w:rPr>
          <w:rFonts w:ascii="Arial" w:hAnsi="Arial" w:cs="Arial"/>
          <w:szCs w:val="22"/>
          <w:lang w:val="en-GB"/>
        </w:rPr>
        <w:t xml:space="preserve">. </w:t>
      </w:r>
      <w:r>
        <w:rPr>
          <w:rFonts w:ascii="Arial" w:hAnsi="Arial" w:cs="Arial"/>
          <w:szCs w:val="22"/>
          <w:lang w:val="en-GB"/>
        </w:rPr>
        <w:t>discuss and</w:t>
      </w:r>
    </w:p>
    <w:p w14:paraId="1F5ECA14" w14:textId="4E95389B" w:rsidR="002C76A0" w:rsidRDefault="004416CE" w:rsidP="00194F3E">
      <w:pPr>
        <w:pStyle w:val="subpara"/>
        <w:spacing w:before="80" w:after="0"/>
        <w:ind w:left="567" w:firstLine="0"/>
      </w:pPr>
      <w:proofErr w:type="gramStart"/>
      <w:r>
        <w:rPr>
          <w:rFonts w:ascii="Arial" w:hAnsi="Arial" w:cs="Arial"/>
          <w:szCs w:val="22"/>
          <w:lang w:val="en-GB"/>
        </w:rPr>
        <w:t>b</w:t>
      </w:r>
      <w:proofErr w:type="gramEnd"/>
      <w:r>
        <w:rPr>
          <w:rFonts w:ascii="Arial" w:hAnsi="Arial" w:cs="Arial"/>
          <w:szCs w:val="22"/>
          <w:lang w:val="en-GB"/>
        </w:rPr>
        <w:t xml:space="preserve">. </w:t>
      </w:r>
      <w:r w:rsidR="007F07C5" w:rsidRPr="00D436BE">
        <w:rPr>
          <w:rFonts w:ascii="Arial" w:hAnsi="Arial" w:cs="Arial"/>
          <w:szCs w:val="22"/>
          <w:lang w:val="en-GB"/>
        </w:rPr>
        <w:t xml:space="preserve">endorse  </w:t>
      </w:r>
      <w:r w:rsidR="00194F3E">
        <w:rPr>
          <w:rFonts w:ascii="Arial" w:hAnsi="Arial" w:cs="Arial"/>
          <w:szCs w:val="22"/>
          <w:lang w:val="en-GB"/>
        </w:rPr>
        <w:t>recommendation</w:t>
      </w:r>
    </w:p>
    <w:sectPr w:rsidR="002C76A0">
      <w:headerReference w:type="default" r:id="rId13"/>
      <w:pgSz w:w="11910" w:h="16840"/>
      <w:pgMar w:top="1340" w:right="440" w:bottom="1540" w:left="1300" w:header="0" w:footer="1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CCE5" w14:textId="77777777" w:rsidR="0078165F" w:rsidRDefault="0078165F">
      <w:r>
        <w:separator/>
      </w:r>
    </w:p>
  </w:endnote>
  <w:endnote w:type="continuationSeparator" w:id="0">
    <w:p w14:paraId="51D36814" w14:textId="77777777" w:rsidR="0078165F" w:rsidRDefault="0078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63899" w14:textId="77777777" w:rsidR="0078165F" w:rsidRDefault="0078165F">
      <w:r>
        <w:separator/>
      </w:r>
    </w:p>
  </w:footnote>
  <w:footnote w:type="continuationSeparator" w:id="0">
    <w:p w14:paraId="213B9C48" w14:textId="77777777" w:rsidR="0078165F" w:rsidRDefault="0078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B400" w14:textId="354EFCC1" w:rsidR="00241F27" w:rsidRDefault="00241F27">
    <w:pPr>
      <w:pStyle w:val="Header"/>
    </w:pPr>
  </w:p>
  <w:p w14:paraId="5EC0A140" w14:textId="4C1133B5" w:rsidR="00241F27" w:rsidRPr="00241F27" w:rsidRDefault="00241F27" w:rsidP="00241F27">
    <w:pPr>
      <w:tabs>
        <w:tab w:val="center" w:pos="4680"/>
        <w:tab w:val="right" w:pos="9360"/>
      </w:tabs>
      <w:autoSpaceDE/>
      <w:autoSpaceDN/>
      <w:jc w:val="right"/>
      <w:rPr>
        <w:rFonts w:asciiTheme="minorHAnsi" w:eastAsiaTheme="minorHAnsi" w:hAnsiTheme="minorHAnsi" w:cstheme="minorBidi"/>
        <w:b/>
        <w:lang w:val="fr-FR"/>
      </w:rPr>
    </w:pPr>
    <w:r w:rsidRPr="00241F27">
      <w:rPr>
        <w:rFonts w:asciiTheme="minorHAnsi" w:eastAsiaTheme="minorHAnsi" w:hAnsiTheme="minorHAnsi" w:cstheme="minorBidi"/>
        <w:b/>
        <w:bdr w:val="single" w:sz="4" w:space="0" w:color="auto"/>
        <w:lang w:val="fr-FR"/>
      </w:rPr>
      <w:t>NCWG7-0</w:t>
    </w:r>
    <w:r w:rsidR="007C4E9F">
      <w:rPr>
        <w:rFonts w:asciiTheme="minorHAnsi" w:eastAsiaTheme="minorHAnsi" w:hAnsiTheme="minorHAnsi" w:cstheme="minorBidi"/>
        <w:b/>
        <w:bdr w:val="single" w:sz="4" w:space="0" w:color="auto"/>
        <w:lang w:val="fr-FR"/>
      </w:rPr>
      <w:t>7</w:t>
    </w:r>
    <w:r w:rsidRPr="00241F27">
      <w:rPr>
        <w:rFonts w:asciiTheme="minorHAnsi" w:eastAsiaTheme="minorHAnsi" w:hAnsiTheme="minorHAnsi" w:cstheme="minorBidi"/>
        <w:b/>
        <w:bdr w:val="single" w:sz="4" w:space="0" w:color="auto"/>
        <w:lang w:val="fr-FR"/>
      </w:rPr>
      <w:t>.</w:t>
    </w:r>
    <w:r w:rsidR="007C4E9F">
      <w:rPr>
        <w:rFonts w:asciiTheme="minorHAnsi" w:eastAsiaTheme="minorHAnsi" w:hAnsiTheme="minorHAnsi" w:cstheme="minorBidi"/>
        <w:b/>
        <w:bdr w:val="single" w:sz="4" w:space="0" w:color="auto"/>
        <w:lang w:val="fr-FR"/>
      </w:rPr>
      <w:t>02</w:t>
    </w:r>
    <w:r w:rsidRPr="00241F27">
      <w:rPr>
        <w:rFonts w:asciiTheme="minorHAnsi" w:eastAsiaTheme="minorHAnsi" w:hAnsiTheme="minorHAnsi" w:cstheme="minorBidi"/>
        <w:b/>
        <w:bdr w:val="single" w:sz="4" w:space="0" w:color="auto"/>
        <w:lang w:val="fr-FR"/>
      </w:rPr>
      <w:t xml:space="preserve">A   </w:t>
    </w:r>
  </w:p>
  <w:p w14:paraId="2C278AAF" w14:textId="77777777" w:rsidR="00241F27" w:rsidRDefault="00241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AEC"/>
    <w:multiLevelType w:val="hybridMultilevel"/>
    <w:tmpl w:val="ECAE699C"/>
    <w:lvl w:ilvl="0" w:tplc="C6E01C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6531"/>
    <w:multiLevelType w:val="hybridMultilevel"/>
    <w:tmpl w:val="87DEC476"/>
    <w:lvl w:ilvl="0" w:tplc="8A50C822">
      <w:numFmt w:val="bullet"/>
      <w:lvlText w:val=""/>
      <w:lvlJc w:val="left"/>
      <w:pPr>
        <w:ind w:left="1280" w:hanging="30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60B4F8">
      <w:numFmt w:val="bullet"/>
      <w:lvlText w:val="•"/>
      <w:lvlJc w:val="left"/>
      <w:pPr>
        <w:ind w:left="2168" w:hanging="300"/>
      </w:pPr>
      <w:rPr>
        <w:rFonts w:hint="default"/>
        <w:lang w:val="en-US" w:eastAsia="en-US" w:bidi="ar-SA"/>
      </w:rPr>
    </w:lvl>
    <w:lvl w:ilvl="2" w:tplc="3996B2C4">
      <w:numFmt w:val="bullet"/>
      <w:lvlText w:val="•"/>
      <w:lvlJc w:val="left"/>
      <w:pPr>
        <w:ind w:left="3057" w:hanging="300"/>
      </w:pPr>
      <w:rPr>
        <w:rFonts w:hint="default"/>
        <w:lang w:val="en-US" w:eastAsia="en-US" w:bidi="ar-SA"/>
      </w:rPr>
    </w:lvl>
    <w:lvl w:ilvl="3" w:tplc="9B10579C">
      <w:numFmt w:val="bullet"/>
      <w:lvlText w:val="•"/>
      <w:lvlJc w:val="left"/>
      <w:pPr>
        <w:ind w:left="3945" w:hanging="300"/>
      </w:pPr>
      <w:rPr>
        <w:rFonts w:hint="default"/>
        <w:lang w:val="en-US" w:eastAsia="en-US" w:bidi="ar-SA"/>
      </w:rPr>
    </w:lvl>
    <w:lvl w:ilvl="4" w:tplc="8FF4F114">
      <w:numFmt w:val="bullet"/>
      <w:lvlText w:val="•"/>
      <w:lvlJc w:val="left"/>
      <w:pPr>
        <w:ind w:left="4834" w:hanging="300"/>
      </w:pPr>
      <w:rPr>
        <w:rFonts w:hint="default"/>
        <w:lang w:val="en-US" w:eastAsia="en-US" w:bidi="ar-SA"/>
      </w:rPr>
    </w:lvl>
    <w:lvl w:ilvl="5" w:tplc="18409528">
      <w:numFmt w:val="bullet"/>
      <w:lvlText w:val="•"/>
      <w:lvlJc w:val="left"/>
      <w:pPr>
        <w:ind w:left="5723" w:hanging="300"/>
      </w:pPr>
      <w:rPr>
        <w:rFonts w:hint="default"/>
        <w:lang w:val="en-US" w:eastAsia="en-US" w:bidi="ar-SA"/>
      </w:rPr>
    </w:lvl>
    <w:lvl w:ilvl="6" w:tplc="90603D94">
      <w:numFmt w:val="bullet"/>
      <w:lvlText w:val="•"/>
      <w:lvlJc w:val="left"/>
      <w:pPr>
        <w:ind w:left="6611" w:hanging="300"/>
      </w:pPr>
      <w:rPr>
        <w:rFonts w:hint="default"/>
        <w:lang w:val="en-US" w:eastAsia="en-US" w:bidi="ar-SA"/>
      </w:rPr>
    </w:lvl>
    <w:lvl w:ilvl="7" w:tplc="DF66DE70">
      <w:numFmt w:val="bullet"/>
      <w:lvlText w:val="•"/>
      <w:lvlJc w:val="left"/>
      <w:pPr>
        <w:ind w:left="7500" w:hanging="300"/>
      </w:pPr>
      <w:rPr>
        <w:rFonts w:hint="default"/>
        <w:lang w:val="en-US" w:eastAsia="en-US" w:bidi="ar-SA"/>
      </w:rPr>
    </w:lvl>
    <w:lvl w:ilvl="8" w:tplc="F14C94D2">
      <w:numFmt w:val="bullet"/>
      <w:lvlText w:val="•"/>
      <w:lvlJc w:val="left"/>
      <w:pPr>
        <w:ind w:left="8389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4AFC7340"/>
    <w:multiLevelType w:val="hybridMultilevel"/>
    <w:tmpl w:val="48567744"/>
    <w:lvl w:ilvl="0" w:tplc="EAE4E16E">
      <w:start w:val="1"/>
      <w:numFmt w:val="lowerLetter"/>
      <w:lvlText w:val="%1."/>
      <w:lvlJc w:val="left"/>
      <w:pPr>
        <w:ind w:left="1580" w:hanging="8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B92469A">
      <w:numFmt w:val="bullet"/>
      <w:lvlText w:val="•"/>
      <w:lvlJc w:val="left"/>
      <w:pPr>
        <w:ind w:left="2438" w:hanging="874"/>
      </w:pPr>
      <w:rPr>
        <w:rFonts w:hint="default"/>
        <w:lang w:val="en-US" w:eastAsia="en-US" w:bidi="ar-SA"/>
      </w:rPr>
    </w:lvl>
    <w:lvl w:ilvl="2" w:tplc="D0CCD336">
      <w:numFmt w:val="bullet"/>
      <w:lvlText w:val="•"/>
      <w:lvlJc w:val="left"/>
      <w:pPr>
        <w:ind w:left="3297" w:hanging="874"/>
      </w:pPr>
      <w:rPr>
        <w:rFonts w:hint="default"/>
        <w:lang w:val="en-US" w:eastAsia="en-US" w:bidi="ar-SA"/>
      </w:rPr>
    </w:lvl>
    <w:lvl w:ilvl="3" w:tplc="7C54FE5A">
      <w:numFmt w:val="bullet"/>
      <w:lvlText w:val="•"/>
      <w:lvlJc w:val="left"/>
      <w:pPr>
        <w:ind w:left="4155" w:hanging="874"/>
      </w:pPr>
      <w:rPr>
        <w:rFonts w:hint="default"/>
        <w:lang w:val="en-US" w:eastAsia="en-US" w:bidi="ar-SA"/>
      </w:rPr>
    </w:lvl>
    <w:lvl w:ilvl="4" w:tplc="70A4CECA">
      <w:numFmt w:val="bullet"/>
      <w:lvlText w:val="•"/>
      <w:lvlJc w:val="left"/>
      <w:pPr>
        <w:ind w:left="5014" w:hanging="874"/>
      </w:pPr>
      <w:rPr>
        <w:rFonts w:hint="default"/>
        <w:lang w:val="en-US" w:eastAsia="en-US" w:bidi="ar-SA"/>
      </w:rPr>
    </w:lvl>
    <w:lvl w:ilvl="5" w:tplc="B59A4D9C">
      <w:numFmt w:val="bullet"/>
      <w:lvlText w:val="•"/>
      <w:lvlJc w:val="left"/>
      <w:pPr>
        <w:ind w:left="5873" w:hanging="874"/>
      </w:pPr>
      <w:rPr>
        <w:rFonts w:hint="default"/>
        <w:lang w:val="en-US" w:eastAsia="en-US" w:bidi="ar-SA"/>
      </w:rPr>
    </w:lvl>
    <w:lvl w:ilvl="6" w:tplc="BE9AB604">
      <w:numFmt w:val="bullet"/>
      <w:lvlText w:val="•"/>
      <w:lvlJc w:val="left"/>
      <w:pPr>
        <w:ind w:left="6731" w:hanging="874"/>
      </w:pPr>
      <w:rPr>
        <w:rFonts w:hint="default"/>
        <w:lang w:val="en-US" w:eastAsia="en-US" w:bidi="ar-SA"/>
      </w:rPr>
    </w:lvl>
    <w:lvl w:ilvl="7" w:tplc="669C00BC">
      <w:numFmt w:val="bullet"/>
      <w:lvlText w:val="•"/>
      <w:lvlJc w:val="left"/>
      <w:pPr>
        <w:ind w:left="7590" w:hanging="874"/>
      </w:pPr>
      <w:rPr>
        <w:rFonts w:hint="default"/>
        <w:lang w:val="en-US" w:eastAsia="en-US" w:bidi="ar-SA"/>
      </w:rPr>
    </w:lvl>
    <w:lvl w:ilvl="8" w:tplc="A544B162">
      <w:numFmt w:val="bullet"/>
      <w:lvlText w:val="•"/>
      <w:lvlJc w:val="left"/>
      <w:pPr>
        <w:ind w:left="8449" w:hanging="874"/>
      </w:pPr>
      <w:rPr>
        <w:rFonts w:hint="default"/>
        <w:lang w:val="en-US" w:eastAsia="en-US" w:bidi="ar-SA"/>
      </w:rPr>
    </w:lvl>
  </w:abstractNum>
  <w:abstractNum w:abstractNumId="3" w15:restartNumberingAfterBreak="0">
    <w:nsid w:val="5ECD334D"/>
    <w:multiLevelType w:val="hybridMultilevel"/>
    <w:tmpl w:val="A0487470"/>
    <w:lvl w:ilvl="0" w:tplc="72AE109C">
      <w:start w:val="1"/>
      <w:numFmt w:val="decimal"/>
      <w:lvlText w:val="(%1)"/>
      <w:lvlJc w:val="left"/>
      <w:pPr>
        <w:ind w:left="1580" w:hanging="272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6F48B9B2">
      <w:numFmt w:val="bullet"/>
      <w:lvlText w:val="•"/>
      <w:lvlJc w:val="left"/>
      <w:pPr>
        <w:ind w:left="2438" w:hanging="272"/>
      </w:pPr>
      <w:rPr>
        <w:rFonts w:hint="default"/>
        <w:lang w:val="en-US" w:eastAsia="en-US" w:bidi="ar-SA"/>
      </w:rPr>
    </w:lvl>
    <w:lvl w:ilvl="2" w:tplc="6A328396">
      <w:numFmt w:val="bullet"/>
      <w:lvlText w:val="•"/>
      <w:lvlJc w:val="left"/>
      <w:pPr>
        <w:ind w:left="3297" w:hanging="272"/>
      </w:pPr>
      <w:rPr>
        <w:rFonts w:hint="default"/>
        <w:lang w:val="en-US" w:eastAsia="en-US" w:bidi="ar-SA"/>
      </w:rPr>
    </w:lvl>
    <w:lvl w:ilvl="3" w:tplc="95FC6182">
      <w:numFmt w:val="bullet"/>
      <w:lvlText w:val="•"/>
      <w:lvlJc w:val="left"/>
      <w:pPr>
        <w:ind w:left="4155" w:hanging="272"/>
      </w:pPr>
      <w:rPr>
        <w:rFonts w:hint="default"/>
        <w:lang w:val="en-US" w:eastAsia="en-US" w:bidi="ar-SA"/>
      </w:rPr>
    </w:lvl>
    <w:lvl w:ilvl="4" w:tplc="4EBE3840">
      <w:numFmt w:val="bullet"/>
      <w:lvlText w:val="•"/>
      <w:lvlJc w:val="left"/>
      <w:pPr>
        <w:ind w:left="5014" w:hanging="272"/>
      </w:pPr>
      <w:rPr>
        <w:rFonts w:hint="default"/>
        <w:lang w:val="en-US" w:eastAsia="en-US" w:bidi="ar-SA"/>
      </w:rPr>
    </w:lvl>
    <w:lvl w:ilvl="5" w:tplc="51D0F120">
      <w:numFmt w:val="bullet"/>
      <w:lvlText w:val="•"/>
      <w:lvlJc w:val="left"/>
      <w:pPr>
        <w:ind w:left="5873" w:hanging="272"/>
      </w:pPr>
      <w:rPr>
        <w:rFonts w:hint="default"/>
        <w:lang w:val="en-US" w:eastAsia="en-US" w:bidi="ar-SA"/>
      </w:rPr>
    </w:lvl>
    <w:lvl w:ilvl="6" w:tplc="076CF2D0">
      <w:numFmt w:val="bullet"/>
      <w:lvlText w:val="•"/>
      <w:lvlJc w:val="left"/>
      <w:pPr>
        <w:ind w:left="6731" w:hanging="272"/>
      </w:pPr>
      <w:rPr>
        <w:rFonts w:hint="default"/>
        <w:lang w:val="en-US" w:eastAsia="en-US" w:bidi="ar-SA"/>
      </w:rPr>
    </w:lvl>
    <w:lvl w:ilvl="7" w:tplc="D44ABC4A">
      <w:numFmt w:val="bullet"/>
      <w:lvlText w:val="•"/>
      <w:lvlJc w:val="left"/>
      <w:pPr>
        <w:ind w:left="7590" w:hanging="272"/>
      </w:pPr>
      <w:rPr>
        <w:rFonts w:hint="default"/>
        <w:lang w:val="en-US" w:eastAsia="en-US" w:bidi="ar-SA"/>
      </w:rPr>
    </w:lvl>
    <w:lvl w:ilvl="8" w:tplc="15247792">
      <w:numFmt w:val="bullet"/>
      <w:lvlText w:val="•"/>
      <w:lvlJc w:val="left"/>
      <w:pPr>
        <w:ind w:left="8449" w:hanging="27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0"/>
    <w:rsid w:val="00096D06"/>
    <w:rsid w:val="000D3D8D"/>
    <w:rsid w:val="00194F3E"/>
    <w:rsid w:val="001C507C"/>
    <w:rsid w:val="00205E56"/>
    <w:rsid w:val="00206CFC"/>
    <w:rsid w:val="00241F27"/>
    <w:rsid w:val="00244B38"/>
    <w:rsid w:val="00245C19"/>
    <w:rsid w:val="002B4077"/>
    <w:rsid w:val="002C4F33"/>
    <w:rsid w:val="002C7230"/>
    <w:rsid w:val="002C76A0"/>
    <w:rsid w:val="00394DB4"/>
    <w:rsid w:val="003C3EED"/>
    <w:rsid w:val="004416CE"/>
    <w:rsid w:val="004F0F07"/>
    <w:rsid w:val="00527A61"/>
    <w:rsid w:val="005560BE"/>
    <w:rsid w:val="00557F55"/>
    <w:rsid w:val="005F3510"/>
    <w:rsid w:val="00617133"/>
    <w:rsid w:val="0064074C"/>
    <w:rsid w:val="006439DF"/>
    <w:rsid w:val="00654153"/>
    <w:rsid w:val="00661A39"/>
    <w:rsid w:val="00676923"/>
    <w:rsid w:val="007117F8"/>
    <w:rsid w:val="00721DDC"/>
    <w:rsid w:val="00770AFC"/>
    <w:rsid w:val="0078165F"/>
    <w:rsid w:val="007872C1"/>
    <w:rsid w:val="007A29B7"/>
    <w:rsid w:val="007C4E9F"/>
    <w:rsid w:val="007C7311"/>
    <w:rsid w:val="007F0444"/>
    <w:rsid w:val="007F07C5"/>
    <w:rsid w:val="007F70BA"/>
    <w:rsid w:val="00813FF7"/>
    <w:rsid w:val="008B122C"/>
    <w:rsid w:val="008D169A"/>
    <w:rsid w:val="008F6FDC"/>
    <w:rsid w:val="009064E7"/>
    <w:rsid w:val="0097172A"/>
    <w:rsid w:val="009C476C"/>
    <w:rsid w:val="00A3306D"/>
    <w:rsid w:val="00A6372D"/>
    <w:rsid w:val="00AC281C"/>
    <w:rsid w:val="00C12F99"/>
    <w:rsid w:val="00C2300D"/>
    <w:rsid w:val="00CF2615"/>
    <w:rsid w:val="00D97471"/>
    <w:rsid w:val="00D97822"/>
    <w:rsid w:val="00DC07B1"/>
    <w:rsid w:val="00E02945"/>
    <w:rsid w:val="00E4695B"/>
    <w:rsid w:val="00E61275"/>
    <w:rsid w:val="00E72490"/>
    <w:rsid w:val="00E77015"/>
    <w:rsid w:val="00EC2061"/>
    <w:rsid w:val="00F4015C"/>
    <w:rsid w:val="00F66E44"/>
    <w:rsid w:val="00F96F0D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ABC6"/>
  <w15:docId w15:val="{3CC458C1-B0EB-4D73-834A-CEE9E008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0"/>
      <w:ind w:left="5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2" w:lineRule="exact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341" w:lineRule="exact"/>
      <w:ind w:left="1970" w:right="1971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80" w:hanging="875"/>
    </w:pPr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107"/>
    </w:pPr>
  </w:style>
  <w:style w:type="character" w:customStyle="1" w:styleId="eop">
    <w:name w:val="eop"/>
    <w:basedOn w:val="DefaultParagraphFont"/>
    <w:rsid w:val="00557F55"/>
  </w:style>
  <w:style w:type="paragraph" w:styleId="Header">
    <w:name w:val="header"/>
    <w:basedOn w:val="Normal"/>
    <w:link w:val="HeaderChar"/>
    <w:uiPriority w:val="99"/>
    <w:unhideWhenUsed/>
    <w:rsid w:val="009C4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4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6C"/>
    <w:rPr>
      <w:rFonts w:ascii="Arial" w:eastAsia="Arial" w:hAnsi="Arial" w:cs="Arial"/>
    </w:rPr>
  </w:style>
  <w:style w:type="paragraph" w:customStyle="1" w:styleId="Default">
    <w:name w:val="Default"/>
    <w:rsid w:val="00AC281C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para">
    <w:name w:val="sub para"/>
    <w:basedOn w:val="Normal"/>
    <w:rsid w:val="007F07C5"/>
    <w:pPr>
      <w:widowControl/>
      <w:autoSpaceDE/>
      <w:autoSpaceDN/>
      <w:spacing w:before="60" w:after="60"/>
      <w:ind w:left="1134" w:right="794" w:hanging="567"/>
      <w:jc w:val="both"/>
    </w:pPr>
    <w:rPr>
      <w:rFonts w:ascii="Arial Narrow" w:eastAsia="Times New Roman" w:hAnsi="Arial Narrow" w:cs="Times New Roman"/>
      <w:szCs w:val="20"/>
      <w:lang w:val="en-AU"/>
    </w:rPr>
  </w:style>
  <w:style w:type="table" w:styleId="TableGrid">
    <w:name w:val="Table Grid"/>
    <w:basedOn w:val="TableNormal"/>
    <w:uiPriority w:val="39"/>
    <w:rsid w:val="0024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1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45F85EE72B84DA02316E95F73D2DA" ma:contentTypeVersion="13" ma:contentTypeDescription="Opprett et nytt dokument." ma:contentTypeScope="" ma:versionID="ac40ce29edc8bd216d0b41bccc39f7d3">
  <xsd:schema xmlns:xsd="http://www.w3.org/2001/XMLSchema" xmlns:xs="http://www.w3.org/2001/XMLSchema" xmlns:p="http://schemas.microsoft.com/office/2006/metadata/properties" xmlns:ns3="1e52658f-24a5-4112-b3a3-8c5462631a9d" xmlns:ns4="a3b87c6b-83c5-431b-94dc-6ddc8113accc" targetNamespace="http://schemas.microsoft.com/office/2006/metadata/properties" ma:root="true" ma:fieldsID="3170b8f86015382b7c2723679dda2da7" ns3:_="" ns4:_="">
    <xsd:import namespace="1e52658f-24a5-4112-b3a3-8c5462631a9d"/>
    <xsd:import namespace="a3b87c6b-83c5-431b-94dc-6ddc8113ac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658f-24a5-4112-b3a3-8c5462631a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7c6b-83c5-431b-94dc-6ddc8113a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4FA59-81B3-4922-88D9-3DA3CAA8D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AB95F-A8B2-47CA-A189-8A0731585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F85A0-4C45-4A72-B034-6820B6AF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658f-24a5-4112-b3a3-8c5462631a9d"/>
    <ds:schemaRef ds:uri="a3b87c6b-83c5-431b-94dc-6ddc8113a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Kartverk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Timmins</dc:creator>
  <cp:lastModifiedBy>Edward Hands</cp:lastModifiedBy>
  <cp:revision>4</cp:revision>
  <dcterms:created xsi:type="dcterms:W3CDTF">2021-11-12T08:04:00Z</dcterms:created>
  <dcterms:modified xsi:type="dcterms:W3CDTF">2021-11-12T08:21:00Z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2020-12-16T00:00:00Z</vt:filetime>
  </property>
  <property fmtid="{D5CDD505-2E9C-101B-9397-08002B2CF9AE}" pid="5" name="ContentTypeId">
    <vt:lpwstr>0x01010082E45F85EE72B84DA02316E95F73D2DA</vt:lpwstr>
  </property>
</Properties>
</file>