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2430"/>
        <w:gridCol w:w="1911"/>
      </w:tblGrid>
      <w:tr w:rsidR="00F76F6B" w14:paraId="5717AFF4" w14:textId="77777777" w:rsidTr="00C95D90">
        <w:tc>
          <w:tcPr>
            <w:tcW w:w="4675" w:type="dxa"/>
            <w:vAlign w:val="center"/>
          </w:tcPr>
          <w:p w14:paraId="286CF603" w14:textId="77777777" w:rsidR="00F76F6B" w:rsidRDefault="00F76F6B" w:rsidP="00C95D90">
            <w:pPr>
              <w:jc w:val="both"/>
            </w:pPr>
            <w:r>
              <w:rPr>
                <w:noProof/>
              </w:rPr>
              <w:drawing>
                <wp:inline distT="0" distB="0" distL="0" distR="0" wp14:anchorId="0AC6FBD0" wp14:editId="0EB71D2D">
                  <wp:extent cx="704088" cy="704088"/>
                  <wp:effectExtent l="0" t="0" r="1270" b="1270"/>
                  <wp:docPr id="890995908" name="Picture 2"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995908" name="Picture 2" descr="A close-up of a white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inline>
              </w:drawing>
            </w:r>
            <w:r>
              <w:rPr>
                <w:noProof/>
              </w:rPr>
              <w:drawing>
                <wp:inline distT="0" distB="0" distL="0" distR="0" wp14:anchorId="21E70D2F" wp14:editId="37F182A4">
                  <wp:extent cx="704088" cy="704088"/>
                  <wp:effectExtent l="0" t="0" r="1270" b="1270"/>
                  <wp:docPr id="1386998223" name="Picture 4"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998223" name="Picture 4" descr="A blue and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inline>
              </w:drawing>
            </w:r>
            <w:r>
              <w:rPr>
                <w:noProof/>
              </w:rPr>
              <w:drawing>
                <wp:inline distT="0" distB="0" distL="0" distR="0" wp14:anchorId="472D9AC1" wp14:editId="3B96BB66">
                  <wp:extent cx="704088" cy="704088"/>
                  <wp:effectExtent l="0" t="0" r="1270" b="1270"/>
                  <wp:docPr id="1942077319" name="Picture 1" descr="A yellow anchor with a chain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077319" name="Picture 1" descr="A yellow anchor with a chain on a blu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inline>
              </w:drawing>
            </w:r>
            <w:r>
              <w:rPr>
                <w:noProof/>
              </w:rPr>
              <w:drawing>
                <wp:inline distT="0" distB="0" distL="0" distR="0" wp14:anchorId="20A0175E" wp14:editId="38AD266C">
                  <wp:extent cx="698740" cy="702288"/>
                  <wp:effectExtent l="0" t="0" r="6350" b="3175"/>
                  <wp:docPr id="991314910" name="Picture 3"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314910" name="Picture 3" descr="A close-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8740" cy="702288"/>
                          </a:xfrm>
                          <a:prstGeom prst="rect">
                            <a:avLst/>
                          </a:prstGeom>
                        </pic:spPr>
                      </pic:pic>
                    </a:graphicData>
                  </a:graphic>
                </wp:inline>
              </w:drawing>
            </w:r>
          </w:p>
        </w:tc>
        <w:tc>
          <w:tcPr>
            <w:tcW w:w="2430" w:type="dxa"/>
            <w:vAlign w:val="center"/>
          </w:tcPr>
          <w:p w14:paraId="7726A5E8" w14:textId="77777777" w:rsidR="00F76F6B" w:rsidRPr="007B6912" w:rsidRDefault="00F76F6B" w:rsidP="00C95D90">
            <w:pPr>
              <w:rPr>
                <w:rFonts w:asciiTheme="minorHAnsi" w:hAnsiTheme="minorHAnsi" w:cstheme="minorHAnsi"/>
                <w:sz w:val="18"/>
                <w:szCs w:val="18"/>
              </w:rPr>
            </w:pPr>
            <w:r w:rsidRPr="007B6912">
              <w:rPr>
                <w:rFonts w:asciiTheme="minorHAnsi" w:hAnsiTheme="minorHAnsi" w:cstheme="minorHAnsi"/>
                <w:sz w:val="18"/>
                <w:szCs w:val="18"/>
              </w:rPr>
              <w:t xml:space="preserve">4b </w:t>
            </w:r>
            <w:proofErr w:type="spellStart"/>
            <w:r w:rsidRPr="007B6912">
              <w:rPr>
                <w:rFonts w:asciiTheme="minorHAnsi" w:hAnsiTheme="minorHAnsi" w:cstheme="minorHAnsi"/>
                <w:sz w:val="18"/>
                <w:szCs w:val="18"/>
              </w:rPr>
              <w:t>quai</w:t>
            </w:r>
            <w:proofErr w:type="spellEnd"/>
            <w:r w:rsidRPr="007B6912">
              <w:rPr>
                <w:rFonts w:asciiTheme="minorHAnsi" w:hAnsiTheme="minorHAnsi" w:cstheme="minorHAnsi"/>
                <w:sz w:val="18"/>
                <w:szCs w:val="18"/>
              </w:rPr>
              <w:t xml:space="preserve"> Antoine 1er</w:t>
            </w:r>
          </w:p>
          <w:p w14:paraId="20B7A6CD" w14:textId="77777777" w:rsidR="00F76F6B" w:rsidRPr="007B6912" w:rsidRDefault="00F76F6B" w:rsidP="00C95D90">
            <w:pPr>
              <w:rPr>
                <w:rFonts w:asciiTheme="minorHAnsi" w:hAnsiTheme="minorHAnsi" w:cstheme="minorHAnsi"/>
                <w:sz w:val="18"/>
                <w:szCs w:val="18"/>
              </w:rPr>
            </w:pPr>
            <w:r w:rsidRPr="007B6912">
              <w:rPr>
                <w:rFonts w:asciiTheme="minorHAnsi" w:hAnsiTheme="minorHAnsi" w:cstheme="minorHAnsi"/>
                <w:sz w:val="18"/>
                <w:szCs w:val="18"/>
              </w:rPr>
              <w:t>B.P. 445</w:t>
            </w:r>
          </w:p>
          <w:p w14:paraId="4086C124" w14:textId="77777777" w:rsidR="00F76F6B" w:rsidRPr="007B6912" w:rsidRDefault="00F76F6B" w:rsidP="00C95D90">
            <w:pPr>
              <w:rPr>
                <w:rFonts w:asciiTheme="minorHAnsi" w:hAnsiTheme="minorHAnsi" w:cstheme="minorHAnsi"/>
                <w:sz w:val="18"/>
                <w:szCs w:val="18"/>
              </w:rPr>
            </w:pPr>
            <w:r w:rsidRPr="007B6912">
              <w:rPr>
                <w:rFonts w:asciiTheme="minorHAnsi" w:hAnsiTheme="minorHAnsi" w:cstheme="minorHAnsi"/>
                <w:sz w:val="18"/>
                <w:szCs w:val="18"/>
              </w:rPr>
              <w:t>MC 98011 MONACO CEDEX</w:t>
            </w:r>
          </w:p>
          <w:p w14:paraId="0CAC648A" w14:textId="77777777" w:rsidR="00F76F6B" w:rsidRPr="007B6912" w:rsidRDefault="00F76F6B" w:rsidP="00C95D90">
            <w:pPr>
              <w:rPr>
                <w:rFonts w:asciiTheme="minorHAnsi" w:hAnsiTheme="minorHAnsi" w:cstheme="minorHAnsi"/>
                <w:sz w:val="18"/>
                <w:szCs w:val="18"/>
              </w:rPr>
            </w:pPr>
            <w:r w:rsidRPr="007B6912">
              <w:rPr>
                <w:rFonts w:asciiTheme="minorHAnsi" w:hAnsiTheme="minorHAnsi" w:cstheme="minorHAnsi"/>
                <w:sz w:val="18"/>
                <w:szCs w:val="18"/>
              </w:rPr>
              <w:t>PRINCIPALITY OF MONACO</w:t>
            </w:r>
          </w:p>
        </w:tc>
        <w:tc>
          <w:tcPr>
            <w:tcW w:w="1911" w:type="dxa"/>
            <w:vAlign w:val="center"/>
          </w:tcPr>
          <w:p w14:paraId="4C99A92C" w14:textId="77777777" w:rsidR="00F76F6B" w:rsidRPr="007B6912" w:rsidRDefault="00F76F6B" w:rsidP="00C95D90">
            <w:pPr>
              <w:rPr>
                <w:rFonts w:asciiTheme="minorHAnsi" w:hAnsiTheme="minorHAnsi" w:cstheme="minorHAnsi"/>
                <w:sz w:val="18"/>
                <w:szCs w:val="18"/>
              </w:rPr>
            </w:pPr>
            <w:r w:rsidRPr="007B6912">
              <w:rPr>
                <w:rFonts w:asciiTheme="minorHAnsi" w:hAnsiTheme="minorHAnsi" w:cstheme="minorHAnsi"/>
                <w:sz w:val="18"/>
                <w:szCs w:val="18"/>
              </w:rPr>
              <w:t>Tel: +377 93 10 81 00</w:t>
            </w:r>
          </w:p>
          <w:p w14:paraId="3DFBC8D0" w14:textId="77777777" w:rsidR="00F76F6B" w:rsidRPr="007B6912" w:rsidRDefault="00F76F6B" w:rsidP="00C95D90">
            <w:pPr>
              <w:rPr>
                <w:rFonts w:asciiTheme="minorHAnsi" w:hAnsiTheme="minorHAnsi" w:cstheme="minorHAnsi"/>
                <w:sz w:val="18"/>
                <w:szCs w:val="18"/>
              </w:rPr>
            </w:pPr>
            <w:r w:rsidRPr="007B6912">
              <w:rPr>
                <w:rFonts w:asciiTheme="minorHAnsi" w:hAnsiTheme="minorHAnsi" w:cstheme="minorHAnsi"/>
                <w:sz w:val="18"/>
                <w:szCs w:val="18"/>
              </w:rPr>
              <w:t>Fax: +377 93 10 81 40</w:t>
            </w:r>
          </w:p>
          <w:p w14:paraId="7F53A681" w14:textId="77777777" w:rsidR="00F76F6B" w:rsidRPr="007B6912" w:rsidRDefault="00F76F6B" w:rsidP="00C95D90">
            <w:pPr>
              <w:rPr>
                <w:rFonts w:asciiTheme="minorHAnsi" w:hAnsiTheme="minorHAnsi" w:cstheme="minorHAnsi"/>
                <w:sz w:val="18"/>
                <w:szCs w:val="18"/>
              </w:rPr>
            </w:pPr>
            <w:r w:rsidRPr="007B6912">
              <w:rPr>
                <w:rFonts w:asciiTheme="minorHAnsi" w:hAnsiTheme="minorHAnsi" w:cstheme="minorHAnsi"/>
                <w:sz w:val="18"/>
                <w:szCs w:val="18"/>
              </w:rPr>
              <w:t xml:space="preserve">Email: </w:t>
            </w:r>
            <w:hyperlink r:id="rId10" w:history="1">
              <w:r w:rsidRPr="007B6912">
                <w:rPr>
                  <w:rStyle w:val="Hyperlink"/>
                  <w:rFonts w:asciiTheme="minorHAnsi" w:hAnsiTheme="minorHAnsi" w:cstheme="minorHAnsi"/>
                  <w:sz w:val="18"/>
                  <w:szCs w:val="18"/>
                </w:rPr>
                <w:t>info@iho.int</w:t>
              </w:r>
            </w:hyperlink>
          </w:p>
          <w:p w14:paraId="4727A5FD" w14:textId="77777777" w:rsidR="00F76F6B" w:rsidRPr="007B6912" w:rsidRDefault="00F76F6B" w:rsidP="00C95D90">
            <w:pPr>
              <w:rPr>
                <w:rFonts w:asciiTheme="minorHAnsi" w:hAnsiTheme="minorHAnsi" w:cstheme="minorHAnsi"/>
                <w:sz w:val="18"/>
                <w:szCs w:val="18"/>
              </w:rPr>
            </w:pPr>
            <w:r w:rsidRPr="007B6912">
              <w:rPr>
                <w:rFonts w:asciiTheme="minorHAnsi" w:hAnsiTheme="minorHAnsi" w:cstheme="minorHAnsi"/>
                <w:sz w:val="18"/>
                <w:szCs w:val="18"/>
              </w:rPr>
              <w:t>Web: www.iho.int</w:t>
            </w:r>
          </w:p>
        </w:tc>
      </w:tr>
    </w:tbl>
    <w:p w14:paraId="42C603B3" w14:textId="77777777" w:rsidR="00F76F6B" w:rsidRDefault="00F76F6B" w:rsidP="00F76F6B"/>
    <w:tbl>
      <w:tblPr>
        <w:tblStyle w:val="TableGrid"/>
        <w:tblW w:w="0" w:type="auto"/>
        <w:tblBorders>
          <w:top w:val="single" w:sz="24" w:space="0" w:color="000099"/>
          <w:left w:val="single" w:sz="24" w:space="0" w:color="000099"/>
          <w:bottom w:val="single" w:sz="24" w:space="0" w:color="000099"/>
          <w:right w:val="single" w:sz="24" w:space="0" w:color="000099"/>
          <w:insideH w:val="single" w:sz="24" w:space="0" w:color="000099"/>
          <w:insideV w:val="single" w:sz="24" w:space="0" w:color="000099"/>
        </w:tblBorders>
        <w:tblLook w:val="04A0" w:firstRow="1" w:lastRow="0" w:firstColumn="1" w:lastColumn="0" w:noHBand="0" w:noVBand="1"/>
      </w:tblPr>
      <w:tblGrid>
        <w:gridCol w:w="9016"/>
      </w:tblGrid>
      <w:tr w:rsidR="00F76F6B" w14:paraId="3605B660" w14:textId="77777777" w:rsidTr="00C95D90">
        <w:tc>
          <w:tcPr>
            <w:tcW w:w="9016" w:type="dxa"/>
          </w:tcPr>
          <w:p w14:paraId="4188BE9F" w14:textId="77777777" w:rsidR="00F76F6B" w:rsidRPr="00ED0FA9" w:rsidRDefault="00F76F6B" w:rsidP="00C95D90">
            <w:pPr>
              <w:spacing w:line="259" w:lineRule="auto"/>
              <w:jc w:val="center"/>
              <w:rPr>
                <w:b/>
                <w:bCs/>
                <w:color w:val="000099"/>
                <w:spacing w:val="16"/>
                <w:sz w:val="24"/>
                <w:szCs w:val="24"/>
              </w:rPr>
            </w:pPr>
            <w:r w:rsidRPr="00ED0FA9">
              <w:rPr>
                <w:b/>
                <w:bCs/>
                <w:color w:val="000099"/>
                <w:spacing w:val="16"/>
                <w:sz w:val="24"/>
                <w:szCs w:val="24"/>
              </w:rPr>
              <w:t>NAUTICAL CARTOGRAPHY WORKING GROUP</w:t>
            </w:r>
          </w:p>
        </w:tc>
      </w:tr>
    </w:tbl>
    <w:p w14:paraId="143247D6" w14:textId="77777777" w:rsidR="00F76F6B" w:rsidRDefault="00F76F6B" w:rsidP="00F76F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160"/>
        <w:gridCol w:w="2536"/>
      </w:tblGrid>
      <w:tr w:rsidR="00F76F6B" w14:paraId="5B186D31" w14:textId="77777777" w:rsidTr="00C95D90">
        <w:tc>
          <w:tcPr>
            <w:tcW w:w="4320" w:type="dxa"/>
            <w:shd w:val="clear" w:color="auto" w:fill="auto"/>
          </w:tcPr>
          <w:p w14:paraId="67FA90BE" w14:textId="77777777" w:rsidR="00F76F6B" w:rsidRPr="00181CA4" w:rsidRDefault="00F76F6B" w:rsidP="00C95D90">
            <w:pPr>
              <w:tabs>
                <w:tab w:val="left" w:pos="285"/>
              </w:tabs>
              <w:rPr>
                <w:rFonts w:asciiTheme="minorHAnsi" w:hAnsiTheme="minorHAnsi" w:cstheme="minorHAnsi"/>
                <w:sz w:val="18"/>
                <w:szCs w:val="18"/>
              </w:rPr>
            </w:pPr>
            <w:r w:rsidRPr="00181CA4">
              <w:rPr>
                <w:rFonts w:asciiTheme="minorHAnsi" w:hAnsiTheme="minorHAnsi" w:cstheme="minorHAnsi"/>
                <w:sz w:val="18"/>
                <w:szCs w:val="18"/>
              </w:rPr>
              <w:t>Chair: Mikko Hovi</w:t>
            </w:r>
          </w:p>
          <w:p w14:paraId="128FA51D" w14:textId="77777777" w:rsidR="00F76F6B" w:rsidRPr="00181CA4" w:rsidRDefault="00F76F6B" w:rsidP="00C95D90">
            <w:pPr>
              <w:tabs>
                <w:tab w:val="left" w:pos="285"/>
              </w:tabs>
              <w:rPr>
                <w:rFonts w:asciiTheme="minorHAnsi" w:hAnsiTheme="minorHAnsi" w:cstheme="minorHAnsi"/>
                <w:sz w:val="18"/>
                <w:szCs w:val="18"/>
              </w:rPr>
            </w:pPr>
            <w:r w:rsidRPr="00181CA4">
              <w:rPr>
                <w:rFonts w:asciiTheme="minorHAnsi" w:hAnsiTheme="minorHAnsi" w:cstheme="minorHAnsi"/>
                <w:sz w:val="18"/>
                <w:szCs w:val="18"/>
              </w:rPr>
              <w:t xml:space="preserve">Finnish Transport and Communications Agency </w:t>
            </w:r>
            <w:proofErr w:type="spellStart"/>
            <w:r w:rsidRPr="00181CA4">
              <w:rPr>
                <w:rFonts w:asciiTheme="minorHAnsi" w:hAnsiTheme="minorHAnsi" w:cstheme="minorHAnsi"/>
                <w:sz w:val="18"/>
                <w:szCs w:val="18"/>
              </w:rPr>
              <w:t>Traficom</w:t>
            </w:r>
            <w:proofErr w:type="spellEnd"/>
          </w:p>
        </w:tc>
        <w:tc>
          <w:tcPr>
            <w:tcW w:w="2160" w:type="dxa"/>
            <w:shd w:val="clear" w:color="auto" w:fill="auto"/>
          </w:tcPr>
          <w:p w14:paraId="2BBE0614" w14:textId="77777777" w:rsidR="00F76F6B" w:rsidRPr="00181CA4" w:rsidRDefault="00F76F6B" w:rsidP="00C95D90">
            <w:pPr>
              <w:jc w:val="right"/>
              <w:rPr>
                <w:rFonts w:asciiTheme="minorHAnsi" w:hAnsiTheme="minorHAnsi" w:cstheme="minorHAnsi"/>
                <w:sz w:val="18"/>
                <w:szCs w:val="18"/>
              </w:rPr>
            </w:pPr>
          </w:p>
        </w:tc>
        <w:tc>
          <w:tcPr>
            <w:tcW w:w="2536" w:type="dxa"/>
            <w:shd w:val="clear" w:color="auto" w:fill="auto"/>
          </w:tcPr>
          <w:p w14:paraId="33FBFE1D" w14:textId="77777777" w:rsidR="00F76F6B" w:rsidRPr="00181CA4" w:rsidRDefault="00F76F6B" w:rsidP="00C95D90">
            <w:pPr>
              <w:tabs>
                <w:tab w:val="left" w:pos="435"/>
              </w:tabs>
              <w:rPr>
                <w:rFonts w:asciiTheme="minorHAnsi" w:hAnsiTheme="minorHAnsi" w:cstheme="minorHAnsi"/>
                <w:sz w:val="18"/>
                <w:szCs w:val="18"/>
              </w:rPr>
            </w:pPr>
            <w:r w:rsidRPr="00181CA4">
              <w:rPr>
                <w:rFonts w:asciiTheme="minorHAnsi" w:hAnsiTheme="minorHAnsi" w:cstheme="minorHAnsi"/>
                <w:sz w:val="18"/>
                <w:szCs w:val="18"/>
              </w:rPr>
              <w:t>Secretary: Patricia Sheatsley</w:t>
            </w:r>
          </w:p>
          <w:p w14:paraId="655077FF" w14:textId="77777777" w:rsidR="00F76F6B" w:rsidRPr="00181CA4" w:rsidRDefault="00F76F6B" w:rsidP="00C95D90">
            <w:pPr>
              <w:tabs>
                <w:tab w:val="left" w:pos="435"/>
              </w:tabs>
              <w:rPr>
                <w:rFonts w:asciiTheme="minorHAnsi" w:hAnsiTheme="minorHAnsi" w:cstheme="minorHAnsi"/>
                <w:sz w:val="18"/>
                <w:szCs w:val="18"/>
              </w:rPr>
            </w:pPr>
            <w:r w:rsidRPr="00181CA4">
              <w:rPr>
                <w:rFonts w:asciiTheme="minorHAnsi" w:hAnsiTheme="minorHAnsi" w:cstheme="minorHAnsi"/>
                <w:sz w:val="18"/>
                <w:szCs w:val="18"/>
              </w:rPr>
              <w:t>ESRI</w:t>
            </w:r>
          </w:p>
        </w:tc>
      </w:tr>
      <w:tr w:rsidR="00F76F6B" w14:paraId="17614CAB" w14:textId="77777777" w:rsidTr="00C95D90">
        <w:trPr>
          <w:trHeight w:val="74"/>
        </w:trPr>
        <w:tc>
          <w:tcPr>
            <w:tcW w:w="4320" w:type="dxa"/>
            <w:shd w:val="clear" w:color="auto" w:fill="auto"/>
          </w:tcPr>
          <w:p w14:paraId="5321DECB" w14:textId="77777777" w:rsidR="00F76F6B" w:rsidRPr="00181CA4" w:rsidRDefault="00F76F6B" w:rsidP="00C95D90">
            <w:pPr>
              <w:rPr>
                <w:rFonts w:asciiTheme="minorHAnsi" w:hAnsiTheme="minorHAnsi" w:cstheme="minorHAnsi"/>
                <w:sz w:val="18"/>
                <w:szCs w:val="18"/>
              </w:rPr>
            </w:pPr>
            <w:r w:rsidRPr="00181CA4">
              <w:rPr>
                <w:rFonts w:asciiTheme="minorHAnsi" w:hAnsiTheme="minorHAnsi" w:cstheme="minorHAnsi"/>
                <w:sz w:val="18"/>
                <w:szCs w:val="18"/>
              </w:rPr>
              <w:t>Tel: +358 29 534 6730</w:t>
            </w:r>
          </w:p>
          <w:p w14:paraId="556D0476" w14:textId="77777777" w:rsidR="00F76F6B" w:rsidRPr="00181CA4" w:rsidRDefault="00F76F6B" w:rsidP="00C95D90">
            <w:pPr>
              <w:rPr>
                <w:rFonts w:asciiTheme="minorHAnsi" w:hAnsiTheme="minorHAnsi" w:cstheme="minorHAnsi"/>
                <w:sz w:val="18"/>
                <w:szCs w:val="18"/>
              </w:rPr>
            </w:pPr>
            <w:r w:rsidRPr="00181CA4">
              <w:rPr>
                <w:rFonts w:asciiTheme="minorHAnsi" w:hAnsiTheme="minorHAnsi" w:cstheme="minorHAnsi"/>
                <w:sz w:val="18"/>
                <w:szCs w:val="18"/>
              </w:rPr>
              <w:t xml:space="preserve">Email: </w:t>
            </w:r>
            <w:hyperlink r:id="rId11" w:history="1">
              <w:r w:rsidRPr="00181CA4">
                <w:rPr>
                  <w:rStyle w:val="Hyperlink"/>
                  <w:rFonts w:asciiTheme="minorHAnsi" w:hAnsiTheme="minorHAnsi" w:cstheme="minorHAnsi"/>
                  <w:sz w:val="18"/>
                  <w:szCs w:val="18"/>
                  <w:bdr w:val="none" w:sz="0" w:space="0" w:color="auto" w:frame="1"/>
                  <w:shd w:val="clear" w:color="auto" w:fill="FFFFFF"/>
                </w:rPr>
                <w:t>mikko.hovi@traficom.fi</w:t>
              </w:r>
            </w:hyperlink>
            <w:r w:rsidRPr="00181CA4">
              <w:rPr>
                <w:rFonts w:asciiTheme="minorHAnsi" w:hAnsiTheme="minorHAnsi" w:cstheme="minorHAnsi"/>
                <w:color w:val="808080"/>
                <w:sz w:val="18"/>
                <w:szCs w:val="18"/>
                <w:shd w:val="clear" w:color="auto" w:fill="FFFFFF"/>
              </w:rPr>
              <w:t> </w:t>
            </w:r>
          </w:p>
        </w:tc>
        <w:tc>
          <w:tcPr>
            <w:tcW w:w="2160" w:type="dxa"/>
            <w:shd w:val="clear" w:color="auto" w:fill="auto"/>
          </w:tcPr>
          <w:p w14:paraId="5251003A" w14:textId="77777777" w:rsidR="00F76F6B" w:rsidRPr="00181CA4" w:rsidRDefault="00F76F6B" w:rsidP="00C95D90">
            <w:pPr>
              <w:jc w:val="right"/>
              <w:rPr>
                <w:rFonts w:asciiTheme="minorHAnsi" w:hAnsiTheme="minorHAnsi" w:cstheme="minorHAnsi"/>
                <w:sz w:val="18"/>
                <w:szCs w:val="18"/>
              </w:rPr>
            </w:pPr>
          </w:p>
        </w:tc>
        <w:tc>
          <w:tcPr>
            <w:tcW w:w="2536" w:type="dxa"/>
            <w:shd w:val="clear" w:color="auto" w:fill="auto"/>
          </w:tcPr>
          <w:p w14:paraId="0882975A" w14:textId="77777777" w:rsidR="00F76F6B" w:rsidRPr="00181CA4" w:rsidRDefault="00F76F6B" w:rsidP="00C95D90">
            <w:pPr>
              <w:rPr>
                <w:rFonts w:asciiTheme="minorHAnsi" w:hAnsiTheme="minorHAnsi" w:cstheme="minorHAnsi"/>
                <w:sz w:val="18"/>
                <w:szCs w:val="18"/>
              </w:rPr>
            </w:pPr>
            <w:r w:rsidRPr="00181CA4">
              <w:rPr>
                <w:rFonts w:asciiTheme="minorHAnsi" w:hAnsiTheme="minorHAnsi" w:cstheme="minorHAnsi"/>
                <w:sz w:val="18"/>
                <w:szCs w:val="18"/>
              </w:rPr>
              <w:t>Tel: +1 909 369 5048</w:t>
            </w:r>
          </w:p>
          <w:p w14:paraId="14F508DA" w14:textId="77777777" w:rsidR="00F76F6B" w:rsidRPr="00181CA4" w:rsidRDefault="00F76F6B" w:rsidP="00C95D90">
            <w:pPr>
              <w:rPr>
                <w:rFonts w:asciiTheme="minorHAnsi" w:hAnsiTheme="minorHAnsi" w:cstheme="minorHAnsi"/>
                <w:sz w:val="18"/>
                <w:szCs w:val="18"/>
              </w:rPr>
            </w:pPr>
            <w:r w:rsidRPr="00181CA4">
              <w:rPr>
                <w:rFonts w:asciiTheme="minorHAnsi" w:hAnsiTheme="minorHAnsi" w:cstheme="minorHAnsi"/>
                <w:sz w:val="18"/>
                <w:szCs w:val="18"/>
              </w:rPr>
              <w:t>Email: psheatsley@esri.com</w:t>
            </w:r>
          </w:p>
        </w:tc>
      </w:tr>
    </w:tbl>
    <w:p w14:paraId="738F9F93" w14:textId="77777777" w:rsidR="00F76F6B" w:rsidRDefault="00F76F6B" w:rsidP="001D7C3F">
      <w:pPr>
        <w:pStyle w:val="Heading1"/>
        <w:rPr>
          <w:lang w:val="en-GB"/>
        </w:rPr>
      </w:pPr>
    </w:p>
    <w:p w14:paraId="42B51BEE" w14:textId="57214A6A" w:rsidR="00ED7EDB" w:rsidRPr="009606B0" w:rsidRDefault="00F62565" w:rsidP="001D7C3F">
      <w:pPr>
        <w:pStyle w:val="Heading1"/>
        <w:rPr>
          <w:lang w:val="en-GB"/>
        </w:rPr>
      </w:pPr>
      <w:r w:rsidRPr="009606B0">
        <w:rPr>
          <w:lang w:val="en-GB"/>
        </w:rPr>
        <w:t>NCWG</w:t>
      </w:r>
      <w:r w:rsidRPr="009606B0">
        <w:rPr>
          <w:spacing w:val="-1"/>
          <w:lang w:val="en-GB"/>
        </w:rPr>
        <w:t xml:space="preserve"> </w:t>
      </w:r>
      <w:r w:rsidRPr="009606B0">
        <w:rPr>
          <w:lang w:val="en-GB"/>
        </w:rPr>
        <w:t xml:space="preserve">Letter </w:t>
      </w:r>
      <w:r w:rsidR="00D857C9">
        <w:rPr>
          <w:spacing w:val="-2"/>
          <w:lang w:val="en-GB"/>
        </w:rPr>
        <w:t>05</w:t>
      </w:r>
      <w:r w:rsidRPr="009606B0">
        <w:rPr>
          <w:spacing w:val="-2"/>
          <w:lang w:val="en-GB"/>
        </w:rPr>
        <w:t>/202</w:t>
      </w:r>
      <w:r w:rsidR="0000482B" w:rsidRPr="009606B0">
        <w:rPr>
          <w:spacing w:val="-2"/>
          <w:lang w:val="en-GB"/>
        </w:rPr>
        <w:t>4</w:t>
      </w:r>
    </w:p>
    <w:p w14:paraId="38FD4969" w14:textId="77777777" w:rsidR="00ED7EDB" w:rsidRPr="009606B0" w:rsidRDefault="00F62565" w:rsidP="001D7C3F">
      <w:pPr>
        <w:pStyle w:val="BodyText"/>
        <w:spacing w:before="163"/>
        <w:ind w:left="0"/>
        <w:rPr>
          <w:lang w:val="en-GB"/>
        </w:rPr>
      </w:pPr>
      <w:r w:rsidRPr="009606B0">
        <w:rPr>
          <w:lang w:val="en-GB"/>
        </w:rPr>
        <w:t>To</w:t>
      </w:r>
      <w:r w:rsidRPr="009606B0">
        <w:rPr>
          <w:spacing w:val="-2"/>
          <w:lang w:val="en-GB"/>
        </w:rPr>
        <w:t xml:space="preserve"> </w:t>
      </w:r>
      <w:r w:rsidRPr="009606B0">
        <w:rPr>
          <w:lang w:val="en-GB"/>
        </w:rPr>
        <w:t>NCWG</w:t>
      </w:r>
      <w:r w:rsidRPr="009606B0">
        <w:rPr>
          <w:spacing w:val="-1"/>
          <w:lang w:val="en-GB"/>
        </w:rPr>
        <w:t xml:space="preserve"> </w:t>
      </w:r>
      <w:r w:rsidRPr="009606B0">
        <w:rPr>
          <w:spacing w:val="-2"/>
          <w:lang w:val="en-GB"/>
        </w:rPr>
        <w:t>Members</w:t>
      </w:r>
    </w:p>
    <w:p w14:paraId="67F613B7" w14:textId="5C7D73FB" w:rsidR="00ED7EDB" w:rsidRPr="009606B0" w:rsidRDefault="009B618E" w:rsidP="001D7C3F">
      <w:pPr>
        <w:pStyle w:val="BodyText"/>
        <w:spacing w:before="159"/>
        <w:ind w:left="0" w:right="111"/>
        <w:jc w:val="right"/>
        <w:rPr>
          <w:lang w:val="en-GB"/>
        </w:rPr>
      </w:pPr>
      <w:r>
        <w:rPr>
          <w:lang w:val="en-GB"/>
        </w:rPr>
        <w:t>2</w:t>
      </w:r>
      <w:r w:rsidR="00DD6F0E">
        <w:rPr>
          <w:lang w:val="en-GB"/>
        </w:rPr>
        <w:t>3</w:t>
      </w:r>
      <w:r>
        <w:rPr>
          <w:lang w:val="en-GB"/>
        </w:rPr>
        <w:t xml:space="preserve"> April</w:t>
      </w:r>
      <w:r w:rsidR="00964D8B">
        <w:rPr>
          <w:lang w:val="en-GB"/>
        </w:rPr>
        <w:t xml:space="preserve"> </w:t>
      </w:r>
      <w:r w:rsidR="0000482B" w:rsidRPr="009606B0">
        <w:rPr>
          <w:lang w:val="en-GB"/>
        </w:rPr>
        <w:t>2024</w:t>
      </w:r>
    </w:p>
    <w:p w14:paraId="665F33C3" w14:textId="4903EBF7" w:rsidR="00ED7EDB" w:rsidRPr="009606B0" w:rsidRDefault="00ED7EDB" w:rsidP="001D7C3F">
      <w:pPr>
        <w:pStyle w:val="BodyText"/>
        <w:ind w:left="0"/>
        <w:rPr>
          <w:sz w:val="24"/>
          <w:lang w:val="en-GB"/>
        </w:rPr>
      </w:pPr>
    </w:p>
    <w:p w14:paraId="6D51A956" w14:textId="453BE5E9" w:rsidR="00ED7EDB" w:rsidRPr="009606B0" w:rsidRDefault="0000482B" w:rsidP="001D7C3F">
      <w:pPr>
        <w:pStyle w:val="BodyText"/>
        <w:spacing w:before="38"/>
        <w:ind w:left="0"/>
        <w:jc w:val="center"/>
        <w:rPr>
          <w:b/>
          <w:bCs/>
          <w:sz w:val="24"/>
          <w:u w:val="single"/>
          <w:lang w:val="en-GB"/>
        </w:rPr>
      </w:pPr>
      <w:r w:rsidRPr="009606B0">
        <w:rPr>
          <w:b/>
          <w:bCs/>
          <w:sz w:val="24"/>
          <w:u w:val="single"/>
          <w:lang w:val="en-GB"/>
        </w:rPr>
        <w:t xml:space="preserve">NCWG Base Symbology Project Team </w:t>
      </w:r>
      <w:r w:rsidR="008B61BA" w:rsidRPr="009606B0">
        <w:rPr>
          <w:b/>
          <w:bCs/>
          <w:sz w:val="24"/>
          <w:u w:val="single"/>
          <w:lang w:val="en-GB"/>
        </w:rPr>
        <w:t>r</w:t>
      </w:r>
      <w:r w:rsidRPr="009606B0">
        <w:rPr>
          <w:b/>
          <w:bCs/>
          <w:sz w:val="24"/>
          <w:u w:val="single"/>
          <w:lang w:val="en-GB"/>
        </w:rPr>
        <w:t>ecommendation</w:t>
      </w:r>
      <w:r w:rsidR="008B61BA" w:rsidRPr="009606B0">
        <w:rPr>
          <w:b/>
          <w:bCs/>
          <w:sz w:val="24"/>
          <w:u w:val="single"/>
          <w:lang w:val="en-GB"/>
        </w:rPr>
        <w:t xml:space="preserve"> </w:t>
      </w:r>
      <w:r w:rsidR="00E955A6" w:rsidRPr="009606B0">
        <w:rPr>
          <w:b/>
          <w:bCs/>
          <w:sz w:val="24"/>
          <w:u w:val="single"/>
          <w:lang w:val="en-GB"/>
        </w:rPr>
        <w:t>of</w:t>
      </w:r>
      <w:r w:rsidRPr="009606B0">
        <w:rPr>
          <w:b/>
          <w:bCs/>
          <w:sz w:val="24"/>
          <w:u w:val="single"/>
          <w:lang w:val="en-GB"/>
        </w:rPr>
        <w:br/>
        <w:t xml:space="preserve">Standard Colours </w:t>
      </w:r>
      <w:r w:rsidR="008B61BA" w:rsidRPr="009606B0">
        <w:rPr>
          <w:b/>
          <w:bCs/>
          <w:sz w:val="24"/>
          <w:u w:val="single"/>
          <w:lang w:val="en-GB"/>
        </w:rPr>
        <w:t xml:space="preserve">for the automated creation of </w:t>
      </w:r>
      <w:r w:rsidRPr="009606B0">
        <w:rPr>
          <w:b/>
          <w:bCs/>
          <w:sz w:val="24"/>
          <w:u w:val="single"/>
          <w:lang w:val="en-GB"/>
        </w:rPr>
        <w:t xml:space="preserve">ENC </w:t>
      </w:r>
      <w:r w:rsidR="008B61BA" w:rsidRPr="009606B0">
        <w:rPr>
          <w:b/>
          <w:bCs/>
          <w:sz w:val="24"/>
          <w:u w:val="single"/>
          <w:lang w:val="en-GB"/>
        </w:rPr>
        <w:t>d</w:t>
      </w:r>
      <w:r w:rsidRPr="009606B0">
        <w:rPr>
          <w:b/>
          <w:bCs/>
          <w:sz w:val="24"/>
          <w:u w:val="single"/>
          <w:lang w:val="en-GB"/>
        </w:rPr>
        <w:t xml:space="preserve">erived </w:t>
      </w:r>
      <w:r w:rsidR="008B61BA" w:rsidRPr="009606B0">
        <w:rPr>
          <w:b/>
          <w:bCs/>
          <w:sz w:val="24"/>
          <w:u w:val="single"/>
          <w:lang w:val="en-GB"/>
        </w:rPr>
        <w:t>p</w:t>
      </w:r>
      <w:r w:rsidRPr="009606B0">
        <w:rPr>
          <w:b/>
          <w:bCs/>
          <w:sz w:val="24"/>
          <w:u w:val="single"/>
          <w:lang w:val="en-GB"/>
        </w:rPr>
        <w:t xml:space="preserve">aper </w:t>
      </w:r>
      <w:r w:rsidR="008B61BA" w:rsidRPr="009606B0">
        <w:rPr>
          <w:b/>
          <w:bCs/>
          <w:sz w:val="24"/>
          <w:u w:val="single"/>
          <w:lang w:val="en-GB"/>
        </w:rPr>
        <w:t>c</w:t>
      </w:r>
      <w:r w:rsidRPr="009606B0">
        <w:rPr>
          <w:b/>
          <w:bCs/>
          <w:sz w:val="24"/>
          <w:u w:val="single"/>
          <w:lang w:val="en-GB"/>
        </w:rPr>
        <w:t>harts</w:t>
      </w:r>
    </w:p>
    <w:p w14:paraId="7FAA1FB6" w14:textId="77777777" w:rsidR="00ED7EDB" w:rsidRPr="009606B0" w:rsidRDefault="00ED7EDB" w:rsidP="001D7C3F">
      <w:pPr>
        <w:pStyle w:val="BodyText"/>
        <w:ind w:left="0"/>
        <w:rPr>
          <w:b/>
          <w:lang w:val="en-GB"/>
        </w:rPr>
      </w:pPr>
    </w:p>
    <w:p w14:paraId="0FA590C4" w14:textId="714CF6F3" w:rsidR="0000482B" w:rsidRPr="009606B0" w:rsidRDefault="0000482B" w:rsidP="001D7C3F">
      <w:pPr>
        <w:pStyle w:val="BodyText"/>
        <w:ind w:left="0"/>
        <w:rPr>
          <w:lang w:val="en-GB"/>
        </w:rPr>
      </w:pPr>
      <w:r w:rsidRPr="009606B0">
        <w:rPr>
          <w:lang w:val="en-GB"/>
        </w:rPr>
        <w:t>Dear Colleagues,</w:t>
      </w:r>
    </w:p>
    <w:p w14:paraId="30AAB6F3" w14:textId="77777777" w:rsidR="001D7C3F" w:rsidRPr="009606B0" w:rsidRDefault="001D7C3F" w:rsidP="001D7C3F">
      <w:pPr>
        <w:pStyle w:val="BodyText"/>
        <w:ind w:left="0"/>
        <w:rPr>
          <w:lang w:val="en-GB"/>
        </w:rPr>
      </w:pPr>
    </w:p>
    <w:p w14:paraId="08B85EA6" w14:textId="33698370" w:rsidR="00CF5358" w:rsidRDefault="00C8654D" w:rsidP="001D7C3F">
      <w:pPr>
        <w:pStyle w:val="BodyText"/>
        <w:ind w:left="0"/>
        <w:rPr>
          <w:lang w:val="en-GB"/>
        </w:rPr>
      </w:pPr>
      <w:r w:rsidRPr="009606B0">
        <w:rPr>
          <w:lang w:val="en-GB"/>
        </w:rPr>
        <w:t xml:space="preserve">This letter </w:t>
      </w:r>
      <w:r w:rsidR="000325BD">
        <w:rPr>
          <w:lang w:val="en-GB"/>
        </w:rPr>
        <w:t xml:space="preserve">presents the </w:t>
      </w:r>
      <w:r w:rsidRPr="009606B0">
        <w:rPr>
          <w:lang w:val="en-GB"/>
        </w:rPr>
        <w:t xml:space="preserve">NCWG's Baseline Symbology Project Team (BSPT) </w:t>
      </w:r>
      <w:r w:rsidR="000325BD">
        <w:rPr>
          <w:lang w:val="en-GB"/>
        </w:rPr>
        <w:t>recommendation</w:t>
      </w:r>
      <w:r w:rsidR="00CF5358">
        <w:rPr>
          <w:lang w:val="en-GB"/>
        </w:rPr>
        <w:t>s</w:t>
      </w:r>
      <w:r w:rsidR="000325BD">
        <w:rPr>
          <w:lang w:val="en-GB"/>
        </w:rPr>
        <w:t xml:space="preserve"> for baseline </w:t>
      </w:r>
      <w:r w:rsidRPr="009606B0">
        <w:rPr>
          <w:lang w:val="en-GB"/>
        </w:rPr>
        <w:t>colo</w:t>
      </w:r>
      <w:r w:rsidR="00B67F9C" w:rsidRPr="009606B0">
        <w:rPr>
          <w:lang w:val="en-GB"/>
        </w:rPr>
        <w:t>u</w:t>
      </w:r>
      <w:r w:rsidRPr="009606B0">
        <w:rPr>
          <w:lang w:val="en-GB"/>
        </w:rPr>
        <w:t xml:space="preserve">rs </w:t>
      </w:r>
      <w:r w:rsidR="00E955A6" w:rsidRPr="009606B0">
        <w:rPr>
          <w:lang w:val="en-GB"/>
        </w:rPr>
        <w:t xml:space="preserve">to be used </w:t>
      </w:r>
      <w:r w:rsidR="000325BD">
        <w:rPr>
          <w:lang w:val="en-GB"/>
        </w:rPr>
        <w:t xml:space="preserve">for the </w:t>
      </w:r>
      <w:r w:rsidR="00E955A6" w:rsidRPr="009606B0">
        <w:rPr>
          <w:lang w:val="en-GB"/>
        </w:rPr>
        <w:t>automate</w:t>
      </w:r>
      <w:r w:rsidR="000325BD">
        <w:rPr>
          <w:lang w:val="en-GB"/>
        </w:rPr>
        <w:t xml:space="preserve">d creation of </w:t>
      </w:r>
      <w:r w:rsidR="00E955A6" w:rsidRPr="009606B0">
        <w:rPr>
          <w:lang w:val="en-GB"/>
        </w:rPr>
        <w:t>ENC derived paper charts</w:t>
      </w:r>
      <w:r w:rsidRPr="009606B0">
        <w:rPr>
          <w:lang w:val="en-GB"/>
        </w:rPr>
        <w:t>.</w:t>
      </w:r>
      <w:r w:rsidR="00E955A6" w:rsidRPr="009606B0">
        <w:rPr>
          <w:lang w:val="en-GB"/>
        </w:rPr>
        <w:t xml:space="preserve"> </w:t>
      </w:r>
      <w:r w:rsidR="00CF5358">
        <w:rPr>
          <w:lang w:val="en-GB"/>
        </w:rPr>
        <w:t>F</w:t>
      </w:r>
      <w:r w:rsidR="00F97FBF" w:rsidRPr="009606B0">
        <w:rPr>
          <w:lang w:val="en-GB"/>
        </w:rPr>
        <w:t xml:space="preserve">eedback on </w:t>
      </w:r>
      <w:r w:rsidR="00CF5358">
        <w:rPr>
          <w:lang w:val="en-GB"/>
        </w:rPr>
        <w:t xml:space="preserve">the recommended </w:t>
      </w:r>
      <w:r w:rsidR="00F97FBF" w:rsidRPr="009606B0">
        <w:rPr>
          <w:lang w:val="en-GB"/>
        </w:rPr>
        <w:t>colour</w:t>
      </w:r>
      <w:r w:rsidR="00CF5358">
        <w:rPr>
          <w:lang w:val="en-GB"/>
        </w:rPr>
        <w:t>s</w:t>
      </w:r>
      <w:r w:rsidR="00F97FBF" w:rsidRPr="009606B0">
        <w:rPr>
          <w:lang w:val="en-GB"/>
        </w:rPr>
        <w:t xml:space="preserve"> </w:t>
      </w:r>
      <w:r w:rsidR="00CF5358">
        <w:rPr>
          <w:lang w:val="en-GB"/>
        </w:rPr>
        <w:t>is requested.</w:t>
      </w:r>
    </w:p>
    <w:p w14:paraId="4E2FE8C7" w14:textId="77777777" w:rsidR="00C10F79" w:rsidRDefault="00C10F79" w:rsidP="001D7C3F">
      <w:pPr>
        <w:pStyle w:val="BodyText"/>
        <w:ind w:left="0"/>
        <w:rPr>
          <w:lang w:val="en-GB"/>
        </w:rPr>
      </w:pPr>
    </w:p>
    <w:p w14:paraId="5DC0BE3E" w14:textId="35CE0506" w:rsidR="00554B97" w:rsidRDefault="00554B97" w:rsidP="00554B97">
      <w:r>
        <w:t xml:space="preserve">Please reply, using the </w:t>
      </w:r>
      <w:r w:rsidR="001B6AF9">
        <w:t>r</w:t>
      </w:r>
      <w:r>
        <w:t xml:space="preserve">esponse form at Annex B, </w:t>
      </w:r>
      <w:r w:rsidRPr="00C5644D">
        <w:rPr>
          <w:b/>
          <w:bCs/>
        </w:rPr>
        <w:t xml:space="preserve">no later than </w:t>
      </w:r>
      <w:r>
        <w:rPr>
          <w:b/>
          <w:bCs/>
        </w:rPr>
        <w:t>17 June 2024</w:t>
      </w:r>
      <w:r>
        <w:t xml:space="preserve">. I ask you to use the ‘Reply to all’ option for responses, to ensure the full Working Group membership is aware of developing discussions. </w:t>
      </w:r>
    </w:p>
    <w:p w14:paraId="2D1DC530" w14:textId="77777777" w:rsidR="00554B97" w:rsidRDefault="00554B97" w:rsidP="001D7C3F">
      <w:pPr>
        <w:pStyle w:val="BodyText"/>
        <w:ind w:left="0"/>
        <w:rPr>
          <w:lang w:val="en-GB"/>
        </w:rPr>
      </w:pPr>
    </w:p>
    <w:p w14:paraId="4C8D2491" w14:textId="77777777" w:rsidR="00554B97" w:rsidRDefault="00554B97" w:rsidP="001D7C3F">
      <w:pPr>
        <w:pStyle w:val="BodyText"/>
        <w:ind w:left="0"/>
        <w:rPr>
          <w:lang w:val="en-GB"/>
        </w:rPr>
      </w:pPr>
    </w:p>
    <w:p w14:paraId="288F7312" w14:textId="172B869E" w:rsidR="00C10F79" w:rsidRDefault="00C82E5D" w:rsidP="001D7C3F">
      <w:pPr>
        <w:pStyle w:val="BodyText"/>
        <w:ind w:left="0"/>
        <w:rPr>
          <w:lang w:val="en-GB"/>
        </w:rPr>
      </w:pPr>
      <w:r>
        <w:rPr>
          <w:lang w:val="en-GB"/>
        </w:rPr>
        <w:t>Yours sincerely,</w:t>
      </w:r>
    </w:p>
    <w:p w14:paraId="2DD8D55B" w14:textId="5EF896E4" w:rsidR="00C82E5D" w:rsidRDefault="00552E48" w:rsidP="001D7C3F">
      <w:pPr>
        <w:pStyle w:val="BodyText"/>
        <w:ind w:left="0"/>
        <w:rPr>
          <w:lang w:val="en-GB"/>
        </w:rPr>
      </w:pPr>
      <w:r>
        <w:rPr>
          <w:noProof/>
        </w:rPr>
        <w:drawing>
          <wp:inline distT="0" distB="0" distL="0" distR="0" wp14:anchorId="1AB490DC" wp14:editId="77E6E9FB">
            <wp:extent cx="1200150" cy="600075"/>
            <wp:effectExtent l="0" t="0" r="0" b="9525"/>
            <wp:docPr id="1534972128"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972128" name="Picture 1" descr="A close-up of a signatur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600075"/>
                    </a:xfrm>
                    <a:prstGeom prst="rect">
                      <a:avLst/>
                    </a:prstGeom>
                    <a:noFill/>
                    <a:ln>
                      <a:noFill/>
                    </a:ln>
                  </pic:spPr>
                </pic:pic>
              </a:graphicData>
            </a:graphic>
          </wp:inline>
        </w:drawing>
      </w:r>
    </w:p>
    <w:p w14:paraId="5DF0BDAE" w14:textId="77777777" w:rsidR="00C82E5D" w:rsidRDefault="00C82E5D" w:rsidP="001D7C3F">
      <w:pPr>
        <w:pStyle w:val="BodyText"/>
        <w:ind w:left="0"/>
        <w:rPr>
          <w:lang w:val="en-GB"/>
        </w:rPr>
      </w:pPr>
    </w:p>
    <w:p w14:paraId="406CBCB4" w14:textId="0F371483" w:rsidR="00C82E5D" w:rsidRDefault="00C82E5D" w:rsidP="001D7C3F">
      <w:pPr>
        <w:pStyle w:val="BodyText"/>
        <w:ind w:left="0"/>
        <w:rPr>
          <w:lang w:val="en-GB"/>
        </w:rPr>
      </w:pPr>
      <w:r>
        <w:rPr>
          <w:lang w:val="en-GB"/>
        </w:rPr>
        <w:t>Mikko Hovi</w:t>
      </w:r>
    </w:p>
    <w:p w14:paraId="4C7CFB2E" w14:textId="1549039F" w:rsidR="00C82E5D" w:rsidRDefault="00C82E5D" w:rsidP="001D7C3F">
      <w:pPr>
        <w:pStyle w:val="BodyText"/>
        <w:ind w:left="0"/>
        <w:rPr>
          <w:lang w:val="en-GB"/>
        </w:rPr>
      </w:pPr>
      <w:r>
        <w:rPr>
          <w:lang w:val="en-GB"/>
        </w:rPr>
        <w:t>Ch</w:t>
      </w:r>
      <w:r w:rsidR="00552E48">
        <w:rPr>
          <w:lang w:val="en-GB"/>
        </w:rPr>
        <w:t>air NCWG</w:t>
      </w:r>
    </w:p>
    <w:p w14:paraId="5DE19391" w14:textId="70AB2E9B" w:rsidR="00552E48" w:rsidRDefault="00552E48">
      <w:pPr>
        <w:rPr>
          <w:lang w:val="en-GB"/>
        </w:rPr>
      </w:pPr>
      <w:r>
        <w:rPr>
          <w:lang w:val="en-GB"/>
        </w:rPr>
        <w:br w:type="page"/>
      </w:r>
    </w:p>
    <w:p w14:paraId="7227DAC7" w14:textId="77777777" w:rsidR="00CF5358" w:rsidRDefault="00CF5358" w:rsidP="001D7C3F">
      <w:pPr>
        <w:pStyle w:val="BodyText"/>
        <w:ind w:left="0"/>
        <w:rPr>
          <w:lang w:val="en-GB"/>
        </w:rPr>
      </w:pPr>
    </w:p>
    <w:p w14:paraId="0877E0AA" w14:textId="77777777" w:rsidR="0042278D" w:rsidRDefault="0042278D" w:rsidP="0042278D">
      <w:pPr>
        <w:spacing w:after="60"/>
        <w:jc w:val="center"/>
        <w:rPr>
          <w:b/>
          <w:lang w:val="en-GB"/>
        </w:rPr>
      </w:pPr>
      <w:r>
        <w:rPr>
          <w:b/>
          <w:lang w:val="en-GB"/>
        </w:rPr>
        <w:t>Paper for Consideration by NCWG</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634"/>
        <w:gridCol w:w="6271"/>
      </w:tblGrid>
      <w:tr w:rsidR="0042278D" w14:paraId="677EE554" w14:textId="77777777" w:rsidTr="00C11DEB">
        <w:trPr>
          <w:jc w:val="center"/>
        </w:trPr>
        <w:tc>
          <w:tcPr>
            <w:tcW w:w="2634" w:type="dxa"/>
            <w:tcBorders>
              <w:top w:val="single" w:sz="4" w:space="0" w:color="auto"/>
              <w:left w:val="single" w:sz="4" w:space="0" w:color="auto"/>
              <w:bottom w:val="nil"/>
              <w:right w:val="nil"/>
            </w:tcBorders>
            <w:hideMark/>
          </w:tcPr>
          <w:p w14:paraId="68AB2DC5" w14:textId="77777777" w:rsidR="0042278D" w:rsidRDefault="0042278D" w:rsidP="00C11DEB">
            <w:pPr>
              <w:rPr>
                <w:b/>
                <w:i/>
                <w:lang w:val="en-GB"/>
              </w:rPr>
            </w:pPr>
            <w:r>
              <w:rPr>
                <w:lang w:val="en-GB"/>
              </w:rPr>
              <w:br w:type="page"/>
            </w:r>
            <w:r>
              <w:rPr>
                <w:b/>
                <w:i/>
                <w:lang w:val="en-GB"/>
              </w:rPr>
              <w:t>Submitted by:</w:t>
            </w:r>
          </w:p>
        </w:tc>
        <w:tc>
          <w:tcPr>
            <w:tcW w:w="6271" w:type="dxa"/>
            <w:tcBorders>
              <w:top w:val="single" w:sz="4" w:space="0" w:color="auto"/>
              <w:left w:val="nil"/>
              <w:bottom w:val="nil"/>
              <w:right w:val="single" w:sz="4" w:space="0" w:color="auto"/>
            </w:tcBorders>
            <w:hideMark/>
          </w:tcPr>
          <w:p w14:paraId="0A07C78B" w14:textId="77777777" w:rsidR="0042278D" w:rsidRDefault="0042278D" w:rsidP="00C11DEB">
            <w:pPr>
              <w:rPr>
                <w:lang w:val="en-GB"/>
              </w:rPr>
            </w:pPr>
            <w:r>
              <w:rPr>
                <w:lang w:val="en-GB"/>
              </w:rPr>
              <w:t>Baseline Symbology Project Team</w:t>
            </w:r>
          </w:p>
        </w:tc>
      </w:tr>
      <w:tr w:rsidR="0042278D" w14:paraId="27BDA425" w14:textId="77777777" w:rsidTr="00C11DEB">
        <w:trPr>
          <w:jc w:val="center"/>
        </w:trPr>
        <w:tc>
          <w:tcPr>
            <w:tcW w:w="2634" w:type="dxa"/>
            <w:tcBorders>
              <w:top w:val="nil"/>
              <w:left w:val="single" w:sz="4" w:space="0" w:color="auto"/>
              <w:bottom w:val="nil"/>
              <w:right w:val="nil"/>
            </w:tcBorders>
          </w:tcPr>
          <w:p w14:paraId="0A30AC73" w14:textId="77777777" w:rsidR="0042278D" w:rsidRDefault="0042278D" w:rsidP="00C11DEB">
            <w:pPr>
              <w:rPr>
                <w:b/>
                <w:i/>
                <w:lang w:val="en-GB"/>
              </w:rPr>
            </w:pPr>
          </w:p>
        </w:tc>
        <w:tc>
          <w:tcPr>
            <w:tcW w:w="6271" w:type="dxa"/>
            <w:tcBorders>
              <w:top w:val="nil"/>
              <w:left w:val="nil"/>
              <w:bottom w:val="nil"/>
              <w:right w:val="single" w:sz="4" w:space="0" w:color="auto"/>
            </w:tcBorders>
          </w:tcPr>
          <w:p w14:paraId="08545E98" w14:textId="77777777" w:rsidR="0042278D" w:rsidRDefault="0042278D" w:rsidP="00C11DEB">
            <w:pPr>
              <w:rPr>
                <w:lang w:val="en-GB"/>
              </w:rPr>
            </w:pPr>
          </w:p>
        </w:tc>
      </w:tr>
      <w:tr w:rsidR="0042278D" w14:paraId="24D8D868" w14:textId="77777777" w:rsidTr="00C11DEB">
        <w:trPr>
          <w:jc w:val="center"/>
        </w:trPr>
        <w:tc>
          <w:tcPr>
            <w:tcW w:w="2634" w:type="dxa"/>
            <w:tcBorders>
              <w:top w:val="nil"/>
              <w:left w:val="single" w:sz="4" w:space="0" w:color="auto"/>
              <w:bottom w:val="nil"/>
              <w:right w:val="nil"/>
            </w:tcBorders>
          </w:tcPr>
          <w:p w14:paraId="314ED863" w14:textId="77777777" w:rsidR="0042278D" w:rsidRDefault="0042278D" w:rsidP="00C11DEB">
            <w:pPr>
              <w:rPr>
                <w:b/>
                <w:i/>
                <w:lang w:val="en-GB"/>
              </w:rPr>
            </w:pPr>
          </w:p>
        </w:tc>
        <w:tc>
          <w:tcPr>
            <w:tcW w:w="6271" w:type="dxa"/>
            <w:tcBorders>
              <w:top w:val="nil"/>
              <w:left w:val="nil"/>
              <w:bottom w:val="nil"/>
              <w:right w:val="single" w:sz="4" w:space="0" w:color="auto"/>
            </w:tcBorders>
          </w:tcPr>
          <w:p w14:paraId="38D0299A" w14:textId="77777777" w:rsidR="0042278D" w:rsidRDefault="0042278D" w:rsidP="00C11DEB">
            <w:pPr>
              <w:rPr>
                <w:lang w:val="en-GB"/>
              </w:rPr>
            </w:pPr>
          </w:p>
        </w:tc>
      </w:tr>
      <w:tr w:rsidR="0042278D" w14:paraId="121CE0BD" w14:textId="77777777" w:rsidTr="00C11DEB">
        <w:trPr>
          <w:jc w:val="center"/>
        </w:trPr>
        <w:tc>
          <w:tcPr>
            <w:tcW w:w="2634" w:type="dxa"/>
            <w:tcBorders>
              <w:top w:val="nil"/>
              <w:left w:val="single" w:sz="4" w:space="0" w:color="auto"/>
              <w:bottom w:val="single" w:sz="4" w:space="0" w:color="auto"/>
              <w:right w:val="nil"/>
            </w:tcBorders>
            <w:hideMark/>
          </w:tcPr>
          <w:p w14:paraId="2DF2D0FE" w14:textId="77777777" w:rsidR="0042278D" w:rsidRDefault="0042278D" w:rsidP="00C11DEB">
            <w:pPr>
              <w:rPr>
                <w:b/>
                <w:i/>
                <w:lang w:val="en-GB"/>
              </w:rPr>
            </w:pPr>
            <w:r>
              <w:rPr>
                <w:b/>
                <w:i/>
                <w:lang w:val="en-GB"/>
              </w:rPr>
              <w:t>Related Projects:</w:t>
            </w:r>
          </w:p>
        </w:tc>
        <w:tc>
          <w:tcPr>
            <w:tcW w:w="6271" w:type="dxa"/>
            <w:tcBorders>
              <w:top w:val="nil"/>
              <w:left w:val="nil"/>
              <w:bottom w:val="single" w:sz="4" w:space="0" w:color="auto"/>
              <w:right w:val="single" w:sz="4" w:space="0" w:color="auto"/>
            </w:tcBorders>
            <w:hideMark/>
          </w:tcPr>
          <w:p w14:paraId="5748777D" w14:textId="77777777" w:rsidR="0042278D" w:rsidRDefault="0042278D" w:rsidP="00C11DEB">
            <w:pPr>
              <w:rPr>
                <w:lang w:val="en-GB"/>
              </w:rPr>
            </w:pPr>
            <w:r>
              <w:rPr>
                <w:lang w:val="en-GB"/>
              </w:rPr>
              <w:t>HSSC 12/36</w:t>
            </w:r>
          </w:p>
        </w:tc>
      </w:tr>
    </w:tbl>
    <w:p w14:paraId="2E739224" w14:textId="77777777" w:rsidR="001D7C3F" w:rsidRPr="009606B0" w:rsidRDefault="001D7C3F" w:rsidP="001D7C3F">
      <w:pPr>
        <w:pStyle w:val="BodyText"/>
        <w:ind w:left="0"/>
        <w:rPr>
          <w:lang w:val="en-GB"/>
        </w:rPr>
      </w:pPr>
    </w:p>
    <w:p w14:paraId="6C6C783C" w14:textId="7101BE1E" w:rsidR="00ED7EDB" w:rsidRPr="009606B0" w:rsidRDefault="00F23838" w:rsidP="00723063">
      <w:pPr>
        <w:pStyle w:val="Heading1"/>
        <w:rPr>
          <w:lang w:val="en-GB"/>
        </w:rPr>
      </w:pPr>
      <w:r w:rsidRPr="009606B0">
        <w:rPr>
          <w:lang w:val="en-GB"/>
        </w:rPr>
        <w:t>Background</w:t>
      </w:r>
    </w:p>
    <w:p w14:paraId="33F0B753" w14:textId="3F9A3B44" w:rsidR="001D7C3F" w:rsidRPr="00F67711" w:rsidRDefault="001D7C3F" w:rsidP="001D7C3F">
      <w:pPr>
        <w:pStyle w:val="BodyText"/>
        <w:ind w:left="0"/>
        <w:rPr>
          <w:lang w:val="en-GB"/>
        </w:rPr>
      </w:pPr>
    </w:p>
    <w:p w14:paraId="1AE06756" w14:textId="2B17B8DC" w:rsidR="003F5011" w:rsidRDefault="003F5011" w:rsidP="001D7C3F">
      <w:pPr>
        <w:pStyle w:val="BodyText"/>
        <w:ind w:left="0"/>
        <w:rPr>
          <w:i/>
          <w:iCs/>
          <w:lang w:val="en-GB"/>
        </w:rPr>
      </w:pPr>
      <w:r w:rsidRPr="003F5011">
        <w:rPr>
          <w:i/>
          <w:iCs/>
          <w:lang w:val="en-GB"/>
        </w:rPr>
        <w:t>Formation of the Project Team</w:t>
      </w:r>
    </w:p>
    <w:p w14:paraId="481B97EE" w14:textId="77777777" w:rsidR="003F5011" w:rsidRPr="003F5011" w:rsidRDefault="003F5011" w:rsidP="001D7C3F">
      <w:pPr>
        <w:pStyle w:val="BodyText"/>
        <w:ind w:left="0"/>
        <w:rPr>
          <w:i/>
          <w:iCs/>
          <w:lang w:val="en-GB"/>
        </w:rPr>
      </w:pPr>
    </w:p>
    <w:p w14:paraId="05BB1080" w14:textId="1F706E8F" w:rsidR="001B4487" w:rsidRPr="009606B0" w:rsidRDefault="001B4487" w:rsidP="001B4487">
      <w:pPr>
        <w:pStyle w:val="BodyText"/>
        <w:ind w:left="0"/>
        <w:rPr>
          <w:lang w:val="en-GB"/>
        </w:rPr>
      </w:pPr>
      <w:r w:rsidRPr="009606B0">
        <w:rPr>
          <w:lang w:val="en-GB"/>
        </w:rPr>
        <w:t xml:space="preserve">In </w:t>
      </w:r>
      <w:r w:rsidR="00F97FBF" w:rsidRPr="009606B0">
        <w:rPr>
          <w:lang w:val="en-GB"/>
        </w:rPr>
        <w:t xml:space="preserve">October </w:t>
      </w:r>
      <w:r w:rsidRPr="009606B0">
        <w:rPr>
          <w:lang w:val="en-GB"/>
        </w:rPr>
        <w:t xml:space="preserve">2020, the IHO Hydrographic Services and Standards Committee (HSSC) tasked NCWG to, "add a work item in its workplan to develop ways to enable or enhance </w:t>
      </w:r>
      <w:proofErr w:type="spellStart"/>
      <w:r w:rsidRPr="009606B0">
        <w:rPr>
          <w:lang w:val="en-GB"/>
        </w:rPr>
        <w:t>HOs’</w:t>
      </w:r>
      <w:proofErr w:type="spellEnd"/>
      <w:r w:rsidRPr="009606B0">
        <w:rPr>
          <w:lang w:val="en-GB"/>
        </w:rPr>
        <w:t xml:space="preserve"> ability to produce paper charts or raster chart images directly from S-101. [The goal is to create a ‘Common</w:t>
      </w:r>
      <w:r w:rsidR="00F97FBF" w:rsidRPr="009606B0">
        <w:rPr>
          <w:lang w:val="en-GB"/>
        </w:rPr>
        <w:t xml:space="preserve"> </w:t>
      </w:r>
      <w:r w:rsidRPr="009606B0">
        <w:rPr>
          <w:lang w:val="en-GB"/>
        </w:rPr>
        <w:t>IHO Baseline Symbology’ including basic symbol sets and rules.]" (</w:t>
      </w:r>
      <w:hyperlink r:id="rId13" w:history="1">
        <w:r w:rsidRPr="009606B0">
          <w:rPr>
            <w:rStyle w:val="Hyperlink"/>
            <w:lang w:val="en-GB"/>
          </w:rPr>
          <w:t>Action HSSC12/36</w:t>
        </w:r>
      </w:hyperlink>
      <w:r w:rsidRPr="009606B0">
        <w:rPr>
          <w:lang w:val="en-GB"/>
        </w:rPr>
        <w:t>).</w:t>
      </w:r>
    </w:p>
    <w:p w14:paraId="2B0CF990" w14:textId="2BCED657" w:rsidR="001B4487" w:rsidRPr="009606B0" w:rsidRDefault="001B4487" w:rsidP="001D7C3F">
      <w:pPr>
        <w:pStyle w:val="BodyText"/>
        <w:ind w:left="0"/>
        <w:rPr>
          <w:lang w:val="en-GB"/>
        </w:rPr>
      </w:pPr>
    </w:p>
    <w:p w14:paraId="2BD990B1" w14:textId="01650C27" w:rsidR="001B4487" w:rsidRDefault="001B4487" w:rsidP="001D7C3F">
      <w:pPr>
        <w:pStyle w:val="BodyText"/>
        <w:ind w:left="0"/>
        <w:rPr>
          <w:lang w:val="en-GB"/>
        </w:rPr>
      </w:pPr>
      <w:r w:rsidRPr="009606B0">
        <w:rPr>
          <w:lang w:val="en-GB"/>
        </w:rPr>
        <w:t>NCWG</w:t>
      </w:r>
      <w:r w:rsidR="00B67F9C" w:rsidRPr="009606B0">
        <w:rPr>
          <w:lang w:val="en-GB"/>
        </w:rPr>
        <w:t xml:space="preserve"> formally established the BSPT in March 2021 at a special NCWG meeting to discuss</w:t>
      </w:r>
      <w:r w:rsidR="00A74DED" w:rsidRPr="009606B0">
        <w:rPr>
          <w:lang w:val="en-GB"/>
        </w:rPr>
        <w:t xml:space="preserve"> </w:t>
      </w:r>
      <w:hyperlink r:id="rId14" w:history="1">
        <w:r w:rsidR="00B67F9C" w:rsidRPr="009606B0">
          <w:rPr>
            <w:rStyle w:val="Hyperlink"/>
            <w:lang w:val="en-GB"/>
          </w:rPr>
          <w:t>Baseline Symbology</w:t>
        </w:r>
      </w:hyperlink>
      <w:r w:rsidR="00A74DED" w:rsidRPr="009606B0">
        <w:rPr>
          <w:lang w:val="en-GB"/>
        </w:rPr>
        <w:t xml:space="preserve">. </w:t>
      </w:r>
      <w:r w:rsidR="00E62653" w:rsidRPr="009606B0">
        <w:rPr>
          <w:lang w:val="en-GB"/>
        </w:rPr>
        <w:t>Subsequentiall</w:t>
      </w:r>
      <w:r w:rsidR="00E62653">
        <w:rPr>
          <w:lang w:val="en-GB"/>
        </w:rPr>
        <w:t>y</w:t>
      </w:r>
      <w:r w:rsidR="00A74DED" w:rsidRPr="009606B0">
        <w:rPr>
          <w:lang w:val="en-GB"/>
        </w:rPr>
        <w:t>, the project team r</w:t>
      </w:r>
      <w:r w:rsidR="00264D73" w:rsidRPr="009606B0">
        <w:rPr>
          <w:lang w:val="en-GB"/>
        </w:rPr>
        <w:t>efined the BSPT's terms of reference</w:t>
      </w:r>
      <w:r w:rsidR="009A114F" w:rsidRPr="009606B0">
        <w:rPr>
          <w:lang w:val="en-GB"/>
        </w:rPr>
        <w:t xml:space="preserve"> (TOR)</w:t>
      </w:r>
      <w:r w:rsidR="00264D73" w:rsidRPr="009606B0">
        <w:rPr>
          <w:lang w:val="en-GB"/>
        </w:rPr>
        <w:t>, defining its mandate to:</w:t>
      </w:r>
    </w:p>
    <w:p w14:paraId="51AFE766" w14:textId="77777777" w:rsidR="00335F76" w:rsidRPr="009606B0" w:rsidRDefault="00335F76" w:rsidP="001D7C3F">
      <w:pPr>
        <w:pStyle w:val="BodyText"/>
        <w:ind w:left="0"/>
        <w:rPr>
          <w:lang w:val="en-GB"/>
        </w:rPr>
      </w:pPr>
    </w:p>
    <w:p w14:paraId="018CE02F" w14:textId="01452F6C" w:rsidR="00264D73" w:rsidRPr="00335F76" w:rsidRDefault="00264D73" w:rsidP="00723063">
      <w:pPr>
        <w:pStyle w:val="BodyText"/>
        <w:pBdr>
          <w:top w:val="single" w:sz="4" w:space="1" w:color="auto"/>
          <w:left w:val="single" w:sz="4" w:space="4" w:color="auto"/>
          <w:bottom w:val="single" w:sz="4" w:space="1" w:color="auto"/>
          <w:right w:val="single" w:sz="4" w:space="4" w:color="auto"/>
        </w:pBdr>
        <w:shd w:val="clear" w:color="auto" w:fill="DBE5F1" w:themeFill="accent1" w:themeFillTint="33"/>
        <w:ind w:left="540" w:right="490"/>
        <w:rPr>
          <w:sz w:val="20"/>
          <w:szCs w:val="20"/>
          <w:lang w:val="en-GB"/>
        </w:rPr>
      </w:pPr>
      <w:r w:rsidRPr="00335F76">
        <w:rPr>
          <w:sz w:val="20"/>
          <w:szCs w:val="20"/>
          <w:lang w:val="en-GB"/>
        </w:rPr>
        <w:t xml:space="preserve">Establish a common IHO symbology, based on S-4, which can be used to support the automated creation of paper chart products directly from S-101 data. A common symbology library will help hydrographic offices, private industry, </w:t>
      </w:r>
      <w:proofErr w:type="gramStart"/>
      <w:r w:rsidRPr="00335F76">
        <w:rPr>
          <w:sz w:val="20"/>
          <w:szCs w:val="20"/>
          <w:lang w:val="en-GB"/>
        </w:rPr>
        <w:t>developers</w:t>
      </w:r>
      <w:proofErr w:type="gramEnd"/>
      <w:r w:rsidRPr="00335F76">
        <w:rPr>
          <w:sz w:val="20"/>
          <w:szCs w:val="20"/>
          <w:lang w:val="en-GB"/>
        </w:rPr>
        <w:t xml:space="preserve"> and others, to view ENC data and facilitate direct creation of ENC derived products more efficiently and quickly.</w:t>
      </w:r>
    </w:p>
    <w:p w14:paraId="5638ED8B" w14:textId="77777777" w:rsidR="001528DE" w:rsidRPr="009606B0" w:rsidRDefault="001528DE" w:rsidP="00264D73">
      <w:pPr>
        <w:pStyle w:val="BodyText"/>
        <w:ind w:left="540" w:right="490"/>
        <w:rPr>
          <w:lang w:val="en-GB"/>
        </w:rPr>
      </w:pPr>
    </w:p>
    <w:p w14:paraId="2773D5DE" w14:textId="3A9334A9" w:rsidR="00264D73" w:rsidRDefault="009A114F" w:rsidP="00DF2507">
      <w:pPr>
        <w:pStyle w:val="BodyText"/>
        <w:ind w:left="0"/>
        <w:rPr>
          <w:lang w:val="en-GB"/>
        </w:rPr>
      </w:pPr>
      <w:r w:rsidRPr="009606B0">
        <w:rPr>
          <w:lang w:val="en-GB"/>
        </w:rPr>
        <w:t xml:space="preserve">The TOR </w:t>
      </w:r>
      <w:r w:rsidR="00A74DED" w:rsidRPr="009606B0">
        <w:rPr>
          <w:lang w:val="en-GB"/>
        </w:rPr>
        <w:t xml:space="preserve">goes on to </w:t>
      </w:r>
      <w:r w:rsidRPr="009606B0">
        <w:rPr>
          <w:lang w:val="en-GB"/>
        </w:rPr>
        <w:t xml:space="preserve">state </w:t>
      </w:r>
      <w:r w:rsidR="00A74DED" w:rsidRPr="009606B0">
        <w:rPr>
          <w:lang w:val="en-GB"/>
        </w:rPr>
        <w:t xml:space="preserve">the project team's </w:t>
      </w:r>
      <w:r w:rsidR="00264D73" w:rsidRPr="009606B0">
        <w:rPr>
          <w:lang w:val="en-GB"/>
        </w:rPr>
        <w:t>primary objective as focusing on</w:t>
      </w:r>
      <w:r w:rsidR="00DF2507">
        <w:rPr>
          <w:lang w:val="en-GB"/>
        </w:rPr>
        <w:t>, "</w:t>
      </w:r>
      <w:r w:rsidR="00264D73" w:rsidRPr="009606B0">
        <w:rPr>
          <w:lang w:val="en-GB"/>
        </w:rPr>
        <w:t>Development of a symbol library comprising a common set of symbols (in SVG format) and related portrayal rules.</w:t>
      </w:r>
      <w:r w:rsidR="001528DE">
        <w:rPr>
          <w:lang w:val="en-GB"/>
        </w:rPr>
        <w:t xml:space="preserve"> </w:t>
      </w:r>
      <w:r w:rsidR="00264D73" w:rsidRPr="009606B0">
        <w:rPr>
          <w:lang w:val="en-GB"/>
        </w:rPr>
        <w:t>This will support efforts toward the automated or semi-automated creation of paper charts.</w:t>
      </w:r>
      <w:r w:rsidR="00DF2507">
        <w:rPr>
          <w:lang w:val="en-GB"/>
        </w:rPr>
        <w:t>"</w:t>
      </w:r>
    </w:p>
    <w:p w14:paraId="3C581608" w14:textId="1A51F432" w:rsidR="005E53E5" w:rsidRDefault="005E53E5" w:rsidP="00DF2507">
      <w:pPr>
        <w:pStyle w:val="BodyText"/>
        <w:ind w:left="0"/>
        <w:rPr>
          <w:lang w:val="en-GB"/>
        </w:rPr>
      </w:pPr>
    </w:p>
    <w:p w14:paraId="35DBCFE8" w14:textId="2FE54576" w:rsidR="005E5EFC" w:rsidRPr="003F5011" w:rsidRDefault="003F5011" w:rsidP="005E5EFC">
      <w:pPr>
        <w:pStyle w:val="BodyText"/>
        <w:ind w:left="0"/>
        <w:rPr>
          <w:i/>
          <w:iCs/>
          <w:lang w:val="en-GB"/>
        </w:rPr>
      </w:pPr>
      <w:r w:rsidRPr="003F5011">
        <w:rPr>
          <w:i/>
          <w:iCs/>
          <w:lang w:val="en-GB"/>
        </w:rPr>
        <w:t xml:space="preserve">IHO </w:t>
      </w:r>
      <w:r w:rsidR="003F36F5">
        <w:rPr>
          <w:i/>
          <w:iCs/>
          <w:lang w:val="en-GB"/>
        </w:rPr>
        <w:t xml:space="preserve">Colour </w:t>
      </w:r>
      <w:r w:rsidRPr="003F5011">
        <w:rPr>
          <w:i/>
          <w:iCs/>
          <w:lang w:val="en-GB"/>
        </w:rPr>
        <w:t>"Specification</w:t>
      </w:r>
      <w:r w:rsidR="003F36F5">
        <w:rPr>
          <w:i/>
          <w:iCs/>
          <w:lang w:val="en-GB"/>
        </w:rPr>
        <w:t>s</w:t>
      </w:r>
      <w:r w:rsidRPr="003F5011">
        <w:rPr>
          <w:i/>
          <w:iCs/>
          <w:lang w:val="en-GB"/>
        </w:rPr>
        <w:t>"</w:t>
      </w:r>
    </w:p>
    <w:p w14:paraId="4CC3C9DA" w14:textId="2CFB9099" w:rsidR="005E5EFC" w:rsidRPr="009606B0" w:rsidRDefault="005E5EFC" w:rsidP="005E5EFC">
      <w:pPr>
        <w:pStyle w:val="BodyText"/>
        <w:ind w:left="0"/>
        <w:rPr>
          <w:lang w:val="en-GB"/>
        </w:rPr>
      </w:pPr>
    </w:p>
    <w:p w14:paraId="385FE475" w14:textId="4D68B50E" w:rsidR="00BA5310" w:rsidRDefault="003F5011" w:rsidP="00C41031">
      <w:pPr>
        <w:pStyle w:val="BodyText"/>
        <w:ind w:left="0"/>
        <w:rPr>
          <w:lang w:val="en-GB"/>
        </w:rPr>
      </w:pPr>
      <w:r>
        <w:rPr>
          <w:lang w:val="en-GB"/>
        </w:rPr>
        <w:t xml:space="preserve">The </w:t>
      </w:r>
      <w:hyperlink r:id="rId15" w:history="1">
        <w:r w:rsidR="005E5EFC" w:rsidRPr="009606B0">
          <w:rPr>
            <w:rStyle w:val="Hyperlink"/>
            <w:lang w:val="en-GB"/>
          </w:rPr>
          <w:t>S-4, Regulations of the IHO for International (INT) Charts and Chart Specifications of the IHO</w:t>
        </w:r>
      </w:hyperlink>
      <w:r w:rsidR="005E5EFC" w:rsidRPr="009606B0">
        <w:rPr>
          <w:lang w:val="en-GB"/>
        </w:rPr>
        <w:t xml:space="preserve"> </w:t>
      </w:r>
      <w:r w:rsidR="00AB26A9">
        <w:rPr>
          <w:lang w:val="en-GB"/>
        </w:rPr>
        <w:t>describes</w:t>
      </w:r>
      <w:r w:rsidR="00DC62C7" w:rsidRPr="009606B0">
        <w:rPr>
          <w:lang w:val="en-GB"/>
        </w:rPr>
        <w:t xml:space="preserve"> </w:t>
      </w:r>
      <w:r>
        <w:rPr>
          <w:lang w:val="en-GB"/>
        </w:rPr>
        <w:t xml:space="preserve">the </w:t>
      </w:r>
      <w:r w:rsidR="00DC62C7" w:rsidRPr="009606B0">
        <w:rPr>
          <w:lang w:val="en-GB"/>
        </w:rPr>
        <w:t xml:space="preserve">symbols and colours to be used on paper and raster nautical charts. Section </w:t>
      </w:r>
      <w:r w:rsidR="00C17AF7">
        <w:rPr>
          <w:lang w:val="en-GB"/>
        </w:rPr>
        <w:t>B-</w:t>
      </w:r>
      <w:r w:rsidR="00DC62C7" w:rsidRPr="009606B0">
        <w:rPr>
          <w:lang w:val="en-GB"/>
        </w:rPr>
        <w:t>140</w:t>
      </w:r>
      <w:r w:rsidR="00C17AF7">
        <w:rPr>
          <w:lang w:val="en-GB"/>
        </w:rPr>
        <w:t xml:space="preserve"> specifies that, "All charts should pe printed in a minimum of four colours" black, magenta, buff (or grey) and blue</w:t>
      </w:r>
      <w:r w:rsidR="00AB26A9">
        <w:rPr>
          <w:lang w:val="en-GB"/>
        </w:rPr>
        <w:t>.</w:t>
      </w:r>
      <w:r w:rsidR="00BF479C">
        <w:rPr>
          <w:lang w:val="en-GB"/>
        </w:rPr>
        <w:t xml:space="preserve">" </w:t>
      </w:r>
      <w:r w:rsidR="00BA5310">
        <w:rPr>
          <w:lang w:val="en-GB"/>
        </w:rPr>
        <w:t xml:space="preserve">S-4 names six basic colours in </w:t>
      </w:r>
      <w:r w:rsidR="00DE5D9C">
        <w:rPr>
          <w:lang w:val="en-GB"/>
        </w:rPr>
        <w:t xml:space="preserve">the </w:t>
      </w:r>
      <w:r w:rsidR="00BA5310">
        <w:rPr>
          <w:lang w:val="en-GB"/>
        </w:rPr>
        <w:t>sections</w:t>
      </w:r>
      <w:r w:rsidR="00DE5D9C">
        <w:rPr>
          <w:lang w:val="en-GB"/>
        </w:rPr>
        <w:t xml:space="preserve"> indicted below</w:t>
      </w:r>
      <w:r w:rsidR="00BA5310">
        <w:rPr>
          <w:lang w:val="en-GB"/>
        </w:rPr>
        <w:t>.</w:t>
      </w:r>
    </w:p>
    <w:p w14:paraId="5E338FEC" w14:textId="7B252D0B" w:rsidR="00B23956" w:rsidRDefault="00B23956" w:rsidP="00C41031">
      <w:pPr>
        <w:pStyle w:val="BodyText"/>
        <w:ind w:left="0"/>
        <w:rPr>
          <w:lang w:val="en-GB"/>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3432"/>
        <w:gridCol w:w="3199"/>
      </w:tblGrid>
      <w:tr w:rsidR="00B23956" w14:paraId="440B4515" w14:textId="77777777" w:rsidTr="00B23956">
        <w:tc>
          <w:tcPr>
            <w:tcW w:w="2250" w:type="dxa"/>
          </w:tcPr>
          <w:p w14:paraId="6F70A5A2" w14:textId="44C0A185" w:rsidR="00B23956" w:rsidRDefault="00B23956" w:rsidP="00B23956">
            <w:pPr>
              <w:pStyle w:val="BodyText"/>
              <w:tabs>
                <w:tab w:val="left" w:pos="795"/>
              </w:tabs>
              <w:ind w:left="0"/>
              <w:rPr>
                <w:lang w:val="en-GB"/>
              </w:rPr>
            </w:pPr>
            <w:r w:rsidRPr="00B23956">
              <w:rPr>
                <w:lang w:val="en-GB"/>
              </w:rPr>
              <w:t>B-141</w:t>
            </w:r>
            <w:r w:rsidRPr="00B23956">
              <w:rPr>
                <w:lang w:val="en-GB"/>
              </w:rPr>
              <w:tab/>
              <w:t>Black</w:t>
            </w:r>
          </w:p>
        </w:tc>
        <w:tc>
          <w:tcPr>
            <w:tcW w:w="3432" w:type="dxa"/>
          </w:tcPr>
          <w:p w14:paraId="4F8F2698" w14:textId="1F90A941" w:rsidR="00B23956" w:rsidRDefault="00B23956" w:rsidP="00B23956">
            <w:pPr>
              <w:pStyle w:val="BodyText"/>
              <w:tabs>
                <w:tab w:val="left" w:pos="795"/>
              </w:tabs>
              <w:ind w:left="0"/>
              <w:rPr>
                <w:lang w:val="en-GB"/>
              </w:rPr>
            </w:pPr>
            <w:r w:rsidRPr="00B23956">
              <w:rPr>
                <w:lang w:val="en-GB"/>
              </w:rPr>
              <w:t>B-143</w:t>
            </w:r>
            <w:r w:rsidRPr="00B23956">
              <w:rPr>
                <w:lang w:val="en-GB"/>
              </w:rPr>
              <w:tab/>
              <w:t>Buff (Yellow) or Grey</w:t>
            </w:r>
          </w:p>
        </w:tc>
        <w:tc>
          <w:tcPr>
            <w:tcW w:w="3199" w:type="dxa"/>
          </w:tcPr>
          <w:p w14:paraId="41C8810A" w14:textId="2227B8C2" w:rsidR="00B23956" w:rsidRDefault="00B23956" w:rsidP="00B23956">
            <w:pPr>
              <w:pStyle w:val="BodyText"/>
              <w:tabs>
                <w:tab w:val="left" w:pos="795"/>
              </w:tabs>
              <w:ind w:left="0"/>
              <w:rPr>
                <w:lang w:val="en-GB"/>
              </w:rPr>
            </w:pPr>
            <w:r w:rsidRPr="00B23956">
              <w:rPr>
                <w:lang w:val="en-GB"/>
              </w:rPr>
              <w:t>B-145</w:t>
            </w:r>
            <w:r w:rsidRPr="00B23956">
              <w:rPr>
                <w:lang w:val="en-GB"/>
              </w:rPr>
              <w:tab/>
              <w:t>Green</w:t>
            </w:r>
          </w:p>
        </w:tc>
      </w:tr>
      <w:tr w:rsidR="00B23956" w14:paraId="208A8370" w14:textId="77777777" w:rsidTr="00B23956">
        <w:tc>
          <w:tcPr>
            <w:tcW w:w="2250" w:type="dxa"/>
          </w:tcPr>
          <w:p w14:paraId="7F661868" w14:textId="273899C8" w:rsidR="00B23956" w:rsidRDefault="00B23956" w:rsidP="00B23956">
            <w:pPr>
              <w:pStyle w:val="BodyText"/>
              <w:tabs>
                <w:tab w:val="left" w:pos="795"/>
              </w:tabs>
              <w:ind w:left="0"/>
              <w:rPr>
                <w:lang w:val="en-GB"/>
              </w:rPr>
            </w:pPr>
            <w:r w:rsidRPr="00B23956">
              <w:rPr>
                <w:lang w:val="en-GB"/>
              </w:rPr>
              <w:t>B-142</w:t>
            </w:r>
            <w:r w:rsidRPr="00B23956">
              <w:rPr>
                <w:lang w:val="en-GB"/>
              </w:rPr>
              <w:tab/>
              <w:t>Magenta</w:t>
            </w:r>
          </w:p>
        </w:tc>
        <w:tc>
          <w:tcPr>
            <w:tcW w:w="3432" w:type="dxa"/>
          </w:tcPr>
          <w:p w14:paraId="0AC34F90" w14:textId="61A3A8BF" w:rsidR="00B23956" w:rsidRDefault="00B23956" w:rsidP="00B23956">
            <w:pPr>
              <w:pStyle w:val="BodyText"/>
              <w:tabs>
                <w:tab w:val="left" w:pos="795"/>
              </w:tabs>
              <w:ind w:left="0"/>
              <w:rPr>
                <w:lang w:val="en-GB"/>
              </w:rPr>
            </w:pPr>
            <w:r w:rsidRPr="00B23956">
              <w:rPr>
                <w:lang w:val="en-GB"/>
              </w:rPr>
              <w:t>B-144</w:t>
            </w:r>
            <w:r w:rsidRPr="00B23956">
              <w:rPr>
                <w:lang w:val="en-GB"/>
              </w:rPr>
              <w:tab/>
              <w:t>Blue</w:t>
            </w:r>
          </w:p>
        </w:tc>
        <w:tc>
          <w:tcPr>
            <w:tcW w:w="3199" w:type="dxa"/>
          </w:tcPr>
          <w:p w14:paraId="01CFEB82" w14:textId="5E4AD50E" w:rsidR="00B23956" w:rsidRDefault="00B23956" w:rsidP="00B23956">
            <w:pPr>
              <w:pStyle w:val="BodyText"/>
              <w:tabs>
                <w:tab w:val="left" w:pos="795"/>
              </w:tabs>
              <w:ind w:left="0"/>
              <w:rPr>
                <w:lang w:val="en-GB"/>
              </w:rPr>
            </w:pPr>
            <w:r w:rsidRPr="00B23956">
              <w:rPr>
                <w:lang w:val="en-GB"/>
              </w:rPr>
              <w:t>B-146</w:t>
            </w:r>
            <w:r w:rsidRPr="00B23956">
              <w:rPr>
                <w:lang w:val="en-GB"/>
              </w:rPr>
              <w:tab/>
              <w:t>Cautionary Note</w:t>
            </w:r>
            <w:r>
              <w:rPr>
                <w:lang w:val="en-GB"/>
              </w:rPr>
              <w:t>s</w:t>
            </w:r>
          </w:p>
        </w:tc>
      </w:tr>
    </w:tbl>
    <w:p w14:paraId="339DF391" w14:textId="77777777" w:rsidR="00BA5310" w:rsidRDefault="00BA5310" w:rsidP="00C41031">
      <w:pPr>
        <w:pStyle w:val="BodyText"/>
        <w:ind w:left="0"/>
        <w:rPr>
          <w:lang w:val="en-GB"/>
        </w:rPr>
      </w:pPr>
    </w:p>
    <w:p w14:paraId="06AE839D" w14:textId="4E24F085" w:rsidR="00DC62C7" w:rsidRDefault="001528DE" w:rsidP="00C41031">
      <w:pPr>
        <w:pStyle w:val="BodyText"/>
        <w:ind w:left="0"/>
        <w:rPr>
          <w:lang w:val="en-GB"/>
        </w:rPr>
      </w:pPr>
      <w:r>
        <w:rPr>
          <w:lang w:val="en-GB"/>
        </w:rPr>
        <w:t>Although S-4 notes the hue (the name of the colour) to be used</w:t>
      </w:r>
      <w:r w:rsidR="00BA5310">
        <w:rPr>
          <w:lang w:val="en-GB"/>
        </w:rPr>
        <w:t xml:space="preserve"> for various purposes</w:t>
      </w:r>
      <w:r>
        <w:rPr>
          <w:lang w:val="en-GB"/>
        </w:rPr>
        <w:t xml:space="preserve">, </w:t>
      </w:r>
      <w:r w:rsidR="00335F76">
        <w:rPr>
          <w:lang w:val="en-GB"/>
        </w:rPr>
        <w:t xml:space="preserve">it does not </w:t>
      </w:r>
      <w:r>
        <w:rPr>
          <w:lang w:val="en-GB"/>
        </w:rPr>
        <w:t xml:space="preserve">describe the </w:t>
      </w:r>
      <w:r w:rsidR="00BF479C" w:rsidRPr="00BF479C">
        <w:rPr>
          <w:lang w:val="en-GB"/>
        </w:rPr>
        <w:t xml:space="preserve">chroma (saturation) </w:t>
      </w:r>
      <w:r w:rsidR="00BF479C">
        <w:rPr>
          <w:lang w:val="en-GB"/>
        </w:rPr>
        <w:t>or</w:t>
      </w:r>
      <w:r w:rsidR="00BF479C" w:rsidRPr="00BF479C">
        <w:rPr>
          <w:lang w:val="en-GB"/>
        </w:rPr>
        <w:t xml:space="preserve"> value (lightness)</w:t>
      </w:r>
      <w:r>
        <w:rPr>
          <w:lang w:val="en-GB"/>
        </w:rPr>
        <w:t xml:space="preserve"> of the colour</w:t>
      </w:r>
      <w:r w:rsidR="009D31F9">
        <w:rPr>
          <w:lang w:val="en-GB"/>
        </w:rPr>
        <w:t>s</w:t>
      </w:r>
      <w:r>
        <w:rPr>
          <w:lang w:val="en-GB"/>
        </w:rPr>
        <w:t xml:space="preserve">. Nor does </w:t>
      </w:r>
      <w:r w:rsidR="003F5011">
        <w:rPr>
          <w:lang w:val="en-GB"/>
        </w:rPr>
        <w:t xml:space="preserve">S-4 describe the </w:t>
      </w:r>
      <w:r>
        <w:rPr>
          <w:lang w:val="en-GB"/>
        </w:rPr>
        <w:t xml:space="preserve">attributes of the </w:t>
      </w:r>
      <w:r w:rsidR="003F5011">
        <w:rPr>
          <w:lang w:val="en-GB"/>
        </w:rPr>
        <w:t>additional colours of red, green, and yellow that are used on Scandinavian "multicoloured" charts.</w:t>
      </w:r>
      <w:r>
        <w:rPr>
          <w:lang w:val="en-GB"/>
        </w:rPr>
        <w:t xml:space="preserve"> S-4 also states that, "</w:t>
      </w:r>
      <w:r w:rsidR="00DC62C7" w:rsidRPr="009606B0">
        <w:rPr>
          <w:lang w:val="en-GB"/>
        </w:rPr>
        <w:t>The use of alternative colours, for example red instead of magenta, and of screened colours, tends to</w:t>
      </w:r>
      <w:r w:rsidR="00D124F1" w:rsidRPr="009606B0">
        <w:rPr>
          <w:lang w:val="en-GB"/>
        </w:rPr>
        <w:t xml:space="preserve"> </w:t>
      </w:r>
      <w:r w:rsidR="00DC62C7" w:rsidRPr="009606B0">
        <w:rPr>
          <w:lang w:val="en-GB"/>
        </w:rPr>
        <w:t>reduce the level of possible standardization</w:t>
      </w:r>
      <w:r>
        <w:rPr>
          <w:lang w:val="en-GB"/>
        </w:rPr>
        <w:t>," but then concludes that, "</w:t>
      </w:r>
      <w:r w:rsidR="00DC62C7" w:rsidRPr="009606B0">
        <w:rPr>
          <w:lang w:val="en-GB"/>
        </w:rPr>
        <w:t>such colour variations can, if desired, produce</w:t>
      </w:r>
      <w:r w:rsidR="00D124F1" w:rsidRPr="009606B0">
        <w:rPr>
          <w:lang w:val="en-GB"/>
        </w:rPr>
        <w:t xml:space="preserve"> </w:t>
      </w:r>
      <w:r w:rsidR="00DC62C7" w:rsidRPr="009606B0">
        <w:rPr>
          <w:lang w:val="en-GB"/>
        </w:rPr>
        <w:t>an element of national individuality without affecting the comprehensibility of a chart as much as, for</w:t>
      </w:r>
      <w:r w:rsidR="00D124F1" w:rsidRPr="009606B0">
        <w:rPr>
          <w:lang w:val="en-GB"/>
        </w:rPr>
        <w:t xml:space="preserve"> </w:t>
      </w:r>
      <w:r w:rsidR="00DC62C7" w:rsidRPr="009606B0">
        <w:rPr>
          <w:lang w:val="en-GB"/>
        </w:rPr>
        <w:t>example, a non-standard symbol.</w:t>
      </w:r>
      <w:r w:rsidR="00D124F1" w:rsidRPr="009606B0">
        <w:rPr>
          <w:lang w:val="en-GB"/>
        </w:rPr>
        <w:t>"</w:t>
      </w:r>
    </w:p>
    <w:p w14:paraId="54F64A48" w14:textId="078C7E48" w:rsidR="007C3A56" w:rsidRDefault="007C3A56" w:rsidP="00C41031">
      <w:pPr>
        <w:pStyle w:val="BodyText"/>
        <w:ind w:left="0"/>
        <w:rPr>
          <w:lang w:val="en-GB"/>
        </w:rPr>
      </w:pPr>
    </w:p>
    <w:p w14:paraId="5C84D9D3" w14:textId="6F53533F" w:rsidR="0074192B" w:rsidRDefault="00993052" w:rsidP="00C41031">
      <w:pPr>
        <w:pStyle w:val="BodyText"/>
        <w:ind w:left="0"/>
        <w:rPr>
          <w:lang w:val="en-GB"/>
        </w:rPr>
      </w:pPr>
      <w:r>
        <w:rPr>
          <w:lang w:val="en-GB"/>
        </w:rPr>
        <w:t>Current p</w:t>
      </w:r>
      <w:r w:rsidR="007C3A56">
        <w:rPr>
          <w:lang w:val="en-GB"/>
        </w:rPr>
        <w:t xml:space="preserve">aper </w:t>
      </w:r>
      <w:r>
        <w:rPr>
          <w:lang w:val="en-GB"/>
        </w:rPr>
        <w:t xml:space="preserve">nautical </w:t>
      </w:r>
      <w:r w:rsidR="007C3A56">
        <w:rPr>
          <w:lang w:val="en-GB"/>
        </w:rPr>
        <w:t xml:space="preserve">chart </w:t>
      </w:r>
      <w:r>
        <w:rPr>
          <w:lang w:val="en-GB"/>
        </w:rPr>
        <w:t xml:space="preserve">production </w:t>
      </w:r>
      <w:r w:rsidR="007C3A56">
        <w:rPr>
          <w:lang w:val="en-GB"/>
        </w:rPr>
        <w:t>reflect</w:t>
      </w:r>
      <w:r>
        <w:rPr>
          <w:lang w:val="en-GB"/>
        </w:rPr>
        <w:t>s</w:t>
      </w:r>
      <w:r w:rsidR="007C3A56">
        <w:rPr>
          <w:lang w:val="en-GB"/>
        </w:rPr>
        <w:t xml:space="preserve"> this general adherence to the colour hues specified in S-4, </w:t>
      </w:r>
      <w:r w:rsidR="00723063">
        <w:rPr>
          <w:lang w:val="en-GB"/>
        </w:rPr>
        <w:t xml:space="preserve">while </w:t>
      </w:r>
      <w:r w:rsidR="008755ED">
        <w:rPr>
          <w:lang w:val="en-GB"/>
        </w:rPr>
        <w:t>still</w:t>
      </w:r>
      <w:r w:rsidR="00723063">
        <w:rPr>
          <w:lang w:val="en-GB"/>
        </w:rPr>
        <w:t xml:space="preserve"> exhibiting </w:t>
      </w:r>
      <w:r w:rsidR="007C3A56">
        <w:rPr>
          <w:lang w:val="en-GB"/>
        </w:rPr>
        <w:t xml:space="preserve">the individuality of each country. </w:t>
      </w:r>
      <w:r>
        <w:rPr>
          <w:lang w:val="en-GB"/>
        </w:rPr>
        <w:t>V</w:t>
      </w:r>
      <w:r w:rsidR="00335F76">
        <w:rPr>
          <w:lang w:val="en-GB"/>
        </w:rPr>
        <w:t xml:space="preserve">ariation is possible, because each chart producer has their own production system and standard (to them) </w:t>
      </w:r>
      <w:r w:rsidR="0074192B">
        <w:rPr>
          <w:lang w:val="en-GB"/>
        </w:rPr>
        <w:t xml:space="preserve">set of </w:t>
      </w:r>
      <w:r w:rsidR="00335F76">
        <w:rPr>
          <w:lang w:val="en-GB"/>
        </w:rPr>
        <w:t>symbols and colours. However</w:t>
      </w:r>
      <w:r w:rsidR="008F5986">
        <w:rPr>
          <w:lang w:val="en-GB"/>
        </w:rPr>
        <w:t xml:space="preserve">, </w:t>
      </w:r>
      <w:r w:rsidR="00335F76">
        <w:rPr>
          <w:lang w:val="en-GB"/>
        </w:rPr>
        <w:t xml:space="preserve">a principal goal of the BSPT has been to provide ONE standard set of SVG chart symbols and portrayal rules that </w:t>
      </w:r>
      <w:r>
        <w:rPr>
          <w:lang w:val="en-GB"/>
        </w:rPr>
        <w:t xml:space="preserve">can be used </w:t>
      </w:r>
      <w:r w:rsidR="00335F76">
        <w:rPr>
          <w:lang w:val="en-GB"/>
        </w:rPr>
        <w:t xml:space="preserve">to </w:t>
      </w:r>
      <w:r w:rsidR="00661393">
        <w:rPr>
          <w:lang w:val="en-GB"/>
        </w:rPr>
        <w:t xml:space="preserve">automate (or nearly automate) </w:t>
      </w:r>
      <w:r w:rsidR="003F36F5">
        <w:rPr>
          <w:lang w:val="en-GB"/>
        </w:rPr>
        <w:t xml:space="preserve">the </w:t>
      </w:r>
      <w:r w:rsidR="00661393">
        <w:rPr>
          <w:lang w:val="en-GB"/>
        </w:rPr>
        <w:t>creat</w:t>
      </w:r>
      <w:r w:rsidR="003F36F5">
        <w:rPr>
          <w:lang w:val="en-GB"/>
        </w:rPr>
        <w:t>ion of</w:t>
      </w:r>
      <w:r w:rsidR="00661393">
        <w:rPr>
          <w:lang w:val="en-GB"/>
        </w:rPr>
        <w:t xml:space="preserve"> paper charts directly from ENC data.</w:t>
      </w:r>
      <w:r w:rsidR="0074192B">
        <w:rPr>
          <w:lang w:val="en-GB"/>
        </w:rPr>
        <w:t xml:space="preserve"> </w:t>
      </w:r>
      <w:r w:rsidR="003F36F5">
        <w:rPr>
          <w:lang w:val="en-GB"/>
        </w:rPr>
        <w:t>Use of BSPT colours and symbols will yield complete uniformity in chart portrayal, regardless of the source of ENC data.</w:t>
      </w:r>
    </w:p>
    <w:p w14:paraId="34A8E04A" w14:textId="77777777" w:rsidR="0074192B" w:rsidRDefault="0074192B" w:rsidP="00C41031">
      <w:pPr>
        <w:pStyle w:val="BodyText"/>
        <w:ind w:left="0"/>
        <w:rPr>
          <w:lang w:val="en-GB"/>
        </w:rPr>
      </w:pPr>
    </w:p>
    <w:p w14:paraId="492232EB" w14:textId="7974D937" w:rsidR="00F67711" w:rsidRDefault="00F67711" w:rsidP="00F67711">
      <w:pPr>
        <w:pStyle w:val="Heading1"/>
      </w:pPr>
      <w:r w:rsidRPr="00F67711">
        <w:lastRenderedPageBreak/>
        <w:t>Methodology</w:t>
      </w:r>
    </w:p>
    <w:p w14:paraId="12BE077F" w14:textId="77777777" w:rsidR="00F67711" w:rsidRPr="00F67711" w:rsidRDefault="00F67711" w:rsidP="00F67711">
      <w:pPr>
        <w:pStyle w:val="Heading1"/>
      </w:pPr>
    </w:p>
    <w:p w14:paraId="58D4B056" w14:textId="353248F5" w:rsidR="00D72CE4" w:rsidRDefault="002472E3" w:rsidP="00C41031">
      <w:pPr>
        <w:pStyle w:val="BodyText"/>
        <w:ind w:left="0"/>
        <w:rPr>
          <w:lang w:val="en-GB"/>
        </w:rPr>
      </w:pPr>
      <w:r>
        <w:rPr>
          <w:lang w:val="en-GB"/>
        </w:rPr>
        <w:t xml:space="preserve">The </w:t>
      </w:r>
      <w:r w:rsidR="0074192B">
        <w:rPr>
          <w:lang w:val="en-GB"/>
        </w:rPr>
        <w:t>BSPT</w:t>
      </w:r>
      <w:r w:rsidR="00303A0E">
        <w:rPr>
          <w:lang w:val="en-GB"/>
        </w:rPr>
        <w:t xml:space="preserve"> </w:t>
      </w:r>
      <w:r w:rsidR="0079668E">
        <w:rPr>
          <w:lang w:val="en-GB"/>
        </w:rPr>
        <w:t xml:space="preserve">recognized that </w:t>
      </w:r>
      <w:r w:rsidR="00CA695E">
        <w:rPr>
          <w:lang w:val="en-GB"/>
        </w:rPr>
        <w:t xml:space="preserve">a </w:t>
      </w:r>
      <w:r w:rsidR="00303A0E">
        <w:rPr>
          <w:lang w:val="en-GB"/>
        </w:rPr>
        <w:t>single</w:t>
      </w:r>
      <w:r w:rsidR="00A55F3A">
        <w:rPr>
          <w:lang w:val="en-GB"/>
        </w:rPr>
        <w:t xml:space="preserve"> </w:t>
      </w:r>
      <w:r w:rsidR="00CA695E">
        <w:rPr>
          <w:lang w:val="en-GB"/>
        </w:rPr>
        <w:t xml:space="preserve">standard </w:t>
      </w:r>
      <w:r w:rsidR="00303A0E">
        <w:rPr>
          <w:lang w:val="en-GB"/>
        </w:rPr>
        <w:t xml:space="preserve">set of colours </w:t>
      </w:r>
      <w:r w:rsidR="00CA695E">
        <w:rPr>
          <w:lang w:val="en-GB"/>
        </w:rPr>
        <w:t xml:space="preserve">would be needed to encode </w:t>
      </w:r>
      <w:r w:rsidR="008B1702">
        <w:rPr>
          <w:lang w:val="en-GB"/>
        </w:rPr>
        <w:t xml:space="preserve">each </w:t>
      </w:r>
      <w:r w:rsidR="00452569">
        <w:rPr>
          <w:lang w:val="en-GB"/>
        </w:rPr>
        <w:t xml:space="preserve">baseline </w:t>
      </w:r>
      <w:r w:rsidR="008B1702">
        <w:rPr>
          <w:lang w:val="en-GB"/>
        </w:rPr>
        <w:t>chart symbol in</w:t>
      </w:r>
      <w:r w:rsidR="00CA695E">
        <w:rPr>
          <w:lang w:val="en-GB"/>
        </w:rPr>
        <w:t xml:space="preserve"> SVG</w:t>
      </w:r>
      <w:r w:rsidR="008B1702">
        <w:rPr>
          <w:lang w:val="en-GB"/>
        </w:rPr>
        <w:t xml:space="preserve"> format</w:t>
      </w:r>
      <w:r w:rsidR="007A444B">
        <w:rPr>
          <w:lang w:val="en-GB"/>
        </w:rPr>
        <w:t xml:space="preserve">. </w:t>
      </w:r>
      <w:r w:rsidR="00CA695E">
        <w:rPr>
          <w:lang w:val="en-GB"/>
        </w:rPr>
        <w:t xml:space="preserve">Thus, </w:t>
      </w:r>
      <w:r w:rsidR="00D72CE4">
        <w:rPr>
          <w:lang w:val="en-GB"/>
        </w:rPr>
        <w:t xml:space="preserve">the team </w:t>
      </w:r>
      <w:r>
        <w:rPr>
          <w:lang w:val="en-GB"/>
        </w:rPr>
        <w:t xml:space="preserve">focused </w:t>
      </w:r>
      <w:r w:rsidR="00D72CE4">
        <w:rPr>
          <w:lang w:val="en-GB"/>
        </w:rPr>
        <w:t xml:space="preserve">on defining baseline colours before it </w:t>
      </w:r>
      <w:r w:rsidR="001400B1">
        <w:rPr>
          <w:lang w:val="en-GB"/>
        </w:rPr>
        <w:t>started working</w:t>
      </w:r>
      <w:r w:rsidR="00D72CE4">
        <w:rPr>
          <w:lang w:val="en-GB"/>
        </w:rPr>
        <w:t xml:space="preserve"> on </w:t>
      </w:r>
      <w:r w:rsidR="00CA695E">
        <w:rPr>
          <w:lang w:val="en-GB"/>
        </w:rPr>
        <w:t>speci</w:t>
      </w:r>
      <w:r w:rsidR="007A444B">
        <w:rPr>
          <w:lang w:val="en-GB"/>
        </w:rPr>
        <w:t xml:space="preserve">fying </w:t>
      </w:r>
      <w:r w:rsidR="00CD00F7">
        <w:rPr>
          <w:lang w:val="en-GB"/>
        </w:rPr>
        <w:t xml:space="preserve">a </w:t>
      </w:r>
      <w:r w:rsidR="007A444B">
        <w:rPr>
          <w:lang w:val="en-GB"/>
        </w:rPr>
        <w:t xml:space="preserve">standard </w:t>
      </w:r>
      <w:proofErr w:type="spellStart"/>
      <w:r w:rsidR="00CA695E">
        <w:rPr>
          <w:lang w:val="en-GB"/>
        </w:rPr>
        <w:t>lineweight</w:t>
      </w:r>
      <w:proofErr w:type="spellEnd"/>
      <w:r w:rsidR="00CA695E">
        <w:rPr>
          <w:lang w:val="en-GB"/>
        </w:rPr>
        <w:t>, size</w:t>
      </w:r>
      <w:r w:rsidR="00D72CE4">
        <w:rPr>
          <w:lang w:val="en-GB"/>
        </w:rPr>
        <w:t xml:space="preserve">, </w:t>
      </w:r>
      <w:r>
        <w:rPr>
          <w:lang w:val="en-GB"/>
        </w:rPr>
        <w:t xml:space="preserve">etc., </w:t>
      </w:r>
      <w:r w:rsidR="00D72CE4">
        <w:rPr>
          <w:lang w:val="en-GB"/>
        </w:rPr>
        <w:t>for each symbol that S-4 only generally describe</w:t>
      </w:r>
      <w:r w:rsidR="007A444B">
        <w:rPr>
          <w:lang w:val="en-GB"/>
        </w:rPr>
        <w:t>s</w:t>
      </w:r>
      <w:r w:rsidR="00D72CE4">
        <w:rPr>
          <w:lang w:val="en-GB"/>
        </w:rPr>
        <w:t>.</w:t>
      </w:r>
    </w:p>
    <w:p w14:paraId="59FE54F5" w14:textId="77777777" w:rsidR="00D72CE4" w:rsidRDefault="00D72CE4" w:rsidP="00C41031">
      <w:pPr>
        <w:pStyle w:val="BodyText"/>
        <w:ind w:left="0"/>
        <w:rPr>
          <w:lang w:val="en-GB"/>
        </w:rPr>
      </w:pPr>
    </w:p>
    <w:p w14:paraId="62032589" w14:textId="3F710733" w:rsidR="005E5EFC" w:rsidRDefault="00D72CE4" w:rsidP="005E5EFC">
      <w:pPr>
        <w:pStyle w:val="BodyText"/>
        <w:ind w:left="0"/>
        <w:rPr>
          <w:lang w:val="en-GB"/>
        </w:rPr>
      </w:pPr>
      <w:r>
        <w:rPr>
          <w:lang w:val="en-GB"/>
        </w:rPr>
        <w:t xml:space="preserve">Samples of </w:t>
      </w:r>
      <w:r w:rsidR="00AF450D">
        <w:rPr>
          <w:lang w:val="en-GB"/>
        </w:rPr>
        <w:t>chart colour palettes were collected for analysis</w:t>
      </w:r>
      <w:r w:rsidR="00D669E0">
        <w:rPr>
          <w:lang w:val="en-GB"/>
        </w:rPr>
        <w:t xml:space="preserve"> from </w:t>
      </w:r>
      <w:r w:rsidR="00AF450D" w:rsidRPr="009606B0">
        <w:rPr>
          <w:lang w:val="en-GB"/>
        </w:rPr>
        <w:t xml:space="preserve">Canada, Finland, New Zealand, </w:t>
      </w:r>
      <w:r w:rsidR="00D669E0">
        <w:rPr>
          <w:lang w:val="en-GB"/>
        </w:rPr>
        <w:t xml:space="preserve">the </w:t>
      </w:r>
      <w:r w:rsidR="00AF450D" w:rsidRPr="009606B0">
        <w:rPr>
          <w:lang w:val="en-GB"/>
        </w:rPr>
        <w:t>United Kingdom, and the United States (NOAA)</w:t>
      </w:r>
      <w:r w:rsidR="00D669E0">
        <w:rPr>
          <w:lang w:val="en-GB"/>
        </w:rPr>
        <w:t>. Colour data from th</w:t>
      </w:r>
      <w:r w:rsidR="00AF450D">
        <w:rPr>
          <w:lang w:val="en-GB"/>
        </w:rPr>
        <w:t xml:space="preserve">ese </w:t>
      </w:r>
      <w:r w:rsidR="00C85640">
        <w:rPr>
          <w:lang w:val="en-GB"/>
        </w:rPr>
        <w:t xml:space="preserve">five </w:t>
      </w:r>
      <w:r w:rsidR="00AF450D">
        <w:rPr>
          <w:lang w:val="en-GB"/>
        </w:rPr>
        <w:t xml:space="preserve">hydrographic offices </w:t>
      </w:r>
      <w:r w:rsidR="00D669E0">
        <w:rPr>
          <w:lang w:val="en-GB"/>
        </w:rPr>
        <w:t>was</w:t>
      </w:r>
      <w:r w:rsidR="00AF450D">
        <w:rPr>
          <w:lang w:val="en-GB"/>
        </w:rPr>
        <w:t xml:space="preserve"> readily available </w:t>
      </w:r>
      <w:r w:rsidR="00D669E0">
        <w:rPr>
          <w:lang w:val="en-GB"/>
        </w:rPr>
        <w:t>from</w:t>
      </w:r>
      <w:r w:rsidR="00AF450D">
        <w:rPr>
          <w:lang w:val="en-GB"/>
        </w:rPr>
        <w:t xml:space="preserve"> members of the BSPT.</w:t>
      </w:r>
      <w:r w:rsidR="002472E3">
        <w:rPr>
          <w:lang w:val="en-GB"/>
        </w:rPr>
        <w:t xml:space="preserve"> Recognizing that </w:t>
      </w:r>
      <w:r w:rsidR="00FA416F">
        <w:rPr>
          <w:lang w:val="en-GB"/>
        </w:rPr>
        <w:t xml:space="preserve">these </w:t>
      </w:r>
      <w:r w:rsidR="00687FE0">
        <w:rPr>
          <w:lang w:val="en-GB"/>
        </w:rPr>
        <w:t>palette</w:t>
      </w:r>
      <w:r w:rsidR="002472E3">
        <w:rPr>
          <w:lang w:val="en-GB"/>
        </w:rPr>
        <w:t xml:space="preserve">s </w:t>
      </w:r>
      <w:r w:rsidR="00FA416F">
        <w:rPr>
          <w:lang w:val="en-GB"/>
        </w:rPr>
        <w:t>– and similar palettes from other HOs – have</w:t>
      </w:r>
      <w:r w:rsidR="00687FE0">
        <w:rPr>
          <w:lang w:val="en-GB"/>
        </w:rPr>
        <w:t xml:space="preserve"> </w:t>
      </w:r>
      <w:r w:rsidR="00BF6B62">
        <w:rPr>
          <w:lang w:val="en-GB"/>
        </w:rPr>
        <w:t xml:space="preserve">evolved over decades </w:t>
      </w:r>
      <w:r w:rsidR="00FA416F">
        <w:rPr>
          <w:lang w:val="en-GB"/>
        </w:rPr>
        <w:t>into</w:t>
      </w:r>
      <w:r w:rsidR="00BF6B62">
        <w:rPr>
          <w:lang w:val="en-GB"/>
        </w:rPr>
        <w:t xml:space="preserve"> the </w:t>
      </w:r>
      <w:r w:rsidR="00687FE0">
        <w:rPr>
          <w:lang w:val="en-GB"/>
        </w:rPr>
        <w:t xml:space="preserve">familiar and functional </w:t>
      </w:r>
      <w:r w:rsidR="00FA416F">
        <w:rPr>
          <w:lang w:val="en-GB"/>
        </w:rPr>
        <w:t xml:space="preserve">chart colours used around the world, the team </w:t>
      </w:r>
      <w:r w:rsidR="00BF6B62">
        <w:rPr>
          <w:lang w:val="en-GB"/>
        </w:rPr>
        <w:t xml:space="preserve">did not believe </w:t>
      </w:r>
      <w:r w:rsidR="00FA416F">
        <w:rPr>
          <w:lang w:val="en-GB"/>
        </w:rPr>
        <w:t xml:space="preserve">it </w:t>
      </w:r>
      <w:r w:rsidR="00BF6B62">
        <w:rPr>
          <w:lang w:val="en-GB"/>
        </w:rPr>
        <w:t>was necessary</w:t>
      </w:r>
      <w:r w:rsidR="00E815BF">
        <w:rPr>
          <w:lang w:val="en-GB"/>
        </w:rPr>
        <w:t xml:space="preserve"> </w:t>
      </w:r>
      <w:r w:rsidR="00BF6B62">
        <w:rPr>
          <w:lang w:val="en-GB"/>
        </w:rPr>
        <w:t xml:space="preserve">to conduct </w:t>
      </w:r>
      <w:r w:rsidR="00CD00F7" w:rsidRPr="00CD00F7">
        <w:rPr>
          <w:lang w:val="en-GB"/>
        </w:rPr>
        <w:t>human factors engineering</w:t>
      </w:r>
      <w:r w:rsidR="00BF6B62">
        <w:rPr>
          <w:lang w:val="en-GB"/>
        </w:rPr>
        <w:t xml:space="preserve"> or </w:t>
      </w:r>
      <w:r w:rsidR="00452569">
        <w:rPr>
          <w:lang w:val="en-GB"/>
        </w:rPr>
        <w:t>an</w:t>
      </w:r>
      <w:r w:rsidR="00973C47">
        <w:rPr>
          <w:lang w:val="en-GB"/>
        </w:rPr>
        <w:t xml:space="preserve"> </w:t>
      </w:r>
      <w:r w:rsidR="00BF6B62">
        <w:rPr>
          <w:lang w:val="en-GB"/>
        </w:rPr>
        <w:t>e</w:t>
      </w:r>
      <w:r w:rsidR="00BF6B62" w:rsidRPr="00CD00F7">
        <w:rPr>
          <w:lang w:val="en-GB"/>
        </w:rPr>
        <w:t>rgonomic</w:t>
      </w:r>
      <w:r w:rsidR="00BF6B62">
        <w:rPr>
          <w:lang w:val="en-GB"/>
        </w:rPr>
        <w:t xml:space="preserve"> study to </w:t>
      </w:r>
      <w:r w:rsidR="00D96764">
        <w:rPr>
          <w:lang w:val="en-GB"/>
        </w:rPr>
        <w:t xml:space="preserve">refine these </w:t>
      </w:r>
      <w:r w:rsidR="00BF6B62">
        <w:rPr>
          <w:lang w:val="en-GB"/>
        </w:rPr>
        <w:t>colours</w:t>
      </w:r>
      <w:r w:rsidR="00D96764" w:rsidRPr="00D96764">
        <w:rPr>
          <w:lang w:val="en-GB"/>
        </w:rPr>
        <w:t xml:space="preserve"> </w:t>
      </w:r>
      <w:r w:rsidR="00D96764">
        <w:rPr>
          <w:lang w:val="en-GB"/>
        </w:rPr>
        <w:t>further</w:t>
      </w:r>
      <w:r w:rsidR="000F5261">
        <w:rPr>
          <w:lang w:val="en-GB"/>
        </w:rPr>
        <w:t>.</w:t>
      </w:r>
      <w:r w:rsidR="00FA416F">
        <w:rPr>
          <w:lang w:val="en-GB"/>
        </w:rPr>
        <w:t xml:space="preserve"> The </w:t>
      </w:r>
      <w:r w:rsidR="00452569">
        <w:rPr>
          <w:lang w:val="en-GB"/>
        </w:rPr>
        <w:t xml:space="preserve">immediate </w:t>
      </w:r>
      <w:r w:rsidR="00FA416F">
        <w:rPr>
          <w:lang w:val="en-GB"/>
        </w:rPr>
        <w:t xml:space="preserve">goal was to </w:t>
      </w:r>
      <w:r w:rsidR="00973C47">
        <w:rPr>
          <w:lang w:val="en-GB"/>
        </w:rPr>
        <w:t>agree upon</w:t>
      </w:r>
      <w:r w:rsidR="00FA416F">
        <w:rPr>
          <w:lang w:val="en-GB"/>
        </w:rPr>
        <w:t xml:space="preserve"> a set of colours</w:t>
      </w:r>
      <w:r w:rsidR="00E34DA0">
        <w:rPr>
          <w:lang w:val="en-GB"/>
        </w:rPr>
        <w:t>,</w:t>
      </w:r>
      <w:r w:rsidR="00FA416F">
        <w:rPr>
          <w:lang w:val="en-GB"/>
        </w:rPr>
        <w:t xml:space="preserve"> </w:t>
      </w:r>
      <w:r w:rsidR="00973C47">
        <w:rPr>
          <w:lang w:val="en-GB"/>
        </w:rPr>
        <w:t>not too different from the "tried and true" colours in current use</w:t>
      </w:r>
      <w:r w:rsidR="00E815BF">
        <w:rPr>
          <w:lang w:val="en-GB"/>
        </w:rPr>
        <w:t>,</w:t>
      </w:r>
      <w:r w:rsidR="00973C47">
        <w:rPr>
          <w:lang w:val="en-GB"/>
        </w:rPr>
        <w:t xml:space="preserve"> that would be acceptable to a broad group of chart makers and chart users</w:t>
      </w:r>
      <w:r w:rsidR="00420C42">
        <w:rPr>
          <w:lang w:val="en-GB"/>
        </w:rPr>
        <w:t>.</w:t>
      </w:r>
      <w:r w:rsidR="006F02F5">
        <w:rPr>
          <w:lang w:val="en-GB"/>
        </w:rPr>
        <w:t xml:space="preserve"> Most HOs provided their </w:t>
      </w:r>
      <w:r w:rsidR="00D96764">
        <w:rPr>
          <w:lang w:val="en-GB"/>
        </w:rPr>
        <w:t xml:space="preserve">colour definitions with RGB (Red Green Blue) values. One HO provided CMYK (Cyan Magenta Yellow Black) values and these were converted to the RGB colour model for ease of comparison using an online converter, such as </w:t>
      </w:r>
      <w:hyperlink r:id="rId16" w:history="1">
        <w:r w:rsidR="00D96764" w:rsidRPr="006A08CC">
          <w:rPr>
            <w:rStyle w:val="Hyperlink"/>
            <w:lang w:val="en-GB"/>
          </w:rPr>
          <w:t>www.rapidtables.com/convert/color/cmyk-to-rgb.html</w:t>
        </w:r>
      </w:hyperlink>
    </w:p>
    <w:p w14:paraId="432E0D09" w14:textId="6D5C1ACB" w:rsidR="00001A83" w:rsidRDefault="00001A83" w:rsidP="005E5EFC">
      <w:pPr>
        <w:pStyle w:val="BodyText"/>
        <w:ind w:left="0"/>
        <w:rPr>
          <w:lang w:val="en-GB"/>
        </w:rPr>
      </w:pPr>
    </w:p>
    <w:p w14:paraId="1F9F3C23" w14:textId="7A296547" w:rsidR="00A63179" w:rsidRDefault="00C85640" w:rsidP="00C85640">
      <w:pPr>
        <w:pStyle w:val="BodyText"/>
        <w:ind w:left="0"/>
        <w:rPr>
          <w:lang w:val="en-GB"/>
        </w:rPr>
      </w:pPr>
      <w:r>
        <w:rPr>
          <w:lang w:val="en-GB"/>
        </w:rPr>
        <w:t xml:space="preserve">As expected, the five sample colour palettes </w:t>
      </w:r>
      <w:r w:rsidR="00B548CE">
        <w:rPr>
          <w:lang w:val="en-GB"/>
        </w:rPr>
        <w:t xml:space="preserve">were similar, but not identical. Some HOs </w:t>
      </w:r>
      <w:r w:rsidR="00310D69">
        <w:rPr>
          <w:lang w:val="en-GB"/>
        </w:rPr>
        <w:t xml:space="preserve">also </w:t>
      </w:r>
      <w:r w:rsidR="00B548CE">
        <w:rPr>
          <w:lang w:val="en-GB"/>
        </w:rPr>
        <w:t>used more colours than others</w:t>
      </w:r>
      <w:r w:rsidR="00A846BB">
        <w:rPr>
          <w:lang w:val="en-GB"/>
        </w:rPr>
        <w:t xml:space="preserve">. The BSPT </w:t>
      </w:r>
      <w:r w:rsidR="00D96BA4">
        <w:rPr>
          <w:lang w:val="en-GB"/>
        </w:rPr>
        <w:t xml:space="preserve">ultimately </w:t>
      </w:r>
      <w:r w:rsidR="00A846BB">
        <w:rPr>
          <w:lang w:val="en-GB"/>
        </w:rPr>
        <w:t>focused its efforts on 17 colours whic</w:t>
      </w:r>
      <w:r w:rsidR="001D3891">
        <w:rPr>
          <w:lang w:val="en-GB"/>
        </w:rPr>
        <w:t>h th</w:t>
      </w:r>
      <w:r w:rsidR="00D67939">
        <w:rPr>
          <w:lang w:val="en-GB"/>
        </w:rPr>
        <w:t xml:space="preserve">e </w:t>
      </w:r>
      <w:r w:rsidR="00A846BB">
        <w:rPr>
          <w:lang w:val="en-GB"/>
        </w:rPr>
        <w:t>five HOs used for similar purposes (land, urban areas, depth contours, etc.).</w:t>
      </w:r>
      <w:r w:rsidR="00E815BF">
        <w:rPr>
          <w:lang w:val="en-GB"/>
        </w:rPr>
        <w:t xml:space="preserve"> </w:t>
      </w:r>
      <w:r w:rsidR="00B548CE">
        <w:rPr>
          <w:lang w:val="en-GB"/>
        </w:rPr>
        <w:t xml:space="preserve">As a first step, the </w:t>
      </w:r>
      <w:r>
        <w:rPr>
          <w:lang w:val="en-GB"/>
        </w:rPr>
        <w:t xml:space="preserve">team </w:t>
      </w:r>
      <w:r w:rsidR="0049443E">
        <w:rPr>
          <w:lang w:val="en-GB"/>
        </w:rPr>
        <w:t>decided</w:t>
      </w:r>
      <w:r w:rsidR="00310D69">
        <w:rPr>
          <w:lang w:val="en-GB"/>
        </w:rPr>
        <w:t xml:space="preserve"> t</w:t>
      </w:r>
      <w:r w:rsidR="00B548CE">
        <w:rPr>
          <w:lang w:val="en-GB"/>
        </w:rPr>
        <w:t xml:space="preserve">o see what the "average" of each colour </w:t>
      </w:r>
      <w:r w:rsidR="00F47E28">
        <w:rPr>
          <w:lang w:val="en-GB"/>
        </w:rPr>
        <w:t>from the five sets o</w:t>
      </w:r>
      <w:r w:rsidR="00AC3923">
        <w:rPr>
          <w:lang w:val="en-GB"/>
        </w:rPr>
        <w:t>f</w:t>
      </w:r>
      <w:r w:rsidR="00F47E28">
        <w:rPr>
          <w:lang w:val="en-GB"/>
        </w:rPr>
        <w:t xml:space="preserve"> samples </w:t>
      </w:r>
      <w:r w:rsidR="00B548CE">
        <w:rPr>
          <w:lang w:val="en-GB"/>
        </w:rPr>
        <w:t xml:space="preserve">would look like. </w:t>
      </w:r>
      <w:r w:rsidR="00310D69">
        <w:rPr>
          <w:lang w:val="en-GB"/>
        </w:rPr>
        <w:t xml:space="preserve">For each colour, each of their respective </w:t>
      </w:r>
      <w:r w:rsidR="00D96764">
        <w:rPr>
          <w:lang w:val="en-GB"/>
        </w:rPr>
        <w:t xml:space="preserve">RGB </w:t>
      </w:r>
      <w:r w:rsidR="00310D69">
        <w:rPr>
          <w:lang w:val="en-GB"/>
        </w:rPr>
        <w:t xml:space="preserve">values were summed and divided </w:t>
      </w:r>
      <w:r w:rsidR="00622653">
        <w:rPr>
          <w:lang w:val="en-GB"/>
        </w:rPr>
        <w:t>by the number of HOs for which a colour sample was provided (usually four or five, but sometimes fewer).</w:t>
      </w:r>
    </w:p>
    <w:p w14:paraId="46075F3C" w14:textId="77777777" w:rsidR="00A63179" w:rsidRDefault="00A63179" w:rsidP="00C85640">
      <w:pPr>
        <w:pStyle w:val="BodyText"/>
        <w:ind w:left="0"/>
        <w:rPr>
          <w:lang w:val="en-GB"/>
        </w:rPr>
      </w:pPr>
    </w:p>
    <w:p w14:paraId="73A61A1C" w14:textId="65B0A237" w:rsidR="003426B3" w:rsidRDefault="00AE3A35" w:rsidP="003426B3">
      <w:pPr>
        <w:pStyle w:val="BodyText"/>
        <w:ind w:left="0"/>
        <w:rPr>
          <w:lang w:val="en-GB"/>
        </w:rPr>
      </w:pPr>
      <w:r>
        <w:rPr>
          <w:lang w:val="en-GB"/>
        </w:rPr>
        <w:t xml:space="preserve">Although the BSPT originally viewed this colour averaging exercise as just a first step in a longer analysis, the team was quite pleased with </w:t>
      </w:r>
      <w:r w:rsidR="00800C9F">
        <w:rPr>
          <w:lang w:val="en-GB"/>
        </w:rPr>
        <w:t>most of the</w:t>
      </w:r>
      <w:r>
        <w:rPr>
          <w:lang w:val="en-GB"/>
        </w:rPr>
        <w:t xml:space="preserve"> average colours and – with </w:t>
      </w:r>
      <w:r w:rsidR="00800C9F">
        <w:rPr>
          <w:lang w:val="en-GB"/>
        </w:rPr>
        <w:t>a few</w:t>
      </w:r>
      <w:r>
        <w:rPr>
          <w:lang w:val="en-GB"/>
        </w:rPr>
        <w:t xml:space="preserve"> exceptions – is recommending that these be adopted as the baseline colour</w:t>
      </w:r>
      <w:r w:rsidR="00111E35">
        <w:rPr>
          <w:lang w:val="en-GB"/>
        </w:rPr>
        <w:t xml:space="preserve"> palette. These colours will be </w:t>
      </w:r>
      <w:r>
        <w:rPr>
          <w:lang w:val="en-GB"/>
        </w:rPr>
        <w:t>used</w:t>
      </w:r>
      <w:r w:rsidR="00111E35">
        <w:rPr>
          <w:lang w:val="en-GB"/>
        </w:rPr>
        <w:t xml:space="preserve"> </w:t>
      </w:r>
      <w:r w:rsidR="00AC3923">
        <w:rPr>
          <w:lang w:val="en-GB"/>
        </w:rPr>
        <w:t>in th</w:t>
      </w:r>
      <w:r w:rsidR="00111E35">
        <w:rPr>
          <w:lang w:val="en-GB"/>
        </w:rPr>
        <w:t>e baseline symbols that the BSPT will start working on next</w:t>
      </w:r>
      <w:r w:rsidR="003426B3">
        <w:rPr>
          <w:lang w:val="en-GB"/>
        </w:rPr>
        <w:t>.</w:t>
      </w:r>
    </w:p>
    <w:p w14:paraId="4F690AF8" w14:textId="77777777" w:rsidR="003426B3" w:rsidRDefault="003426B3" w:rsidP="003426B3">
      <w:pPr>
        <w:pStyle w:val="BodyText"/>
        <w:ind w:left="0"/>
        <w:rPr>
          <w:lang w:val="en-GB"/>
        </w:rPr>
      </w:pPr>
    </w:p>
    <w:p w14:paraId="072365B8" w14:textId="35949CE2" w:rsidR="00964D8B" w:rsidRDefault="00964D8B" w:rsidP="00C85640">
      <w:pPr>
        <w:pStyle w:val="BodyText"/>
        <w:ind w:left="0"/>
        <w:rPr>
          <w:lang w:val="en-GB"/>
        </w:rPr>
      </w:pPr>
      <w:r>
        <w:rPr>
          <w:lang w:val="en-GB"/>
        </w:rPr>
        <w:t xml:space="preserve">Some </w:t>
      </w:r>
      <w:r w:rsidR="00075747">
        <w:rPr>
          <w:lang w:val="en-GB"/>
        </w:rPr>
        <w:t xml:space="preserve">of the recommended baseline colours were not derived from averaging HO sample colours. </w:t>
      </w:r>
      <w:r w:rsidR="00362E10">
        <w:rPr>
          <w:lang w:val="en-GB"/>
        </w:rPr>
        <w:t xml:space="preserve">Instead of averaging across the </w:t>
      </w:r>
      <w:proofErr w:type="spellStart"/>
      <w:r w:rsidR="00362E10">
        <w:rPr>
          <w:lang w:val="en-GB"/>
        </w:rPr>
        <w:t>HOs'</w:t>
      </w:r>
      <w:proofErr w:type="spellEnd"/>
      <w:r w:rsidR="00362E10">
        <w:rPr>
          <w:lang w:val="en-GB"/>
        </w:rPr>
        <w:t xml:space="preserve"> Medium Blue values (</w:t>
      </w:r>
      <w:r w:rsidR="00D96764">
        <w:rPr>
          <w:lang w:val="en-GB"/>
        </w:rPr>
        <w:t>of</w:t>
      </w:r>
      <w:r w:rsidR="00362E10">
        <w:rPr>
          <w:lang w:val="en-GB"/>
        </w:rPr>
        <w:t xml:space="preserve"> which there were only two</w:t>
      </w:r>
      <w:r w:rsidR="00D96764">
        <w:rPr>
          <w:lang w:val="en-GB"/>
        </w:rPr>
        <w:t xml:space="preserve"> samples</w:t>
      </w:r>
      <w:r w:rsidR="00362E10">
        <w:rPr>
          <w:lang w:val="en-GB"/>
        </w:rPr>
        <w:t>)</w:t>
      </w:r>
      <w:r w:rsidR="00461E09">
        <w:rPr>
          <w:lang w:val="en-GB"/>
        </w:rPr>
        <w:t xml:space="preserve">, the RGB values </w:t>
      </w:r>
      <w:r w:rsidR="00362E10">
        <w:rPr>
          <w:lang w:val="en-GB"/>
        </w:rPr>
        <w:t xml:space="preserve">for </w:t>
      </w:r>
      <w:r>
        <w:rPr>
          <w:lang w:val="en-GB"/>
        </w:rPr>
        <w:t>the re</w:t>
      </w:r>
      <w:r w:rsidR="00D96764">
        <w:rPr>
          <w:lang w:val="en-GB"/>
        </w:rPr>
        <w:t xml:space="preserve">commended </w:t>
      </w:r>
      <w:r w:rsidR="00362E10">
        <w:rPr>
          <w:lang w:val="en-GB"/>
        </w:rPr>
        <w:t xml:space="preserve">Medium Blue are the respective </w:t>
      </w:r>
      <w:r w:rsidR="00461E09">
        <w:rPr>
          <w:lang w:val="en-GB"/>
        </w:rPr>
        <w:t xml:space="preserve">averages of the Dark Blue and Light Blue </w:t>
      </w:r>
      <w:r w:rsidR="00362E10">
        <w:rPr>
          <w:lang w:val="en-GB"/>
        </w:rPr>
        <w:t xml:space="preserve">RGB </w:t>
      </w:r>
      <w:r w:rsidR="00461E09">
        <w:rPr>
          <w:lang w:val="en-GB"/>
        </w:rPr>
        <w:t>averages. This place</w:t>
      </w:r>
      <w:r w:rsidR="00074AA4">
        <w:rPr>
          <w:lang w:val="en-GB"/>
        </w:rPr>
        <w:t>d</w:t>
      </w:r>
      <w:r w:rsidR="00461E09">
        <w:rPr>
          <w:lang w:val="en-GB"/>
        </w:rPr>
        <w:t xml:space="preserve"> </w:t>
      </w:r>
      <w:r w:rsidR="00362E10">
        <w:rPr>
          <w:lang w:val="en-GB"/>
        </w:rPr>
        <w:t xml:space="preserve">Medium Blue </w:t>
      </w:r>
      <w:r w:rsidR="008F07E3">
        <w:rPr>
          <w:lang w:val="en-GB"/>
        </w:rPr>
        <w:t xml:space="preserve">equidistant from </w:t>
      </w:r>
      <w:r w:rsidR="00461E09">
        <w:rPr>
          <w:lang w:val="en-GB"/>
        </w:rPr>
        <w:t xml:space="preserve">the other two </w:t>
      </w:r>
      <w:r w:rsidR="004E3B43">
        <w:rPr>
          <w:lang w:val="en-GB"/>
        </w:rPr>
        <w:t xml:space="preserve">recommended </w:t>
      </w:r>
      <w:r w:rsidR="00461E09">
        <w:rPr>
          <w:lang w:val="en-GB"/>
        </w:rPr>
        <w:t xml:space="preserve">depth area </w:t>
      </w:r>
      <w:r>
        <w:rPr>
          <w:lang w:val="en-GB"/>
        </w:rPr>
        <w:t xml:space="preserve">hues and </w:t>
      </w:r>
      <w:r w:rsidR="008F07E3">
        <w:rPr>
          <w:lang w:val="en-GB"/>
        </w:rPr>
        <w:t>m</w:t>
      </w:r>
      <w:r w:rsidR="00461E09">
        <w:rPr>
          <w:lang w:val="en-GB"/>
        </w:rPr>
        <w:t>akes</w:t>
      </w:r>
      <w:r w:rsidR="008F07E3">
        <w:rPr>
          <w:lang w:val="en-GB"/>
        </w:rPr>
        <w:t xml:space="preserve"> it easier to differentiate the three shades.</w:t>
      </w:r>
    </w:p>
    <w:p w14:paraId="0CD29B6F" w14:textId="77777777" w:rsidR="00964D8B" w:rsidRDefault="00964D8B" w:rsidP="00C85640">
      <w:pPr>
        <w:pStyle w:val="BodyText"/>
        <w:ind w:left="0"/>
        <w:rPr>
          <w:lang w:val="en-GB"/>
        </w:rPr>
      </w:pPr>
    </w:p>
    <w:p w14:paraId="31589994" w14:textId="2F94520D" w:rsidR="00461E09" w:rsidRDefault="008F07E3" w:rsidP="00C85640">
      <w:pPr>
        <w:pStyle w:val="BodyText"/>
        <w:ind w:left="0"/>
        <w:rPr>
          <w:lang w:val="en-GB"/>
        </w:rPr>
      </w:pPr>
      <w:r>
        <w:rPr>
          <w:lang w:val="en-GB"/>
        </w:rPr>
        <w:t xml:space="preserve">The </w:t>
      </w:r>
      <w:r w:rsidR="00AC3AD5">
        <w:rPr>
          <w:lang w:val="en-GB"/>
        </w:rPr>
        <w:t>other</w:t>
      </w:r>
      <w:r>
        <w:rPr>
          <w:lang w:val="en-GB"/>
        </w:rPr>
        <w:t xml:space="preserve"> exception to </w:t>
      </w:r>
      <w:r w:rsidR="00AC3AD5">
        <w:rPr>
          <w:lang w:val="en-GB"/>
        </w:rPr>
        <w:t xml:space="preserve">using </w:t>
      </w:r>
      <w:r>
        <w:rPr>
          <w:lang w:val="en-GB"/>
        </w:rPr>
        <w:t>averag</w:t>
      </w:r>
      <w:r w:rsidR="00833BC2">
        <w:rPr>
          <w:lang w:val="en-GB"/>
        </w:rPr>
        <w:t>e colours i</w:t>
      </w:r>
      <w:r>
        <w:rPr>
          <w:lang w:val="en-GB"/>
        </w:rPr>
        <w:t xml:space="preserve">s the selection of </w:t>
      </w:r>
      <w:r w:rsidR="00354ACE">
        <w:rPr>
          <w:lang w:val="en-GB"/>
        </w:rPr>
        <w:t xml:space="preserve">the </w:t>
      </w:r>
      <w:r w:rsidR="00964D8B">
        <w:rPr>
          <w:lang w:val="en-GB"/>
        </w:rPr>
        <w:t xml:space="preserve">Red, Orange, Yellow and Green colours used for aids to navigation. </w:t>
      </w:r>
      <w:r w:rsidR="00287804">
        <w:rPr>
          <w:lang w:val="en-GB"/>
        </w:rPr>
        <w:t>T</w:t>
      </w:r>
      <w:r>
        <w:rPr>
          <w:lang w:val="en-GB"/>
        </w:rPr>
        <w:t xml:space="preserve">he Canadian RGB values for </w:t>
      </w:r>
      <w:r w:rsidR="00287804">
        <w:rPr>
          <w:lang w:val="en-GB"/>
        </w:rPr>
        <w:t>these colours were c</w:t>
      </w:r>
      <w:r w:rsidR="003426B3">
        <w:rPr>
          <w:lang w:val="en-GB"/>
        </w:rPr>
        <w:t>hose</w:t>
      </w:r>
      <w:r w:rsidR="00833BC2">
        <w:rPr>
          <w:lang w:val="en-GB"/>
        </w:rPr>
        <w:t>n</w:t>
      </w:r>
      <w:r w:rsidR="003426B3">
        <w:rPr>
          <w:lang w:val="en-GB"/>
        </w:rPr>
        <w:t xml:space="preserve">, because </w:t>
      </w:r>
      <w:r w:rsidR="00287804">
        <w:rPr>
          <w:lang w:val="en-GB"/>
        </w:rPr>
        <w:t>the resulting average colours were believed to be too dull and in the case of Red, too close to magenta.</w:t>
      </w:r>
      <w:r w:rsidR="00833BC2">
        <w:rPr>
          <w:lang w:val="en-GB"/>
        </w:rPr>
        <w:t xml:space="preserve"> The brighter Canadian colours, developed as a set, were thought to work well together.</w:t>
      </w:r>
    </w:p>
    <w:p w14:paraId="5E668380" w14:textId="37B0A263" w:rsidR="008F07E3" w:rsidRDefault="008F07E3" w:rsidP="00C85640">
      <w:pPr>
        <w:pStyle w:val="BodyText"/>
        <w:ind w:left="0"/>
        <w:rPr>
          <w:lang w:val="en-GB"/>
        </w:rPr>
      </w:pPr>
    </w:p>
    <w:p w14:paraId="68267573" w14:textId="1658909D" w:rsidR="00461E09" w:rsidRDefault="00111E35" w:rsidP="00C85640">
      <w:pPr>
        <w:pStyle w:val="BodyText"/>
        <w:ind w:left="0"/>
        <w:rPr>
          <w:lang w:val="en-GB"/>
        </w:rPr>
      </w:pPr>
      <w:r>
        <w:rPr>
          <w:lang w:val="en-GB"/>
        </w:rPr>
        <w:t xml:space="preserve">The </w:t>
      </w:r>
      <w:r w:rsidRPr="00111E35">
        <w:rPr>
          <w:lang w:val="en-GB"/>
        </w:rPr>
        <w:t>BSPT Recommended Baseline Chart Colours</w:t>
      </w:r>
      <w:r>
        <w:rPr>
          <w:lang w:val="en-GB"/>
        </w:rPr>
        <w:t xml:space="preserve"> are show in </w:t>
      </w:r>
      <w:r w:rsidRPr="00111E35">
        <w:rPr>
          <w:lang w:val="en-GB"/>
        </w:rPr>
        <w:t>Annex A</w:t>
      </w:r>
      <w:r>
        <w:rPr>
          <w:lang w:val="en-GB"/>
        </w:rPr>
        <w:t xml:space="preserve">, along with the sample colours provided by the five hydrographic offices that were used to calculate the average colours. </w:t>
      </w:r>
      <w:r w:rsidR="00461E09">
        <w:rPr>
          <w:lang w:val="en-GB"/>
        </w:rPr>
        <w:t xml:space="preserve">As the BSPT proceeds, it may determine that some of these colours </w:t>
      </w:r>
      <w:r w:rsidR="00735819">
        <w:rPr>
          <w:lang w:val="en-GB"/>
        </w:rPr>
        <w:t xml:space="preserve">will </w:t>
      </w:r>
      <w:r w:rsidR="00461E09">
        <w:rPr>
          <w:lang w:val="en-GB"/>
        </w:rPr>
        <w:t>need to be tweaked</w:t>
      </w:r>
      <w:r w:rsidR="00101500">
        <w:rPr>
          <w:lang w:val="en-GB"/>
        </w:rPr>
        <w:t xml:space="preserve"> as they start to be used in creating baseline </w:t>
      </w:r>
      <w:r w:rsidR="00735819">
        <w:rPr>
          <w:lang w:val="en-GB"/>
        </w:rPr>
        <w:t>symbols</w:t>
      </w:r>
      <w:r w:rsidR="00101500">
        <w:rPr>
          <w:lang w:val="en-GB"/>
        </w:rPr>
        <w:t xml:space="preserve"> or as the symbols begin to be show</w:t>
      </w:r>
      <w:r w:rsidR="00CD5C18">
        <w:rPr>
          <w:lang w:val="en-GB"/>
        </w:rPr>
        <w:t>n</w:t>
      </w:r>
      <w:r w:rsidR="00101500">
        <w:rPr>
          <w:lang w:val="en-GB"/>
        </w:rPr>
        <w:t xml:space="preserve"> in context with</w:t>
      </w:r>
      <w:r w:rsidR="00CD5C18">
        <w:rPr>
          <w:lang w:val="en-GB"/>
        </w:rPr>
        <w:t>i</w:t>
      </w:r>
      <w:r w:rsidR="00735819">
        <w:rPr>
          <w:lang w:val="en-GB"/>
        </w:rPr>
        <w:t xml:space="preserve">n </w:t>
      </w:r>
      <w:r w:rsidR="00101500">
        <w:rPr>
          <w:lang w:val="en-GB"/>
        </w:rPr>
        <w:t>chart</w:t>
      </w:r>
      <w:r w:rsidR="00735819">
        <w:rPr>
          <w:lang w:val="en-GB"/>
        </w:rPr>
        <w:t xml:space="preserve"> mock-ups</w:t>
      </w:r>
      <w:r w:rsidR="00101500">
        <w:rPr>
          <w:lang w:val="en-GB"/>
        </w:rPr>
        <w:t xml:space="preserve">. However, the recommended </w:t>
      </w:r>
      <w:r w:rsidR="00461E09">
        <w:rPr>
          <w:lang w:val="en-GB"/>
        </w:rPr>
        <w:t>palette provides a good starting point, which generally agrees with chart colours already in use</w:t>
      </w:r>
      <w:r w:rsidR="00735819">
        <w:rPr>
          <w:lang w:val="en-GB"/>
        </w:rPr>
        <w:t>.</w:t>
      </w:r>
    </w:p>
    <w:p w14:paraId="2F06B867" w14:textId="7FE7EFC2" w:rsidR="002724E0" w:rsidRDefault="002724E0">
      <w:pPr>
        <w:rPr>
          <w:lang w:val="en-GB"/>
        </w:rPr>
      </w:pPr>
    </w:p>
    <w:p w14:paraId="15978E0D" w14:textId="77777777" w:rsidR="00B23300" w:rsidRDefault="00B23300" w:rsidP="00B23300">
      <w:pPr>
        <w:spacing w:before="120"/>
        <w:rPr>
          <w:b/>
          <w:lang w:val="en-GB"/>
        </w:rPr>
      </w:pPr>
      <w:r>
        <w:rPr>
          <w:b/>
          <w:lang w:val="en-GB"/>
        </w:rPr>
        <w:t xml:space="preserve">Action required of </w:t>
      </w:r>
      <w:proofErr w:type="gramStart"/>
      <w:r>
        <w:rPr>
          <w:b/>
          <w:lang w:val="en-GB"/>
        </w:rPr>
        <w:t>NCWG</w:t>
      </w:r>
      <w:proofErr w:type="gramEnd"/>
    </w:p>
    <w:p w14:paraId="723148A2" w14:textId="49E18390" w:rsidR="00B23300" w:rsidRDefault="00B23300" w:rsidP="00B23300">
      <w:pPr>
        <w:pStyle w:val="BodyText"/>
        <w:ind w:left="0"/>
        <w:rPr>
          <w:lang w:val="en-GB"/>
        </w:rPr>
      </w:pPr>
      <w:r w:rsidRPr="778CA8D1">
        <w:rPr>
          <w:lang w:val="en-GB"/>
        </w:rPr>
        <w:t xml:space="preserve">Please </w:t>
      </w:r>
      <w:r>
        <w:rPr>
          <w:lang w:val="en-GB"/>
        </w:rPr>
        <w:t xml:space="preserve">use form </w:t>
      </w:r>
      <w:r w:rsidRPr="006339C2">
        <w:rPr>
          <w:b/>
          <w:bCs/>
          <w:lang w:val="en-GB"/>
        </w:rPr>
        <w:t>Annex B</w:t>
      </w:r>
      <w:r>
        <w:rPr>
          <w:lang w:val="en-GB"/>
        </w:rPr>
        <w:t xml:space="preserve"> to provide </w:t>
      </w:r>
      <w:r w:rsidRPr="778CA8D1">
        <w:rPr>
          <w:lang w:val="en-GB"/>
        </w:rPr>
        <w:t xml:space="preserve">any comments or suggestions regarding the recommended baseline colours shown in </w:t>
      </w:r>
      <w:r w:rsidRPr="00804F35">
        <w:rPr>
          <w:b/>
          <w:bCs/>
          <w:lang w:val="en-GB"/>
        </w:rPr>
        <w:t>Annex A</w:t>
      </w:r>
      <w:r>
        <w:rPr>
          <w:lang w:val="en-GB"/>
        </w:rPr>
        <w:t>.</w:t>
      </w:r>
      <w:r w:rsidRPr="778CA8D1">
        <w:rPr>
          <w:lang w:val="en-GB"/>
        </w:rPr>
        <w:t xml:space="preserve"> </w:t>
      </w:r>
    </w:p>
    <w:p w14:paraId="13FAC368" w14:textId="77777777" w:rsidR="002F1B42" w:rsidRDefault="002F1B42" w:rsidP="00B23300">
      <w:pPr>
        <w:pStyle w:val="BodyText"/>
        <w:ind w:left="0"/>
        <w:rPr>
          <w:lang w:val="en-GB"/>
        </w:rPr>
      </w:pPr>
    </w:p>
    <w:p w14:paraId="7480A77E" w14:textId="77777777" w:rsidR="002F1B42" w:rsidRDefault="002F1B42" w:rsidP="00B23300">
      <w:pPr>
        <w:pStyle w:val="BodyText"/>
        <w:ind w:left="0"/>
        <w:rPr>
          <w:lang w:val="en-GB"/>
        </w:rPr>
      </w:pPr>
    </w:p>
    <w:p w14:paraId="51BD832C" w14:textId="77777777" w:rsidR="00DA2A7A" w:rsidRDefault="00DA2A7A" w:rsidP="00B23300">
      <w:pPr>
        <w:pStyle w:val="BodyText"/>
        <w:ind w:left="0"/>
        <w:rPr>
          <w:lang w:val="en-GB"/>
        </w:rPr>
      </w:pPr>
    </w:p>
    <w:p w14:paraId="5166EC57" w14:textId="17DB5551" w:rsidR="00345367" w:rsidRDefault="00345367" w:rsidP="00810BEC">
      <w:pPr>
        <w:pStyle w:val="Heading1"/>
        <w:jc w:val="center"/>
        <w:rPr>
          <w:lang w:val="en-GB"/>
        </w:rPr>
      </w:pPr>
      <w:r>
        <w:rPr>
          <w:lang w:val="en-GB"/>
        </w:rPr>
        <w:lastRenderedPageBreak/>
        <w:t>Annex A – BSPT Recommended Baseline Chart Colours</w:t>
      </w:r>
    </w:p>
    <w:p w14:paraId="13BC136F" w14:textId="31425334" w:rsidR="005A0F7B" w:rsidRDefault="005A0F7B" w:rsidP="006F02F5">
      <w:pPr>
        <w:pStyle w:val="BodyText"/>
        <w:ind w:left="0"/>
        <w:rPr>
          <w:lang w:val="en-GB"/>
        </w:rPr>
      </w:pPr>
    </w:p>
    <w:p w14:paraId="587ECF7A" w14:textId="2D6F8AB3" w:rsidR="005A0F7B" w:rsidRPr="009606B0" w:rsidRDefault="005A0F7B" w:rsidP="005A0F7B">
      <w:pPr>
        <w:pStyle w:val="BodyText"/>
        <w:ind w:left="0"/>
        <w:jc w:val="center"/>
        <w:rPr>
          <w:lang w:val="en-GB"/>
        </w:rPr>
      </w:pPr>
      <w:r w:rsidRPr="005A0F7B">
        <w:rPr>
          <w:noProof/>
        </w:rPr>
        <w:drawing>
          <wp:inline distT="0" distB="0" distL="0" distR="0" wp14:anchorId="47E291F9" wp14:editId="313C8357">
            <wp:extent cx="6099810" cy="34588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9810" cy="3458845"/>
                    </a:xfrm>
                    <a:prstGeom prst="rect">
                      <a:avLst/>
                    </a:prstGeom>
                    <a:noFill/>
                    <a:ln>
                      <a:noFill/>
                    </a:ln>
                  </pic:spPr>
                </pic:pic>
              </a:graphicData>
            </a:graphic>
          </wp:inline>
        </w:drawing>
      </w:r>
    </w:p>
    <w:p w14:paraId="53A92462" w14:textId="45323D5B" w:rsidR="00143C77" w:rsidRPr="003F4837" w:rsidRDefault="00143C77" w:rsidP="005A0F7B">
      <w:pPr>
        <w:pStyle w:val="BodyText"/>
        <w:ind w:left="0"/>
        <w:rPr>
          <w:sz w:val="6"/>
          <w:szCs w:val="6"/>
          <w:lang w:val="en-GB"/>
        </w:rPr>
      </w:pPr>
    </w:p>
    <w:p w14:paraId="7DC6B9E7" w14:textId="34BFBD97" w:rsidR="00442D2D" w:rsidRPr="00442D2D" w:rsidRDefault="00442D2D" w:rsidP="003F4837">
      <w:pPr>
        <w:pStyle w:val="BodyText"/>
        <w:tabs>
          <w:tab w:val="left" w:pos="270"/>
        </w:tabs>
        <w:ind w:left="0"/>
        <w:rPr>
          <w:sz w:val="20"/>
          <w:szCs w:val="20"/>
          <w:lang w:val="en-GB"/>
        </w:rPr>
      </w:pPr>
      <w:r w:rsidRPr="006F02F5">
        <w:rPr>
          <w:sz w:val="14"/>
          <w:szCs w:val="14"/>
          <w:lang w:val="en-GB"/>
        </w:rPr>
        <w:t>X</w:t>
      </w:r>
      <w:r>
        <w:rPr>
          <w:sz w:val="20"/>
          <w:szCs w:val="20"/>
          <w:lang w:val="en-GB"/>
        </w:rPr>
        <w:tab/>
        <w:t>Hydrographic office does not use or did not provide a sample of this colour</w:t>
      </w:r>
      <w:r w:rsidR="007D0D61">
        <w:rPr>
          <w:sz w:val="20"/>
          <w:szCs w:val="20"/>
          <w:lang w:val="en-GB"/>
        </w:rPr>
        <w:t>.</w:t>
      </w:r>
    </w:p>
    <w:p w14:paraId="5A93289D" w14:textId="77777777" w:rsidR="006F02F5" w:rsidRPr="00442D2D" w:rsidRDefault="006F02F5" w:rsidP="003F4837">
      <w:pPr>
        <w:pStyle w:val="BodyText"/>
        <w:tabs>
          <w:tab w:val="left" w:pos="270"/>
        </w:tabs>
        <w:ind w:left="0"/>
        <w:rPr>
          <w:sz w:val="20"/>
          <w:szCs w:val="20"/>
          <w:lang w:val="en-GB"/>
        </w:rPr>
      </w:pPr>
      <w:r w:rsidRPr="00442D2D">
        <w:rPr>
          <w:sz w:val="20"/>
          <w:szCs w:val="20"/>
          <w:lang w:val="en-GB"/>
        </w:rPr>
        <w:t>*</w:t>
      </w:r>
      <w:r>
        <w:rPr>
          <w:sz w:val="20"/>
          <w:szCs w:val="20"/>
          <w:lang w:val="en-GB"/>
        </w:rPr>
        <w:tab/>
      </w:r>
      <w:r w:rsidRPr="00442D2D">
        <w:rPr>
          <w:sz w:val="20"/>
          <w:szCs w:val="20"/>
          <w:lang w:val="en-GB"/>
        </w:rPr>
        <w:t>Medium blue is the average of the average dark blue and average light blue RGB values.</w:t>
      </w:r>
    </w:p>
    <w:p w14:paraId="014DBD3D" w14:textId="5DE689BA" w:rsidR="005A0F7B" w:rsidRDefault="006F02F5" w:rsidP="003F4837">
      <w:pPr>
        <w:pStyle w:val="BodyText"/>
        <w:tabs>
          <w:tab w:val="left" w:pos="270"/>
        </w:tabs>
        <w:ind w:left="0"/>
        <w:rPr>
          <w:sz w:val="20"/>
          <w:szCs w:val="20"/>
          <w:lang w:val="en-GB"/>
        </w:rPr>
      </w:pPr>
      <w:r>
        <w:rPr>
          <w:sz w:val="20"/>
          <w:szCs w:val="20"/>
          <w:lang w:val="en-GB"/>
        </w:rPr>
        <w:t>*</w:t>
      </w:r>
      <w:r w:rsidRPr="00442D2D">
        <w:rPr>
          <w:sz w:val="20"/>
          <w:szCs w:val="20"/>
          <w:lang w:val="en-GB"/>
        </w:rPr>
        <w:t>*</w:t>
      </w:r>
      <w:r>
        <w:rPr>
          <w:sz w:val="20"/>
          <w:szCs w:val="20"/>
          <w:lang w:val="en-GB"/>
        </w:rPr>
        <w:tab/>
        <w:t>Canadian RGB values for red</w:t>
      </w:r>
      <w:r w:rsidR="003F4837">
        <w:rPr>
          <w:sz w:val="20"/>
          <w:szCs w:val="20"/>
          <w:lang w:val="en-GB"/>
        </w:rPr>
        <w:t>, orange, yellow, and green were adopted rather than the average colours.</w:t>
      </w:r>
    </w:p>
    <w:p w14:paraId="5AFFBED7" w14:textId="77777777" w:rsidR="00822D19" w:rsidRDefault="00822D19" w:rsidP="003F4837">
      <w:pPr>
        <w:pStyle w:val="BodyText"/>
        <w:tabs>
          <w:tab w:val="left" w:pos="270"/>
        </w:tabs>
        <w:ind w:left="0"/>
        <w:rPr>
          <w:sz w:val="20"/>
          <w:szCs w:val="20"/>
          <w:lang w:val="en-GB"/>
        </w:rPr>
      </w:pPr>
    </w:p>
    <w:p w14:paraId="2F36CFF1" w14:textId="77777777" w:rsidR="00822D19" w:rsidRDefault="00822D19" w:rsidP="003F4837">
      <w:pPr>
        <w:pStyle w:val="BodyText"/>
        <w:tabs>
          <w:tab w:val="left" w:pos="270"/>
        </w:tabs>
        <w:ind w:left="0"/>
        <w:rPr>
          <w:sz w:val="20"/>
          <w:szCs w:val="20"/>
          <w:lang w:val="en-GB"/>
        </w:rPr>
      </w:pPr>
    </w:p>
    <w:p w14:paraId="37435457" w14:textId="2D076E1D" w:rsidR="00822D19" w:rsidRDefault="00822D19">
      <w:pPr>
        <w:rPr>
          <w:sz w:val="20"/>
          <w:szCs w:val="20"/>
          <w:lang w:val="en-GB"/>
        </w:rPr>
      </w:pPr>
      <w:r>
        <w:rPr>
          <w:sz w:val="20"/>
          <w:szCs w:val="20"/>
          <w:lang w:val="en-GB"/>
        </w:rPr>
        <w:br w:type="page"/>
      </w:r>
    </w:p>
    <w:p w14:paraId="668CBFA6" w14:textId="77777777" w:rsidR="00822D19" w:rsidRPr="00B4527A" w:rsidRDefault="00822D19" w:rsidP="00822D19">
      <w:pPr>
        <w:jc w:val="right"/>
        <w:rPr>
          <w:b/>
          <w:bCs/>
        </w:rPr>
      </w:pPr>
      <w:r w:rsidRPr="00B4527A">
        <w:rPr>
          <w:b/>
          <w:bCs/>
        </w:rPr>
        <w:lastRenderedPageBreak/>
        <w:t xml:space="preserve">Annex </w:t>
      </w:r>
      <w:r>
        <w:rPr>
          <w:b/>
          <w:bCs/>
        </w:rPr>
        <w:t>B</w:t>
      </w:r>
    </w:p>
    <w:p w14:paraId="43617E98" w14:textId="0E42633D" w:rsidR="00B10A92" w:rsidRDefault="00822D19" w:rsidP="00822D19">
      <w:pPr>
        <w:jc w:val="center"/>
        <w:rPr>
          <w:b/>
          <w:bCs/>
          <w:u w:val="single"/>
        </w:rPr>
      </w:pPr>
      <w:r w:rsidRPr="00465E74">
        <w:rPr>
          <w:b/>
          <w:bCs/>
          <w:u w:val="single"/>
        </w:rPr>
        <w:t xml:space="preserve">NCWG </w:t>
      </w:r>
      <w:r>
        <w:rPr>
          <w:b/>
          <w:bCs/>
          <w:u w:val="single"/>
        </w:rPr>
        <w:t>Letter 05</w:t>
      </w:r>
      <w:r w:rsidRPr="00465E74">
        <w:rPr>
          <w:b/>
          <w:bCs/>
          <w:u w:val="single"/>
        </w:rPr>
        <w:t>/2024</w:t>
      </w:r>
    </w:p>
    <w:p w14:paraId="40A132E0" w14:textId="035DDFDB" w:rsidR="00822D19" w:rsidRPr="00465E74" w:rsidRDefault="00822D19" w:rsidP="00822D19">
      <w:pPr>
        <w:jc w:val="center"/>
        <w:rPr>
          <w:u w:val="single"/>
        </w:rPr>
      </w:pPr>
      <w:r w:rsidRPr="00465E74">
        <w:rPr>
          <w:b/>
          <w:bCs/>
          <w:u w:val="single"/>
        </w:rPr>
        <w:t>Response Form</w:t>
      </w:r>
      <w:r w:rsidRPr="00465E74">
        <w:rPr>
          <w:u w:val="single"/>
        </w:rPr>
        <w:t xml:space="preserve"> </w:t>
      </w:r>
      <w:r w:rsidR="00AB063E">
        <w:rPr>
          <w:b/>
          <w:bCs/>
          <w:u w:val="single"/>
        </w:rPr>
        <w:t xml:space="preserve">BSPT Recommended Baseline </w:t>
      </w:r>
      <w:proofErr w:type="spellStart"/>
      <w:r w:rsidR="00AB063E">
        <w:rPr>
          <w:b/>
          <w:bCs/>
          <w:u w:val="single"/>
        </w:rPr>
        <w:t>Colours</w:t>
      </w:r>
      <w:proofErr w:type="spellEnd"/>
    </w:p>
    <w:p w14:paraId="760469BE" w14:textId="77777777" w:rsidR="00D5624F" w:rsidRPr="00D5624F" w:rsidRDefault="00000000" w:rsidP="00822D19">
      <w:pPr>
        <w:jc w:val="center"/>
        <w:rPr>
          <w:rStyle w:val="Hyperlink"/>
          <w:u w:val="none"/>
        </w:rPr>
      </w:pPr>
      <w:hyperlink r:id="rId18" w:history="1">
        <w:r w:rsidR="00822D19" w:rsidRPr="00D5624F">
          <w:rPr>
            <w:rStyle w:val="Hyperlink"/>
          </w:rPr>
          <w:t>mikko.hovi@traficom.fi</w:t>
        </w:r>
      </w:hyperlink>
      <w:r w:rsidR="00BF7B70" w:rsidRPr="00D5624F">
        <w:t xml:space="preserve">, </w:t>
      </w:r>
      <w:hyperlink r:id="rId19" w:history="1">
        <w:r w:rsidR="00822D19" w:rsidRPr="00D5624F">
          <w:rPr>
            <w:rStyle w:val="Hyperlink"/>
          </w:rPr>
          <w:t>psheatsley@esri.com</w:t>
        </w:r>
      </w:hyperlink>
      <w:r w:rsidR="00576DDD" w:rsidRPr="00D5624F">
        <w:rPr>
          <w:rStyle w:val="Hyperlink"/>
        </w:rPr>
        <w:t xml:space="preserve"> </w:t>
      </w:r>
      <w:r w:rsidR="00576DDD" w:rsidRPr="00D5624F">
        <w:rPr>
          <w:rStyle w:val="Hyperlink"/>
          <w:color w:val="auto"/>
          <w:u w:val="none"/>
        </w:rPr>
        <w:t>and</w:t>
      </w:r>
      <w:r w:rsidR="00576DDD" w:rsidRPr="00D5624F">
        <w:rPr>
          <w:rStyle w:val="Hyperlink"/>
          <w:u w:val="none"/>
        </w:rPr>
        <w:t xml:space="preserve"> </w:t>
      </w:r>
    </w:p>
    <w:p w14:paraId="0329809D" w14:textId="33955801" w:rsidR="00822D19" w:rsidRDefault="00000000" w:rsidP="00822D19">
      <w:pPr>
        <w:jc w:val="center"/>
      </w:pPr>
      <w:hyperlink r:id="rId20" w:history="1">
        <w:r w:rsidR="00D5624F" w:rsidRPr="00D5624F">
          <w:rPr>
            <w:rStyle w:val="Hyperlink"/>
            <w:lang w:val="en-GB"/>
          </w:rPr>
          <w:t>Daniel.Brousseau@dfo-mpo.gc.ca</w:t>
        </w:r>
      </w:hyperlink>
      <w:r w:rsidR="00D5624F">
        <w:rPr>
          <w:rStyle w:val="Hyperlink"/>
          <w:lang w:val="en-GB"/>
        </w:rPr>
        <w:t xml:space="preserve"> </w:t>
      </w:r>
      <w:r w:rsidR="00B10A92">
        <w:t xml:space="preserve"> no later than</w:t>
      </w:r>
      <w:r w:rsidR="00822D19">
        <w:t xml:space="preserve"> </w:t>
      </w:r>
      <w:r w:rsidR="000E4F52">
        <w:rPr>
          <w:b/>
          <w:bCs/>
        </w:rPr>
        <w:t>1</w:t>
      </w:r>
      <w:r w:rsidR="00996D27">
        <w:rPr>
          <w:b/>
          <w:bCs/>
        </w:rPr>
        <w:t>7 June 2024</w:t>
      </w:r>
    </w:p>
    <w:p w14:paraId="11182694" w14:textId="77777777" w:rsidR="00822D19" w:rsidRDefault="00822D19" w:rsidP="003F4837">
      <w:pPr>
        <w:pStyle w:val="BodyText"/>
        <w:tabs>
          <w:tab w:val="left" w:pos="270"/>
        </w:tabs>
        <w:ind w:left="0"/>
        <w:rPr>
          <w:sz w:val="20"/>
          <w:szCs w:val="20"/>
          <w:lang w:val="en-GB"/>
        </w:rPr>
      </w:pPr>
    </w:p>
    <w:p w14:paraId="35545394" w14:textId="77777777" w:rsidR="008A59E3" w:rsidRDefault="008A59E3" w:rsidP="003F4837">
      <w:pPr>
        <w:pStyle w:val="BodyText"/>
        <w:tabs>
          <w:tab w:val="left" w:pos="270"/>
        </w:tabs>
        <w:ind w:left="0"/>
        <w:rPr>
          <w:sz w:val="20"/>
          <w:szCs w:val="20"/>
          <w:lang w:val="en-GB"/>
        </w:rPr>
      </w:pPr>
    </w:p>
    <w:p w14:paraId="313053BE" w14:textId="77777777" w:rsidR="008A59E3" w:rsidRDefault="008A59E3" w:rsidP="008A59E3">
      <w:r>
        <w:t>Further comments:</w:t>
      </w:r>
    </w:p>
    <w:p w14:paraId="26097E6F" w14:textId="77777777" w:rsidR="008A59E3" w:rsidRDefault="008A59E3" w:rsidP="008A59E3"/>
    <w:p w14:paraId="55443D11" w14:textId="77777777" w:rsidR="008A59E3" w:rsidRDefault="008A59E3" w:rsidP="008A59E3"/>
    <w:p w14:paraId="35E79FBA" w14:textId="77777777" w:rsidR="008A59E3" w:rsidRDefault="008A59E3" w:rsidP="008A59E3"/>
    <w:p w14:paraId="11E7614A" w14:textId="77777777" w:rsidR="008A59E3" w:rsidRDefault="008A59E3" w:rsidP="008A59E3"/>
    <w:p w14:paraId="748C08A1" w14:textId="77777777" w:rsidR="008A59E3" w:rsidRDefault="008A59E3" w:rsidP="008A59E3">
      <w:r>
        <w:t>Date:</w:t>
      </w:r>
    </w:p>
    <w:p w14:paraId="3B3403E5" w14:textId="77777777" w:rsidR="008A59E3" w:rsidRDefault="008A59E3" w:rsidP="008A59E3">
      <w:r>
        <w:t>Name:</w:t>
      </w:r>
    </w:p>
    <w:p w14:paraId="55864853" w14:textId="77777777" w:rsidR="008A59E3" w:rsidRDefault="008A59E3" w:rsidP="008A59E3">
      <w:proofErr w:type="spellStart"/>
      <w:r>
        <w:t>Organisation</w:t>
      </w:r>
      <w:proofErr w:type="spellEnd"/>
      <w:r>
        <w:t>:</w:t>
      </w:r>
    </w:p>
    <w:p w14:paraId="331113C6" w14:textId="77777777" w:rsidR="008A59E3" w:rsidRDefault="008A59E3" w:rsidP="003F4837">
      <w:pPr>
        <w:pStyle w:val="BodyText"/>
        <w:tabs>
          <w:tab w:val="left" w:pos="270"/>
        </w:tabs>
        <w:ind w:left="0"/>
        <w:rPr>
          <w:sz w:val="20"/>
          <w:szCs w:val="20"/>
          <w:lang w:val="en-GB"/>
        </w:rPr>
      </w:pPr>
    </w:p>
    <w:sectPr w:rsidR="008A59E3" w:rsidSect="0093385B">
      <w:type w:val="continuous"/>
      <w:pgSz w:w="11910" w:h="16840"/>
      <w:pgMar w:top="1296"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4878F" w14:textId="77777777" w:rsidR="0093385B" w:rsidRDefault="0093385B" w:rsidP="00E03B94">
      <w:r>
        <w:separator/>
      </w:r>
    </w:p>
  </w:endnote>
  <w:endnote w:type="continuationSeparator" w:id="0">
    <w:p w14:paraId="113FC5EF" w14:textId="77777777" w:rsidR="0093385B" w:rsidRDefault="0093385B" w:rsidP="00E0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F2341" w14:textId="77777777" w:rsidR="0093385B" w:rsidRDefault="0093385B" w:rsidP="00E03B94">
      <w:r>
        <w:separator/>
      </w:r>
    </w:p>
  </w:footnote>
  <w:footnote w:type="continuationSeparator" w:id="0">
    <w:p w14:paraId="5620730D" w14:textId="77777777" w:rsidR="0093385B" w:rsidRDefault="0093385B" w:rsidP="00E03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DB"/>
    <w:rsid w:val="00001A83"/>
    <w:rsid w:val="0000482B"/>
    <w:rsid w:val="000325BD"/>
    <w:rsid w:val="00074AA4"/>
    <w:rsid w:val="00075747"/>
    <w:rsid w:val="00080EAA"/>
    <w:rsid w:val="000C7CBC"/>
    <w:rsid w:val="000E4F52"/>
    <w:rsid w:val="000F5261"/>
    <w:rsid w:val="00101500"/>
    <w:rsid w:val="00111E35"/>
    <w:rsid w:val="00126295"/>
    <w:rsid w:val="001400B1"/>
    <w:rsid w:val="00143C77"/>
    <w:rsid w:val="001528DE"/>
    <w:rsid w:val="00181CA4"/>
    <w:rsid w:val="001B4487"/>
    <w:rsid w:val="001B6AF9"/>
    <w:rsid w:val="001D3891"/>
    <w:rsid w:val="001D7C3F"/>
    <w:rsid w:val="00204445"/>
    <w:rsid w:val="00217E7D"/>
    <w:rsid w:val="00230F6E"/>
    <w:rsid w:val="002472E3"/>
    <w:rsid w:val="00264D73"/>
    <w:rsid w:val="002724E0"/>
    <w:rsid w:val="00276ED6"/>
    <w:rsid w:val="00287804"/>
    <w:rsid w:val="002954C8"/>
    <w:rsid w:val="002F1B42"/>
    <w:rsid w:val="00303A0E"/>
    <w:rsid w:val="00310D69"/>
    <w:rsid w:val="00335F76"/>
    <w:rsid w:val="003426B3"/>
    <w:rsid w:val="00345367"/>
    <w:rsid w:val="00354ACE"/>
    <w:rsid w:val="00354CAB"/>
    <w:rsid w:val="00362E10"/>
    <w:rsid w:val="003F140B"/>
    <w:rsid w:val="003F36F5"/>
    <w:rsid w:val="003F3C7D"/>
    <w:rsid w:val="003F4837"/>
    <w:rsid w:val="003F5011"/>
    <w:rsid w:val="00414A50"/>
    <w:rsid w:val="00420B4E"/>
    <w:rsid w:val="00420C42"/>
    <w:rsid w:val="0042278D"/>
    <w:rsid w:val="00442D2D"/>
    <w:rsid w:val="00452569"/>
    <w:rsid w:val="00461E09"/>
    <w:rsid w:val="00475D2B"/>
    <w:rsid w:val="0049443E"/>
    <w:rsid w:val="004E3B43"/>
    <w:rsid w:val="0050637B"/>
    <w:rsid w:val="00506998"/>
    <w:rsid w:val="00527FF0"/>
    <w:rsid w:val="00552E48"/>
    <w:rsid w:val="00554B97"/>
    <w:rsid w:val="00576DDD"/>
    <w:rsid w:val="00582ACE"/>
    <w:rsid w:val="005A0F7B"/>
    <w:rsid w:val="005A6801"/>
    <w:rsid w:val="005E17DB"/>
    <w:rsid w:val="005E53E5"/>
    <w:rsid w:val="005E5EFC"/>
    <w:rsid w:val="00622653"/>
    <w:rsid w:val="006339C2"/>
    <w:rsid w:val="00661393"/>
    <w:rsid w:val="00683141"/>
    <w:rsid w:val="00687FE0"/>
    <w:rsid w:val="006F02F5"/>
    <w:rsid w:val="006F163E"/>
    <w:rsid w:val="00723063"/>
    <w:rsid w:val="00735819"/>
    <w:rsid w:val="0074192B"/>
    <w:rsid w:val="00750080"/>
    <w:rsid w:val="007901BF"/>
    <w:rsid w:val="0079668E"/>
    <w:rsid w:val="007A444B"/>
    <w:rsid w:val="007A56CB"/>
    <w:rsid w:val="007B6912"/>
    <w:rsid w:val="007C3A56"/>
    <w:rsid w:val="007D0D61"/>
    <w:rsid w:val="007E3A8A"/>
    <w:rsid w:val="00800C9F"/>
    <w:rsid w:val="00810BEC"/>
    <w:rsid w:val="00822D19"/>
    <w:rsid w:val="00833BC2"/>
    <w:rsid w:val="00863A02"/>
    <w:rsid w:val="008755ED"/>
    <w:rsid w:val="008A313D"/>
    <w:rsid w:val="008A59E3"/>
    <w:rsid w:val="008B1702"/>
    <w:rsid w:val="008B61BA"/>
    <w:rsid w:val="008D24C0"/>
    <w:rsid w:val="008F07E3"/>
    <w:rsid w:val="008F5986"/>
    <w:rsid w:val="00902FE9"/>
    <w:rsid w:val="0093385B"/>
    <w:rsid w:val="00933F47"/>
    <w:rsid w:val="009606B0"/>
    <w:rsid w:val="00964D8B"/>
    <w:rsid w:val="0097136F"/>
    <w:rsid w:val="00973C47"/>
    <w:rsid w:val="00993052"/>
    <w:rsid w:val="00996D27"/>
    <w:rsid w:val="009A114F"/>
    <w:rsid w:val="009B618E"/>
    <w:rsid w:val="009D31F9"/>
    <w:rsid w:val="00A41228"/>
    <w:rsid w:val="00A55F3A"/>
    <w:rsid w:val="00A63179"/>
    <w:rsid w:val="00A74DED"/>
    <w:rsid w:val="00A846BB"/>
    <w:rsid w:val="00AA0BFC"/>
    <w:rsid w:val="00AB063E"/>
    <w:rsid w:val="00AB26A9"/>
    <w:rsid w:val="00AB51AB"/>
    <w:rsid w:val="00AC3923"/>
    <w:rsid w:val="00AC3AD5"/>
    <w:rsid w:val="00AE3A35"/>
    <w:rsid w:val="00AF450D"/>
    <w:rsid w:val="00B10A92"/>
    <w:rsid w:val="00B23300"/>
    <w:rsid w:val="00B23956"/>
    <w:rsid w:val="00B548CE"/>
    <w:rsid w:val="00B67F9C"/>
    <w:rsid w:val="00BA5310"/>
    <w:rsid w:val="00BD22DD"/>
    <w:rsid w:val="00BF479C"/>
    <w:rsid w:val="00BF6B62"/>
    <w:rsid w:val="00BF7B70"/>
    <w:rsid w:val="00C10F79"/>
    <w:rsid w:val="00C17AF7"/>
    <w:rsid w:val="00C31455"/>
    <w:rsid w:val="00C41031"/>
    <w:rsid w:val="00C82E5D"/>
    <w:rsid w:val="00C85640"/>
    <w:rsid w:val="00C8654D"/>
    <w:rsid w:val="00CA695E"/>
    <w:rsid w:val="00CB35C0"/>
    <w:rsid w:val="00CD00F7"/>
    <w:rsid w:val="00CD5C18"/>
    <w:rsid w:val="00CF5358"/>
    <w:rsid w:val="00D124F1"/>
    <w:rsid w:val="00D524BE"/>
    <w:rsid w:val="00D53C13"/>
    <w:rsid w:val="00D5624F"/>
    <w:rsid w:val="00D669E0"/>
    <w:rsid w:val="00D67939"/>
    <w:rsid w:val="00D72CE4"/>
    <w:rsid w:val="00D857C9"/>
    <w:rsid w:val="00D96764"/>
    <w:rsid w:val="00D96BA4"/>
    <w:rsid w:val="00DA2A7A"/>
    <w:rsid w:val="00DC62C7"/>
    <w:rsid w:val="00DD6F0E"/>
    <w:rsid w:val="00DE5D9C"/>
    <w:rsid w:val="00DF2507"/>
    <w:rsid w:val="00E03B94"/>
    <w:rsid w:val="00E209F2"/>
    <w:rsid w:val="00E214DE"/>
    <w:rsid w:val="00E317D3"/>
    <w:rsid w:val="00E34DA0"/>
    <w:rsid w:val="00E62653"/>
    <w:rsid w:val="00E73EAB"/>
    <w:rsid w:val="00E815BF"/>
    <w:rsid w:val="00E826F6"/>
    <w:rsid w:val="00E955A6"/>
    <w:rsid w:val="00EC09A4"/>
    <w:rsid w:val="00EC282B"/>
    <w:rsid w:val="00ED7EDB"/>
    <w:rsid w:val="00F23838"/>
    <w:rsid w:val="00F47E28"/>
    <w:rsid w:val="00F50E6B"/>
    <w:rsid w:val="00F62565"/>
    <w:rsid w:val="00F667D3"/>
    <w:rsid w:val="00F67711"/>
    <w:rsid w:val="00F76F6B"/>
    <w:rsid w:val="00F97FBF"/>
    <w:rsid w:val="00FA416F"/>
    <w:rsid w:val="00FC3703"/>
    <w:rsid w:val="477C3DD4"/>
    <w:rsid w:val="611E9D47"/>
    <w:rsid w:val="778CA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3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956"/>
    <w:rPr>
      <w:rFonts w:ascii="Arial" w:eastAsia="Arial" w:hAnsi="Arial" w:cs="Arial"/>
    </w:rPr>
  </w:style>
  <w:style w:type="paragraph" w:styleId="Heading1">
    <w:name w:val="heading 1"/>
    <w:basedOn w:val="Normal"/>
    <w:uiPriority w:val="9"/>
    <w:qFormat/>
    <w:pPr>
      <w:outlineLvl w:val="0"/>
    </w:pPr>
    <w:rPr>
      <w:b/>
      <w:bCs/>
      <w:sz w:val="24"/>
      <w:szCs w:val="24"/>
    </w:rPr>
  </w:style>
  <w:style w:type="paragraph" w:styleId="Heading2">
    <w:name w:val="heading 2"/>
    <w:basedOn w:val="Normal"/>
    <w:uiPriority w:val="9"/>
    <w:unhideWhenUsed/>
    <w:qFormat/>
    <w:pPr>
      <w:spacing w:before="237"/>
      <w:ind w:left="11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pPr>
  </w:style>
  <w:style w:type="character" w:styleId="Hyperlink">
    <w:name w:val="Hyperlink"/>
    <w:basedOn w:val="DefaultParagraphFont"/>
    <w:uiPriority w:val="99"/>
    <w:unhideWhenUsed/>
    <w:rsid w:val="00354CAB"/>
    <w:rPr>
      <w:color w:val="0000FF" w:themeColor="hyperlink"/>
      <w:u w:val="single"/>
    </w:rPr>
  </w:style>
  <w:style w:type="character" w:styleId="UnresolvedMention">
    <w:name w:val="Unresolved Mention"/>
    <w:basedOn w:val="DefaultParagraphFont"/>
    <w:uiPriority w:val="99"/>
    <w:semiHidden/>
    <w:unhideWhenUsed/>
    <w:rsid w:val="00354CAB"/>
    <w:rPr>
      <w:color w:val="605E5C"/>
      <w:shd w:val="clear" w:color="auto" w:fill="E1DFDD"/>
    </w:rPr>
  </w:style>
  <w:style w:type="table" w:styleId="TableGrid">
    <w:name w:val="Table Grid"/>
    <w:basedOn w:val="TableNormal"/>
    <w:uiPriority w:val="39"/>
    <w:rsid w:val="00B23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35C0"/>
    <w:rPr>
      <w:sz w:val="16"/>
      <w:szCs w:val="16"/>
    </w:rPr>
  </w:style>
  <w:style w:type="paragraph" w:styleId="CommentText">
    <w:name w:val="annotation text"/>
    <w:basedOn w:val="Normal"/>
    <w:link w:val="CommentTextChar"/>
    <w:uiPriority w:val="99"/>
    <w:semiHidden/>
    <w:unhideWhenUsed/>
    <w:rsid w:val="00CB35C0"/>
    <w:rPr>
      <w:sz w:val="20"/>
      <w:szCs w:val="20"/>
    </w:rPr>
  </w:style>
  <w:style w:type="character" w:customStyle="1" w:styleId="CommentTextChar">
    <w:name w:val="Comment Text Char"/>
    <w:basedOn w:val="DefaultParagraphFont"/>
    <w:link w:val="CommentText"/>
    <w:uiPriority w:val="99"/>
    <w:semiHidden/>
    <w:rsid w:val="00CB35C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B35C0"/>
    <w:rPr>
      <w:b/>
      <w:bCs/>
    </w:rPr>
  </w:style>
  <w:style w:type="character" w:customStyle="1" w:styleId="CommentSubjectChar">
    <w:name w:val="Comment Subject Char"/>
    <w:basedOn w:val="CommentTextChar"/>
    <w:link w:val="CommentSubject"/>
    <w:uiPriority w:val="99"/>
    <w:semiHidden/>
    <w:rsid w:val="00CB35C0"/>
    <w:rPr>
      <w:rFonts w:ascii="Arial" w:eastAsia="Arial" w:hAnsi="Arial" w:cs="Arial"/>
      <w:b/>
      <w:bCs/>
      <w:sz w:val="20"/>
      <w:szCs w:val="20"/>
    </w:rPr>
  </w:style>
  <w:style w:type="paragraph" w:styleId="Header">
    <w:name w:val="header"/>
    <w:basedOn w:val="Normal"/>
    <w:link w:val="HeaderChar"/>
    <w:uiPriority w:val="99"/>
    <w:unhideWhenUsed/>
    <w:rsid w:val="00E03B94"/>
    <w:pPr>
      <w:tabs>
        <w:tab w:val="center" w:pos="4680"/>
        <w:tab w:val="right" w:pos="9360"/>
      </w:tabs>
    </w:pPr>
  </w:style>
  <w:style w:type="character" w:customStyle="1" w:styleId="HeaderChar">
    <w:name w:val="Header Char"/>
    <w:basedOn w:val="DefaultParagraphFont"/>
    <w:link w:val="Header"/>
    <w:uiPriority w:val="99"/>
    <w:rsid w:val="00E03B94"/>
    <w:rPr>
      <w:rFonts w:ascii="Arial" w:eastAsia="Arial" w:hAnsi="Arial" w:cs="Arial"/>
    </w:rPr>
  </w:style>
  <w:style w:type="paragraph" w:styleId="Footer">
    <w:name w:val="footer"/>
    <w:basedOn w:val="Normal"/>
    <w:link w:val="FooterChar"/>
    <w:uiPriority w:val="99"/>
    <w:unhideWhenUsed/>
    <w:rsid w:val="00E03B94"/>
    <w:pPr>
      <w:tabs>
        <w:tab w:val="center" w:pos="4680"/>
        <w:tab w:val="right" w:pos="9360"/>
      </w:tabs>
    </w:pPr>
  </w:style>
  <w:style w:type="character" w:customStyle="1" w:styleId="FooterChar">
    <w:name w:val="Footer Char"/>
    <w:basedOn w:val="DefaultParagraphFont"/>
    <w:link w:val="Footer"/>
    <w:uiPriority w:val="99"/>
    <w:rsid w:val="00E03B9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02047">
      <w:bodyDiv w:val="1"/>
      <w:marLeft w:val="0"/>
      <w:marRight w:val="0"/>
      <w:marTop w:val="0"/>
      <w:marBottom w:val="0"/>
      <w:divBdr>
        <w:top w:val="none" w:sz="0" w:space="0" w:color="auto"/>
        <w:left w:val="none" w:sz="0" w:space="0" w:color="auto"/>
        <w:bottom w:val="none" w:sz="0" w:space="0" w:color="auto"/>
        <w:right w:val="none" w:sz="0" w:space="0" w:color="auto"/>
      </w:divBdr>
    </w:div>
    <w:div w:id="1389114300">
      <w:bodyDiv w:val="1"/>
      <w:marLeft w:val="0"/>
      <w:marRight w:val="0"/>
      <w:marTop w:val="0"/>
      <w:marBottom w:val="0"/>
      <w:divBdr>
        <w:top w:val="none" w:sz="0" w:space="0" w:color="auto"/>
        <w:left w:val="none" w:sz="0" w:space="0" w:color="auto"/>
        <w:bottom w:val="none" w:sz="0" w:space="0" w:color="auto"/>
        <w:right w:val="none" w:sz="0" w:space="0" w:color="auto"/>
      </w:divBdr>
    </w:div>
    <w:div w:id="1919166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iho.int/uploads/user/Services%20and%20Standards/HSSC/HSSC13/LIST%20OF%20ACTIONS%20FROM%20HSSC12_27Nov2020.pdf" TargetMode="External"/><Relationship Id="rId18" Type="http://schemas.openxmlformats.org/officeDocument/2006/relationships/hyperlink" Target="mailto:mikko.hovi@traficom.f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image" Target="media/image6.emf"/><Relationship Id="rId2" Type="http://schemas.openxmlformats.org/officeDocument/2006/relationships/settings" Target="settings.xml"/><Relationship Id="rId16" Type="http://schemas.openxmlformats.org/officeDocument/2006/relationships/hyperlink" Target="http://www.rapidtables.com/convert/color/cmyk-to-rgb.html" TargetMode="External"/><Relationship Id="rId20" Type="http://schemas.openxmlformats.org/officeDocument/2006/relationships/hyperlink" Target="mailto:Daniel.Brousseau@dfo-mpo.gc.c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ikko.hovi@traficom.fi" TargetMode="External"/><Relationship Id="rId5" Type="http://schemas.openxmlformats.org/officeDocument/2006/relationships/endnotes" Target="endnotes.xml"/><Relationship Id="rId15" Type="http://schemas.openxmlformats.org/officeDocument/2006/relationships/hyperlink" Target="https://iho.int/uploads/user/pubs/standards/s-4/S4_V4-9-0_March_2021.pdf" TargetMode="External"/><Relationship Id="rId10" Type="http://schemas.openxmlformats.org/officeDocument/2006/relationships/hyperlink" Target="mailto:info@iho.int" TargetMode="External"/><Relationship Id="rId19" Type="http://schemas.openxmlformats.org/officeDocument/2006/relationships/hyperlink" Target="mailto:psheatsley@esri.com"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iho.int/uploads/user/Services%20and%20Standards/NCWG/NCWG_VTC_2021/NCWG_Baseline_Symbology_Meeting_VTC_minute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1392</Words>
  <Characters>7937</Characters>
  <Application>Microsoft Office Word</Application>
  <DocSecurity>0</DocSecurity>
  <Lines>66</Lines>
  <Paragraphs>18</Paragraphs>
  <ScaleCrop>false</ScaleCrop>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2024-03-01T00:46:00Z</dcterms:created>
  <dcterms:modified xsi:type="dcterms:W3CDTF">2024-04-23T17:21:00Z</dcterms:modified>
</cp:coreProperties>
</file>