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35735" w14:textId="77777777" w:rsidR="00F210AD" w:rsidRPr="004602AB" w:rsidRDefault="00F210AD" w:rsidP="00F210AD">
      <w:pPr>
        <w:pStyle w:val="NormalWeb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4602AB">
        <w:rPr>
          <w:rFonts w:ascii="Arial Narrow" w:hAnsi="Arial Narrow"/>
          <w:b/>
          <w:bCs/>
          <w:color w:val="000000"/>
          <w:sz w:val="22"/>
          <w:szCs w:val="22"/>
        </w:rPr>
        <w:t>Paper for Consideration by NIPWG</w:t>
      </w:r>
    </w:p>
    <w:p w14:paraId="1F056952" w14:textId="109446E4" w:rsidR="00F210AD" w:rsidRPr="004602AB" w:rsidRDefault="00647168" w:rsidP="00F210AD">
      <w:pPr>
        <w:pStyle w:val="NormalWeb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Comments by USA (NGA</w:t>
      </w:r>
      <w:proofErr w:type="gramStart"/>
      <w:r>
        <w:rPr>
          <w:rFonts w:ascii="Arial Narrow" w:hAnsi="Arial Narrow"/>
          <w:b/>
          <w:bCs/>
          <w:color w:val="000000"/>
          <w:sz w:val="22"/>
          <w:szCs w:val="22"/>
        </w:rPr>
        <w:t>)</w:t>
      </w:r>
      <w:proofErr w:type="gramEnd"/>
      <w:r>
        <w:rPr>
          <w:rFonts w:ascii="Arial Narrow" w:hAnsi="Arial Narrow"/>
          <w:b/>
          <w:bCs/>
          <w:color w:val="000000"/>
          <w:sz w:val="22"/>
          <w:szCs w:val="22"/>
        </w:rPr>
        <w:br/>
        <w:t xml:space="preserve">on </w:t>
      </w:r>
      <w:bookmarkStart w:id="0" w:name="_GoBack"/>
      <w:bookmarkEnd w:id="0"/>
      <w:r w:rsidR="00F210AD" w:rsidRPr="004602AB">
        <w:rPr>
          <w:rFonts w:ascii="Arial Narrow" w:hAnsi="Arial Narrow"/>
          <w:b/>
          <w:bCs/>
          <w:color w:val="000000"/>
          <w:sz w:val="22"/>
          <w:szCs w:val="22"/>
        </w:rPr>
        <w:t>Proposals for the adoption of Chinese version of Marine Traffic Management Product Specification (S-127 1.0.1)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4675"/>
      </w:tblGrid>
      <w:tr w:rsidR="00F210AD" w14:paraId="38F3722D" w14:textId="77777777" w:rsidTr="004602AB">
        <w:trPr>
          <w:jc w:val="center"/>
        </w:trPr>
        <w:tc>
          <w:tcPr>
            <w:tcW w:w="2592" w:type="dxa"/>
          </w:tcPr>
          <w:p w14:paraId="78EC5D01" w14:textId="7F0DA2BC" w:rsidR="00F210AD" w:rsidRPr="004602AB" w:rsidRDefault="00F210AD" w:rsidP="00B34223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  <w:r w:rsidRPr="004602AB">
              <w:rPr>
                <w:rFonts w:ascii="Arial" w:hAnsi="Arial" w:cs="Arial"/>
                <w:b/>
                <w:bCs/>
                <w:i/>
                <w:iCs/>
                <w:color w:val="000000"/>
              </w:rPr>
              <w:t>Submitted by:</w:t>
            </w:r>
          </w:p>
        </w:tc>
        <w:tc>
          <w:tcPr>
            <w:tcW w:w="4675" w:type="dxa"/>
          </w:tcPr>
          <w:p w14:paraId="1EB8F749" w14:textId="17096D5C" w:rsidR="00F210AD" w:rsidRPr="004602AB" w:rsidRDefault="00647168" w:rsidP="004602AB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USA (NHG)</w:t>
            </w:r>
          </w:p>
        </w:tc>
      </w:tr>
      <w:tr w:rsidR="00F210AD" w14:paraId="21A28291" w14:textId="77777777" w:rsidTr="004602AB">
        <w:trPr>
          <w:jc w:val="center"/>
        </w:trPr>
        <w:tc>
          <w:tcPr>
            <w:tcW w:w="2592" w:type="dxa"/>
          </w:tcPr>
          <w:p w14:paraId="6E700D33" w14:textId="58815407" w:rsidR="00F210AD" w:rsidRPr="004602AB" w:rsidRDefault="00F210AD" w:rsidP="00B34223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  <w:r w:rsidRPr="004602AB">
              <w:rPr>
                <w:rFonts w:ascii="Arial" w:hAnsi="Arial" w:cs="Arial"/>
                <w:b/>
                <w:bCs/>
                <w:i/>
                <w:iCs/>
                <w:color w:val="000000"/>
              </w:rPr>
              <w:t>Executive Summary:</w:t>
            </w:r>
          </w:p>
        </w:tc>
        <w:tc>
          <w:tcPr>
            <w:tcW w:w="4675" w:type="dxa"/>
          </w:tcPr>
          <w:p w14:paraId="5BB74A19" w14:textId="36BE4062" w:rsidR="00F210AD" w:rsidRPr="004602AB" w:rsidRDefault="004602AB" w:rsidP="00B34223">
            <w:pPr>
              <w:pStyle w:val="NoSpacing"/>
              <w:rPr>
                <w:rFonts w:ascii="Arial" w:hAnsi="Arial" w:cs="Arial"/>
              </w:rPr>
            </w:pPr>
            <w:r w:rsidRPr="004602AB">
              <w:rPr>
                <w:rFonts w:ascii="Arial" w:hAnsi="Arial" w:cs="Arial"/>
              </w:rPr>
              <w:t>Comments on China MSA’s proposal to adopt a Chinese-language version of the S-127 (Version 1.0.1) Product Specification</w:t>
            </w:r>
          </w:p>
        </w:tc>
      </w:tr>
      <w:tr w:rsidR="00F210AD" w14:paraId="1F4DF6F8" w14:textId="77777777" w:rsidTr="004602AB">
        <w:trPr>
          <w:jc w:val="center"/>
        </w:trPr>
        <w:tc>
          <w:tcPr>
            <w:tcW w:w="2592" w:type="dxa"/>
          </w:tcPr>
          <w:p w14:paraId="7277B436" w14:textId="551B10D9" w:rsidR="00F210AD" w:rsidRPr="004602AB" w:rsidRDefault="00F210AD" w:rsidP="00B34223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  <w:r w:rsidRPr="004602AB">
              <w:rPr>
                <w:rFonts w:ascii="Arial" w:hAnsi="Arial" w:cs="Arial"/>
                <w:b/>
                <w:bCs/>
                <w:i/>
                <w:iCs/>
                <w:color w:val="000000"/>
              </w:rPr>
              <w:t>Related Documents:</w:t>
            </w:r>
          </w:p>
        </w:tc>
        <w:tc>
          <w:tcPr>
            <w:tcW w:w="4675" w:type="dxa"/>
          </w:tcPr>
          <w:p w14:paraId="75497D04" w14:textId="7C05A9A0" w:rsidR="00F210AD" w:rsidRPr="004602AB" w:rsidRDefault="004602AB" w:rsidP="00B34223">
            <w:pPr>
              <w:pStyle w:val="NoSpacing"/>
              <w:rPr>
                <w:rFonts w:ascii="Arial" w:hAnsi="Arial" w:cs="Arial"/>
              </w:rPr>
            </w:pPr>
            <w:r w:rsidRPr="004602AB">
              <w:rPr>
                <w:rFonts w:ascii="Arial" w:hAnsi="Arial" w:cs="Arial"/>
                <w:color w:val="000000"/>
              </w:rPr>
              <w:t>S-127 (1.0.1)</w:t>
            </w:r>
          </w:p>
        </w:tc>
      </w:tr>
      <w:tr w:rsidR="00F210AD" w14:paraId="61041324" w14:textId="77777777" w:rsidTr="004602AB">
        <w:trPr>
          <w:jc w:val="center"/>
        </w:trPr>
        <w:tc>
          <w:tcPr>
            <w:tcW w:w="2592" w:type="dxa"/>
          </w:tcPr>
          <w:p w14:paraId="0D084CF5" w14:textId="6A6F66E8" w:rsidR="00F210AD" w:rsidRPr="004602AB" w:rsidRDefault="00F210AD" w:rsidP="00B34223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  <w:r w:rsidRPr="004602AB">
              <w:rPr>
                <w:rFonts w:ascii="Arial" w:hAnsi="Arial" w:cs="Arial"/>
                <w:b/>
                <w:bCs/>
                <w:i/>
                <w:iCs/>
                <w:color w:val="000000"/>
              </w:rPr>
              <w:t>Related Projects</w:t>
            </w:r>
          </w:p>
        </w:tc>
        <w:tc>
          <w:tcPr>
            <w:tcW w:w="4675" w:type="dxa"/>
          </w:tcPr>
          <w:p w14:paraId="127D03B6" w14:textId="46B1573C" w:rsidR="00F210AD" w:rsidRPr="004602AB" w:rsidRDefault="00F210AD" w:rsidP="00B34223">
            <w:pPr>
              <w:pStyle w:val="NoSpacing"/>
              <w:rPr>
                <w:rFonts w:ascii="Arial" w:hAnsi="Arial" w:cs="Arial"/>
              </w:rPr>
            </w:pPr>
            <w:r w:rsidRPr="004602AB">
              <w:rPr>
                <w:rFonts w:ascii="Arial" w:hAnsi="Arial" w:cs="Arial"/>
                <w:color w:val="000000"/>
              </w:rPr>
              <w:t>S-127 Project.</w:t>
            </w:r>
          </w:p>
        </w:tc>
      </w:tr>
    </w:tbl>
    <w:p w14:paraId="5FB29101" w14:textId="77777777" w:rsidR="00AF1D71" w:rsidRDefault="00AF1D71" w:rsidP="00AF1D71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Background</w:t>
      </w:r>
    </w:p>
    <w:p w14:paraId="26817609" w14:textId="0D17DABD" w:rsidR="00F210AD" w:rsidRPr="0087035D" w:rsidRDefault="00AF1D71" w:rsidP="00B34223">
      <w:pPr>
        <w:pStyle w:val="NoSpacing"/>
        <w:rPr>
          <w:rFonts w:cstheme="minorHAnsi"/>
          <w:lang w:eastAsia="zh-Hans"/>
        </w:rPr>
      </w:pPr>
      <w:r w:rsidRPr="0087035D">
        <w:rPr>
          <w:rFonts w:cstheme="minorHAnsi"/>
          <w:lang w:eastAsia="zh-Hans"/>
        </w:rPr>
        <w:t>China MSA has completed the Chinese-language version of Marine Traffic Management Product Specification (S-127 1.0.1) for the development of the S-100 standard.</w:t>
      </w:r>
    </w:p>
    <w:p w14:paraId="63A93B30" w14:textId="669B307E" w:rsidR="00F210AD" w:rsidRPr="00AF1D71" w:rsidRDefault="00AF1D71" w:rsidP="00AF1D71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Analysis</w:t>
      </w:r>
      <w:r w:rsidR="00E015D6">
        <w:rPr>
          <w:rFonts w:ascii="Arial" w:hAnsi="Arial" w:cs="Arial"/>
          <w:sz w:val="24"/>
          <w:szCs w:val="24"/>
        </w:rPr>
        <w:t>/Discussion</w:t>
      </w:r>
    </w:p>
    <w:p w14:paraId="61D7B1D6" w14:textId="56BC39E8" w:rsidR="000F7010" w:rsidRDefault="00802E86" w:rsidP="00B34223">
      <w:pPr>
        <w:pStyle w:val="NoSpacing"/>
      </w:pPr>
      <w:r>
        <w:t>Q</w:t>
      </w:r>
      <w:r w:rsidR="0087035D">
        <w:t>1</w:t>
      </w:r>
      <w:r>
        <w:t>: Based on China MSA’s request, should NIPWG adopt a Chinese-language edition of the English version of the S-127 Product Standards into Chinese?</w:t>
      </w:r>
    </w:p>
    <w:p w14:paraId="32E00974" w14:textId="0E066375" w:rsidR="00802E86" w:rsidRDefault="00802E86" w:rsidP="00B34223">
      <w:pPr>
        <w:pStyle w:val="NoSpacing"/>
      </w:pPr>
      <w:r>
        <w:t>A</w:t>
      </w:r>
      <w:r w:rsidR="0087035D">
        <w:t>1</w:t>
      </w:r>
      <w:r>
        <w:t xml:space="preserve">: Yes. China is willing to undertake the translation effort of both S-127 </w:t>
      </w:r>
      <w:r w:rsidR="00B34223">
        <w:t>Production Specification (V</w:t>
      </w:r>
      <w:r>
        <w:t>ersion 1.0.1</w:t>
      </w:r>
      <w:r w:rsidR="00B34223">
        <w:t>)</w:t>
      </w:r>
      <w:r>
        <w:t xml:space="preserve"> and fu</w:t>
      </w:r>
      <w:r w:rsidR="00B34223">
        <w:t>tur</w:t>
      </w:r>
      <w:r>
        <w:t>e updates to the document</w:t>
      </w:r>
      <w:r w:rsidR="00B34223">
        <w:t>.</w:t>
      </w:r>
    </w:p>
    <w:p w14:paraId="5DAFBE5D" w14:textId="77777777" w:rsidR="00B34223" w:rsidRDefault="00B34223" w:rsidP="00B34223">
      <w:pPr>
        <w:pStyle w:val="NoSpacing"/>
      </w:pPr>
    </w:p>
    <w:p w14:paraId="0080B11C" w14:textId="52C65F68" w:rsidR="00802E86" w:rsidRDefault="00B34223" w:rsidP="00B34223">
      <w:pPr>
        <w:pStyle w:val="NoSpacing"/>
      </w:pPr>
      <w:r>
        <w:t>Q</w:t>
      </w:r>
      <w:r w:rsidR="0087035D">
        <w:t>2</w:t>
      </w:r>
      <w:r>
        <w:t xml:space="preserve">: </w:t>
      </w:r>
      <w:r w:rsidR="00802E86">
        <w:t>Is there an IHO process/procedure for translating IHO documents from one language to another?</w:t>
      </w:r>
    </w:p>
    <w:p w14:paraId="2ED3C431" w14:textId="66191571" w:rsidR="00B34223" w:rsidRDefault="00B34223" w:rsidP="00B34223">
      <w:pPr>
        <w:pStyle w:val="NoSpacing"/>
      </w:pPr>
      <w:r>
        <w:t>A</w:t>
      </w:r>
      <w:r w:rsidR="0087035D">
        <w:t>2</w:t>
      </w:r>
      <w:r>
        <w:t xml:space="preserve">: </w:t>
      </w:r>
      <w:r w:rsidR="0039334E">
        <w:t xml:space="preserve">Unknown. </w:t>
      </w:r>
      <w:r>
        <w:t>T</w:t>
      </w:r>
      <w:r w:rsidR="0039334E">
        <w:t>ranslation have</w:t>
      </w:r>
      <w:r>
        <w:t xml:space="preserve"> been done in the past</w:t>
      </w:r>
      <w:r w:rsidR="00262021">
        <w:t xml:space="preserve"> so this process/procedure may exist</w:t>
      </w:r>
      <w:r>
        <w:t xml:space="preserve">. Previous examples of IHO </w:t>
      </w:r>
      <w:r w:rsidRPr="00802E86">
        <w:rPr>
          <w:b/>
          <w:bCs/>
        </w:rPr>
        <w:t>Standards and Specifications</w:t>
      </w:r>
      <w:r>
        <w:t xml:space="preserve"> translations are, as follows:</w:t>
      </w:r>
    </w:p>
    <w:p w14:paraId="6E802687" w14:textId="5393F404" w:rsidR="00B34223" w:rsidRDefault="00B34223" w:rsidP="00B34223">
      <w:pPr>
        <w:pStyle w:val="NoSpacing"/>
        <w:numPr>
          <w:ilvl w:val="0"/>
          <w:numId w:val="1"/>
        </w:numPr>
      </w:pPr>
      <w:r>
        <w:t>Spanish (7 items—including S-4, S-32, S-44, S-53, and S-67).</w:t>
      </w:r>
    </w:p>
    <w:p w14:paraId="5385C11A" w14:textId="6E051A70" w:rsidR="00B34223" w:rsidRDefault="00B34223" w:rsidP="00B34223">
      <w:pPr>
        <w:pStyle w:val="NoSpacing"/>
        <w:numPr>
          <w:ilvl w:val="0"/>
          <w:numId w:val="1"/>
        </w:numPr>
      </w:pPr>
      <w:r>
        <w:t>Japanese (3 items—including S-66).</w:t>
      </w:r>
    </w:p>
    <w:p w14:paraId="2E175AB5" w14:textId="54D4247C" w:rsidR="00B34223" w:rsidRDefault="00B34223" w:rsidP="00B34223">
      <w:pPr>
        <w:pStyle w:val="NoSpacing"/>
        <w:numPr>
          <w:ilvl w:val="0"/>
          <w:numId w:val="1"/>
        </w:numPr>
        <w:rPr>
          <w:b/>
          <w:bCs/>
        </w:rPr>
      </w:pPr>
      <w:r w:rsidRPr="00802E86">
        <w:rPr>
          <w:b/>
          <w:bCs/>
        </w:rPr>
        <w:t>Chinese (2 items—S-44 and S-67)</w:t>
      </w:r>
      <w:r>
        <w:rPr>
          <w:b/>
          <w:bCs/>
        </w:rPr>
        <w:t>.</w:t>
      </w:r>
    </w:p>
    <w:p w14:paraId="4C4C34BE" w14:textId="3A26ECEC" w:rsidR="00802E86" w:rsidRDefault="00B34223" w:rsidP="00B34223">
      <w:pPr>
        <w:pStyle w:val="NoSpacing"/>
        <w:numPr>
          <w:ilvl w:val="0"/>
          <w:numId w:val="1"/>
        </w:numPr>
      </w:pPr>
      <w:r>
        <w:t>Portuguese (1 item—S-44).</w:t>
      </w:r>
    </w:p>
    <w:p w14:paraId="1B826CC0" w14:textId="77777777" w:rsidR="00B34223" w:rsidRDefault="00B34223" w:rsidP="00B34223">
      <w:pPr>
        <w:pStyle w:val="NoSpacing"/>
        <w:ind w:left="720"/>
      </w:pPr>
    </w:p>
    <w:p w14:paraId="0C46AA87" w14:textId="0368A650" w:rsidR="00CC3167" w:rsidRDefault="00B34223" w:rsidP="00B34223">
      <w:pPr>
        <w:pStyle w:val="NoSpacing"/>
      </w:pPr>
      <w:r>
        <w:t>Q</w:t>
      </w:r>
      <w:r w:rsidR="0087035D">
        <w:t>3</w:t>
      </w:r>
      <w:r>
        <w:t>: After the translation is completed, should a third party review the document, concentrating on wording and idioms that might not match between the two languages</w:t>
      </w:r>
      <w:r w:rsidR="00CC3167">
        <w:t>?</w:t>
      </w:r>
    </w:p>
    <w:p w14:paraId="03AF48F1" w14:textId="60C0F7F1" w:rsidR="006A66D8" w:rsidRDefault="00CC3167" w:rsidP="00B34223">
      <w:pPr>
        <w:pStyle w:val="NoSpacing"/>
      </w:pPr>
      <w:r>
        <w:t>A</w:t>
      </w:r>
      <w:r w:rsidR="0087035D">
        <w:t>3</w:t>
      </w:r>
      <w:r>
        <w:t>: Not sure. It doesn’t seem to have been a problem in the past. However, d</w:t>
      </w:r>
      <w:r w:rsidR="006A66D8">
        <w:t>ifferent words and idioms may be used for similar concepts, possibly resulting in a different meaning than intended</w:t>
      </w:r>
      <w:r w:rsidR="00062AF2">
        <w:t>. For example:</w:t>
      </w:r>
    </w:p>
    <w:p w14:paraId="5175C265" w14:textId="77777777" w:rsidR="00B34223" w:rsidRDefault="00B34223" w:rsidP="00B34223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2304"/>
        <w:gridCol w:w="2448"/>
      </w:tblGrid>
      <w:tr w:rsidR="00062AF2" w14:paraId="18DCD516" w14:textId="77777777" w:rsidTr="00B34223">
        <w:trPr>
          <w:jc w:val="center"/>
        </w:trPr>
        <w:tc>
          <w:tcPr>
            <w:tcW w:w="2304" w:type="dxa"/>
          </w:tcPr>
          <w:p w14:paraId="4FBF0CDB" w14:textId="41C29DC5" w:rsidR="00062AF2" w:rsidRPr="00062AF2" w:rsidRDefault="00062AF2" w:rsidP="00062AF2">
            <w:pPr>
              <w:jc w:val="center"/>
              <w:rPr>
                <w:b/>
                <w:bCs/>
              </w:rPr>
            </w:pPr>
            <w:r w:rsidRPr="00062AF2">
              <w:rPr>
                <w:b/>
                <w:bCs/>
              </w:rPr>
              <w:t>Topic</w:t>
            </w:r>
          </w:p>
        </w:tc>
        <w:tc>
          <w:tcPr>
            <w:tcW w:w="2304" w:type="dxa"/>
          </w:tcPr>
          <w:p w14:paraId="6F5D096B" w14:textId="4132ADDC" w:rsidR="00062AF2" w:rsidRPr="00062AF2" w:rsidRDefault="00062AF2" w:rsidP="00062AF2">
            <w:pPr>
              <w:jc w:val="center"/>
              <w:rPr>
                <w:b/>
                <w:bCs/>
              </w:rPr>
            </w:pPr>
            <w:r w:rsidRPr="00062AF2">
              <w:rPr>
                <w:b/>
                <w:bCs/>
              </w:rPr>
              <w:t>United States English</w:t>
            </w:r>
          </w:p>
        </w:tc>
        <w:tc>
          <w:tcPr>
            <w:tcW w:w="2448" w:type="dxa"/>
          </w:tcPr>
          <w:p w14:paraId="5F3F423C" w14:textId="72E47392" w:rsidR="00062AF2" w:rsidRPr="00062AF2" w:rsidRDefault="00062AF2" w:rsidP="00062AF2">
            <w:pPr>
              <w:jc w:val="center"/>
              <w:rPr>
                <w:b/>
                <w:bCs/>
              </w:rPr>
            </w:pPr>
            <w:r w:rsidRPr="00062AF2">
              <w:rPr>
                <w:b/>
                <w:bCs/>
              </w:rPr>
              <w:t>United Kingdom English</w:t>
            </w:r>
          </w:p>
        </w:tc>
      </w:tr>
      <w:tr w:rsidR="00062AF2" w14:paraId="43BD9C9E" w14:textId="77777777" w:rsidTr="00B34223">
        <w:trPr>
          <w:jc w:val="center"/>
        </w:trPr>
        <w:tc>
          <w:tcPr>
            <w:tcW w:w="2304" w:type="dxa"/>
            <w:vMerge w:val="restart"/>
            <w:vAlign w:val="center"/>
          </w:tcPr>
          <w:p w14:paraId="6AE765EF" w14:textId="0E505248" w:rsidR="00062AF2" w:rsidRDefault="00062AF2" w:rsidP="00062AF2">
            <w:r>
              <w:t>Automobile terms</w:t>
            </w:r>
          </w:p>
        </w:tc>
        <w:tc>
          <w:tcPr>
            <w:tcW w:w="2304" w:type="dxa"/>
          </w:tcPr>
          <w:p w14:paraId="4A3E83D3" w14:textId="394B58EE" w:rsidR="00062AF2" w:rsidRDefault="00062AF2" w:rsidP="00062AF2">
            <w:pPr>
              <w:jc w:val="center"/>
            </w:pPr>
            <w:r>
              <w:t>Trunk</w:t>
            </w:r>
          </w:p>
        </w:tc>
        <w:tc>
          <w:tcPr>
            <w:tcW w:w="2448" w:type="dxa"/>
          </w:tcPr>
          <w:p w14:paraId="5B54152F" w14:textId="5DE0EFE3" w:rsidR="00062AF2" w:rsidRDefault="00062AF2" w:rsidP="00062AF2">
            <w:pPr>
              <w:jc w:val="center"/>
            </w:pPr>
            <w:r>
              <w:t>Boot</w:t>
            </w:r>
          </w:p>
        </w:tc>
      </w:tr>
      <w:tr w:rsidR="00062AF2" w14:paraId="298EB19F" w14:textId="77777777" w:rsidTr="00B34223">
        <w:trPr>
          <w:jc w:val="center"/>
        </w:trPr>
        <w:tc>
          <w:tcPr>
            <w:tcW w:w="2304" w:type="dxa"/>
            <w:vMerge/>
            <w:vAlign w:val="center"/>
          </w:tcPr>
          <w:p w14:paraId="5C2E2C7E" w14:textId="77777777" w:rsidR="00062AF2" w:rsidRDefault="00062AF2" w:rsidP="00062AF2"/>
        </w:tc>
        <w:tc>
          <w:tcPr>
            <w:tcW w:w="2304" w:type="dxa"/>
          </w:tcPr>
          <w:p w14:paraId="726DC878" w14:textId="58CA78DA" w:rsidR="00062AF2" w:rsidRDefault="00062AF2" w:rsidP="00062AF2">
            <w:pPr>
              <w:jc w:val="center"/>
            </w:pPr>
            <w:r>
              <w:t>Hood</w:t>
            </w:r>
          </w:p>
        </w:tc>
        <w:tc>
          <w:tcPr>
            <w:tcW w:w="2448" w:type="dxa"/>
          </w:tcPr>
          <w:p w14:paraId="78B0969B" w14:textId="51A5533B" w:rsidR="00062AF2" w:rsidRDefault="00062AF2" w:rsidP="00062AF2">
            <w:pPr>
              <w:jc w:val="center"/>
            </w:pPr>
            <w:r>
              <w:t>Bonnet</w:t>
            </w:r>
          </w:p>
        </w:tc>
      </w:tr>
      <w:tr w:rsidR="00062AF2" w14:paraId="357490FA" w14:textId="77777777" w:rsidTr="00B34223">
        <w:trPr>
          <w:jc w:val="center"/>
        </w:trPr>
        <w:tc>
          <w:tcPr>
            <w:tcW w:w="2304" w:type="dxa"/>
            <w:vMerge w:val="restart"/>
            <w:vAlign w:val="center"/>
          </w:tcPr>
          <w:p w14:paraId="6240D73C" w14:textId="76D116FC" w:rsidR="00062AF2" w:rsidRDefault="00062AF2" w:rsidP="00062AF2">
            <w:r>
              <w:t>Food terms</w:t>
            </w:r>
          </w:p>
        </w:tc>
        <w:tc>
          <w:tcPr>
            <w:tcW w:w="2304" w:type="dxa"/>
          </w:tcPr>
          <w:p w14:paraId="6C8DF4A8" w14:textId="43EAA9A4" w:rsidR="00062AF2" w:rsidRDefault="00062AF2" w:rsidP="00062AF2">
            <w:pPr>
              <w:jc w:val="center"/>
            </w:pPr>
            <w:r>
              <w:t>French fries</w:t>
            </w:r>
          </w:p>
        </w:tc>
        <w:tc>
          <w:tcPr>
            <w:tcW w:w="2448" w:type="dxa"/>
          </w:tcPr>
          <w:p w14:paraId="1CEFC566" w14:textId="5751923D" w:rsidR="00062AF2" w:rsidRDefault="00062AF2" w:rsidP="00062AF2">
            <w:pPr>
              <w:jc w:val="center"/>
            </w:pPr>
            <w:r>
              <w:t>Chips</w:t>
            </w:r>
          </w:p>
        </w:tc>
      </w:tr>
      <w:tr w:rsidR="00062AF2" w14:paraId="0F5445DB" w14:textId="77777777" w:rsidTr="00B34223">
        <w:trPr>
          <w:jc w:val="center"/>
        </w:trPr>
        <w:tc>
          <w:tcPr>
            <w:tcW w:w="2304" w:type="dxa"/>
            <w:vMerge/>
          </w:tcPr>
          <w:p w14:paraId="53EAA621" w14:textId="77777777" w:rsidR="00062AF2" w:rsidRDefault="00062AF2"/>
        </w:tc>
        <w:tc>
          <w:tcPr>
            <w:tcW w:w="2304" w:type="dxa"/>
          </w:tcPr>
          <w:p w14:paraId="6BF41BA0" w14:textId="24867A65" w:rsidR="00062AF2" w:rsidRDefault="00062AF2" w:rsidP="00062AF2">
            <w:pPr>
              <w:jc w:val="center"/>
            </w:pPr>
            <w:r>
              <w:t>Chips</w:t>
            </w:r>
          </w:p>
        </w:tc>
        <w:tc>
          <w:tcPr>
            <w:tcW w:w="2448" w:type="dxa"/>
          </w:tcPr>
          <w:p w14:paraId="0ED4A896" w14:textId="5F4A77D2" w:rsidR="00062AF2" w:rsidRDefault="00062AF2" w:rsidP="00062AF2">
            <w:pPr>
              <w:jc w:val="center"/>
            </w:pPr>
            <w:r>
              <w:t>Crisps</w:t>
            </w:r>
          </w:p>
        </w:tc>
      </w:tr>
    </w:tbl>
    <w:p w14:paraId="7A1789CA" w14:textId="77777777" w:rsidR="00283096" w:rsidRDefault="00283096" w:rsidP="00283096">
      <w:pPr>
        <w:pStyle w:val="NoSpacing"/>
      </w:pPr>
    </w:p>
    <w:p w14:paraId="26D1D94D" w14:textId="5C871DE8" w:rsidR="00802E86" w:rsidRDefault="00283096" w:rsidP="00283096">
      <w:pPr>
        <w:pStyle w:val="NoSpacing"/>
      </w:pPr>
      <w:r>
        <w:t>A</w:t>
      </w:r>
      <w:r w:rsidR="00CC3167">
        <w:t xml:space="preserve">n even more graphic example is the different terms used to describe carbonated non-alcoholic </w:t>
      </w:r>
      <w:proofErr w:type="gramStart"/>
      <w:r w:rsidR="00CC3167">
        <w:t>beverage</w:t>
      </w:r>
      <w:proofErr w:type="gramEnd"/>
      <w:r w:rsidR="00CC3167">
        <w:t xml:space="preserve"> in different regions of the United States. </w:t>
      </w:r>
      <w:r w:rsidR="00B17B8B">
        <w:t xml:space="preserve">The major terms are soda, pop, coke, </w:t>
      </w:r>
      <w:proofErr w:type="spellStart"/>
      <w:r w:rsidR="00B17B8B">
        <w:t>cocola</w:t>
      </w:r>
      <w:proofErr w:type="spellEnd"/>
      <w:r w:rsidR="00B17B8B">
        <w:t>, and soft drink. This doesn’t include more regional variations such as t</w:t>
      </w:r>
      <w:r w:rsidR="00802E86">
        <w:t xml:space="preserve">onic, soda pop, cold drink, </w:t>
      </w:r>
      <w:r w:rsidR="00B17B8B">
        <w:t xml:space="preserve">and </w:t>
      </w:r>
      <w:r w:rsidR="00802E86">
        <w:t>soda water.</w:t>
      </w:r>
    </w:p>
    <w:p w14:paraId="0BD815DD" w14:textId="631239FD" w:rsidR="00EC2EA5" w:rsidRDefault="00EC2EA5" w:rsidP="00EC2EA5">
      <w:pPr>
        <w:pStyle w:val="NoSpacing"/>
      </w:pPr>
      <w:r>
        <w:rPr>
          <w:noProof/>
          <w:lang w:val="fr-FR" w:eastAsia="fr-FR"/>
        </w:rPr>
        <w:lastRenderedPageBreak/>
        <w:drawing>
          <wp:inline distT="0" distB="0" distL="0" distR="0" wp14:anchorId="49CDBE70" wp14:editId="70E3BA2C">
            <wp:extent cx="6642100" cy="5449570"/>
            <wp:effectExtent l="0" t="0" r="6350" b="0"/>
            <wp:docPr id="16735066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44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34EB2" w14:textId="77777777" w:rsidR="00EC2EA5" w:rsidRPr="00AF1D71" w:rsidRDefault="00EC2EA5" w:rsidP="00EC2EA5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NIPWG Action</w:t>
      </w:r>
    </w:p>
    <w:p w14:paraId="28EED935" w14:textId="77777777" w:rsidR="00EC2EA5" w:rsidRDefault="00EC2EA5" w:rsidP="00EC2EA5">
      <w:pPr>
        <w:pStyle w:val="NoSpacing"/>
        <w:numPr>
          <w:ilvl w:val="0"/>
          <w:numId w:val="2"/>
        </w:numPr>
      </w:pPr>
      <w:r>
        <w:t>Approve China MSA’s request to develop the Chinese-language version of the S-127 Product Specification.</w:t>
      </w:r>
    </w:p>
    <w:p w14:paraId="6E0F9839" w14:textId="77777777" w:rsidR="00EC2EA5" w:rsidRDefault="00EC2EA5" w:rsidP="00EC2EA5">
      <w:pPr>
        <w:pStyle w:val="NoSpacing"/>
        <w:numPr>
          <w:ilvl w:val="0"/>
          <w:numId w:val="2"/>
        </w:numPr>
      </w:pPr>
      <w:r>
        <w:t xml:space="preserve">Determine </w:t>
      </w:r>
      <w:proofErr w:type="spellStart"/>
      <w:r>
        <w:t>of</w:t>
      </w:r>
      <w:proofErr w:type="spellEnd"/>
      <w:r>
        <w:t xml:space="preserve"> there is an established IHO process/procedure for translating IHO documents.</w:t>
      </w:r>
    </w:p>
    <w:p w14:paraId="674FB7F8" w14:textId="77777777" w:rsidR="00EC2EA5" w:rsidRDefault="00EC2EA5" w:rsidP="00EC2EA5">
      <w:pPr>
        <w:pStyle w:val="NoSpacing"/>
        <w:numPr>
          <w:ilvl w:val="0"/>
          <w:numId w:val="2"/>
        </w:numPr>
      </w:pPr>
      <w:r>
        <w:t>Determine if the procedure described in Q3 is necessary.</w:t>
      </w:r>
    </w:p>
    <w:p w14:paraId="4A0F3135" w14:textId="77777777" w:rsidR="00EC2EA5" w:rsidRDefault="00EC2EA5" w:rsidP="00EC2EA5">
      <w:pPr>
        <w:pStyle w:val="NoSpacing"/>
      </w:pPr>
    </w:p>
    <w:p w14:paraId="3194B0B5" w14:textId="329CE812" w:rsidR="00B17B8B" w:rsidRDefault="00B17B8B" w:rsidP="00283096">
      <w:pPr>
        <w:pStyle w:val="NoSpacing"/>
      </w:pPr>
    </w:p>
    <w:sectPr w:rsidR="00B17B8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1D4AA" w14:textId="77777777" w:rsidR="0038729C" w:rsidRDefault="0038729C" w:rsidP="00647168">
      <w:pPr>
        <w:spacing w:after="0" w:line="240" w:lineRule="auto"/>
      </w:pPr>
      <w:r>
        <w:separator/>
      </w:r>
    </w:p>
  </w:endnote>
  <w:endnote w:type="continuationSeparator" w:id="0">
    <w:p w14:paraId="76995E64" w14:textId="77777777" w:rsidR="0038729C" w:rsidRDefault="0038729C" w:rsidP="0064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C490B" w14:textId="77777777" w:rsidR="0038729C" w:rsidRDefault="0038729C" w:rsidP="00647168">
      <w:pPr>
        <w:spacing w:after="0" w:line="240" w:lineRule="auto"/>
      </w:pPr>
      <w:r>
        <w:separator/>
      </w:r>
    </w:p>
  </w:footnote>
  <w:footnote w:type="continuationSeparator" w:id="0">
    <w:p w14:paraId="0B8E1E4A" w14:textId="77777777" w:rsidR="0038729C" w:rsidRDefault="0038729C" w:rsidP="0064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6BEAC" w14:textId="5F65D4FA" w:rsidR="00647168" w:rsidRPr="00647168" w:rsidRDefault="00647168" w:rsidP="00647168">
    <w:pPr>
      <w:pStyle w:val="Header"/>
      <w:jc w:val="right"/>
      <w:rPr>
        <w:b/>
      </w:rPr>
    </w:pPr>
    <w:r w:rsidRPr="00647168">
      <w:rPr>
        <w:b/>
        <w:bdr w:val="single" w:sz="4" w:space="0" w:color="auto"/>
      </w:rPr>
      <w:t>NIPWG10-11.4.3B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70F96"/>
    <w:multiLevelType w:val="hybridMultilevel"/>
    <w:tmpl w:val="2758C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2938"/>
    <w:multiLevelType w:val="hybridMultilevel"/>
    <w:tmpl w:val="247AD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F7"/>
    <w:rsid w:val="00062AF2"/>
    <w:rsid w:val="000B69ED"/>
    <w:rsid w:val="000F7010"/>
    <w:rsid w:val="00234F00"/>
    <w:rsid w:val="00262021"/>
    <w:rsid w:val="00283096"/>
    <w:rsid w:val="0038729C"/>
    <w:rsid w:val="0039334E"/>
    <w:rsid w:val="004602AB"/>
    <w:rsid w:val="00647168"/>
    <w:rsid w:val="006A66D8"/>
    <w:rsid w:val="00802E86"/>
    <w:rsid w:val="0087035D"/>
    <w:rsid w:val="00AF1D71"/>
    <w:rsid w:val="00B17B8B"/>
    <w:rsid w:val="00B34223"/>
    <w:rsid w:val="00C4683D"/>
    <w:rsid w:val="00CC3167"/>
    <w:rsid w:val="00E015D6"/>
    <w:rsid w:val="00EC197E"/>
    <w:rsid w:val="00EC2EA5"/>
    <w:rsid w:val="00ED23F7"/>
    <w:rsid w:val="00F2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17EB"/>
  <w15:chartTrackingRefBased/>
  <w15:docId w15:val="{5E08A1F2-841F-4E21-AFEB-847123FB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1D71"/>
    <w:pPr>
      <w:keepNext/>
      <w:spacing w:before="240" w:after="0" w:line="240" w:lineRule="auto"/>
      <w:outlineLvl w:val="1"/>
    </w:pPr>
    <w:rPr>
      <w:rFonts w:ascii="Arial Narrow" w:eastAsiaTheme="minorEastAsia" w:hAnsi="Arial Narrow" w:cs="Times New Roman"/>
      <w:b/>
      <w:kern w:val="0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422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2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qFormat/>
    <w:rsid w:val="00AF1D71"/>
    <w:rPr>
      <w:rFonts w:ascii="Arial Narrow" w:eastAsiaTheme="minorEastAsia" w:hAnsi="Arial Narrow" w:cs="Times New Roman"/>
      <w:b/>
      <w:kern w:val="0"/>
      <w:szCs w:val="20"/>
      <w:lang w:val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4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168"/>
  </w:style>
  <w:style w:type="paragraph" w:styleId="Footer">
    <w:name w:val="footer"/>
    <w:basedOn w:val="Normal"/>
    <w:link w:val="FooterChar"/>
    <w:uiPriority w:val="99"/>
    <w:unhideWhenUsed/>
    <w:rsid w:val="0064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18D5BD4A1D94188B2EE8CC2E21114" ma:contentTypeVersion="16" ma:contentTypeDescription="Create a new document." ma:contentTypeScope="" ma:versionID="ce42ed7e0f2b537bd4580c955726aed6">
  <xsd:schema xmlns:xsd="http://www.w3.org/2001/XMLSchema" xmlns:xs="http://www.w3.org/2001/XMLSchema" xmlns:p="http://schemas.microsoft.com/office/2006/metadata/properties" xmlns:ns2="2f778161-7338-4b6e-9f09-8f4717fb44f3" xmlns:ns3="6566abdf-dff7-47cb-8ff5-25b46305e088" xmlns:ns4="4e7e82ff-130c-471f-a9b5-f315683a1046" targetNamespace="http://schemas.microsoft.com/office/2006/metadata/properties" ma:root="true" ma:fieldsID="cff1030690a5c229a83ac0da22420705" ns2:_="" ns3:_="" ns4:_="">
    <xsd:import namespace="2f778161-7338-4b6e-9f09-8f4717fb44f3"/>
    <xsd:import namespace="6566abdf-dff7-47cb-8ff5-25b46305e088"/>
    <xsd:import namespace="4e7e82ff-130c-471f-a9b5-f315683a1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78161-7338-4b6e-9f09-8f4717fb4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88c65c-3d18-4304-bf56-a445aaa6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bdf-dff7-47cb-8ff5-25b46305e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1994a6-ea15-4543-ab3f-cb67152246d9}" ma:internalName="TaxCatchAll" ma:showField="CatchAllData" ma:web="6566abdf-dff7-47cb-8ff5-25b46305e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6EA0D5-88C7-4A20-8A17-065C01899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19CF8-A0D4-4232-AAB9-A9EC10559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78161-7338-4b6e-9f09-8f4717fb44f3"/>
    <ds:schemaRef ds:uri="6566abdf-dff7-47cb-8ff5-25b46305e088"/>
    <ds:schemaRef ds:uri="4e7e82ff-130c-471f-a9b5-f315683a1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Kushla</dc:creator>
  <cp:keywords/>
  <dc:description/>
  <cp:lastModifiedBy>Yves GUILLAM</cp:lastModifiedBy>
  <cp:revision>12</cp:revision>
  <dcterms:created xsi:type="dcterms:W3CDTF">2023-09-04T17:02:00Z</dcterms:created>
  <dcterms:modified xsi:type="dcterms:W3CDTF">2023-09-07T08:05:00Z</dcterms:modified>
</cp:coreProperties>
</file>